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rFonts w:ascii="Noto Sans CJK TC" w:cs="Noto Sans CJK TC" w:eastAsia="Noto Sans CJK TC" w:hAnsi="Noto Sans CJK TC"/>
          <w:b/>
          <w:bCs/>
          <w:sz w:val="30"/>
          <w:szCs w:val="30"/>
        </w:rPr>
        <w:t xml:space="preserve">第22章</w:t>
      </w:r>
    </w:p>
    <w:p>
      <w:pPr>
        <w:spacing w:after="200"/>
        <w:jc w:val="center"/>
      </w:pPr>
      <w:r>
        <w:rPr>
          <w:rFonts w:ascii="Noto Sans CJK TC" w:cs="Noto Sans CJK TC" w:eastAsia="Noto Sans CJK TC" w:hAnsi="Noto Sans CJK TC"/>
          <w:b/>
          <w:bCs/>
          <w:sz w:val="30"/>
          <w:szCs w:val="30"/>
        </w:rPr>
        <w:t xml:space="preserve">AI與個人：公務人員行為的改變</w:t>
      </w:r>
    </w:p>
    <w:p>
      <w:pPr>
        <w:spacing w:after="200"/>
        <w:jc w:val="center"/>
      </w:pPr>
      <w:r>
        <w:rPr>
          <w:rFonts w:ascii="Noto Sans CJK TC" w:cs="Noto Sans CJK TC" w:eastAsia="Noto Sans CJK TC" w:hAnsi="Noto Sans CJK TC"/>
          <w:i/>
          <w:iCs/>
          <w:sz w:val="20"/>
          <w:szCs w:val="20"/>
        </w:rPr>
        <w:t xml:space="preserve">（清稿版；依體檢總表🔴必改建議，於各節收尾加入遞迴視角，取代單向「AI影響個人」敘事）</w:t>
      </w:r>
    </w:p>
    <w:p>
      <w:pPr>
        <w:pStyle w:val="Heading1"/>
        <w:spacing w:after="140" w:before="320"/>
      </w:pPr>
      <w:r>
        <w:rPr>
          <w:rFonts w:ascii="Noto Sans CJK TC" w:cs="Noto Sans CJK TC" w:eastAsia="Noto Sans CJK TC" w:hAnsi="Noto Sans CJK TC"/>
          <w:b/>
          <w:bCs/>
          <w:sz w:val="26"/>
          <w:szCs w:val="26"/>
        </w:rPr>
        <w:t xml:space="preserve">學習目標</w:t>
      </w:r>
    </w:p>
    <w:p>
      <w:pPr>
        <w:spacing w:after="140" w:line="300"/>
        <w:ind w:left="480"/>
        <w:jc w:val="both"/>
      </w:pPr>
      <w:r>
        <w:rPr>
          <w:rFonts w:ascii="Noto Sans CJK TC" w:cs="Noto Sans CJK TC" w:eastAsia="Noto Sans CJK TC" w:hAnsi="Noto Sans CJK TC"/>
          <w:sz w:val="22"/>
          <w:szCs w:val="22"/>
        </w:rPr>
        <w:t xml:space="preserve">1. 掌握TAM、UTAUT、人機信任、技術壓力等理論，並分析公共情境特殊性。</w:t>
      </w:r>
    </w:p>
    <w:p>
      <w:pPr>
        <w:spacing w:after="140" w:line="300"/>
        <w:ind w:left="480"/>
        <w:jc w:val="both"/>
      </w:pPr>
      <w:r>
        <w:rPr>
          <w:rFonts w:ascii="Noto Sans CJK TC" w:cs="Noto Sans CJK TC" w:eastAsia="Noto Sans CJK TC" w:hAnsi="Noto Sans CJK TC"/>
          <w:sz w:val="22"/>
          <w:szCs w:val="22"/>
        </w:rPr>
        <w:t xml:space="preserve">2. 分析公共AI信任五前因：系統可靠性、透明度、價值一致性、合法性、公眾信任調節。</w:t>
      </w:r>
    </w:p>
    <w:p>
      <w:pPr>
        <w:spacing w:after="140" w:line="300"/>
        <w:ind w:left="480"/>
        <w:jc w:val="both"/>
      </w:pPr>
      <w:r>
        <w:rPr>
          <w:rFonts w:ascii="Noto Sans CJK TC" w:cs="Noto Sans CJK TC" w:eastAsia="Noto Sans CJK TC" w:hAnsi="Noto Sans CJK TC"/>
          <w:sz w:val="22"/>
          <w:szCs w:val="22"/>
        </w:rPr>
        <w:t xml:space="preserve">3. 闡述公共AI依賴：專業自主性衝突、問責壓力、公眾監督的依賴-自主困境。</w:t>
      </w:r>
    </w:p>
    <w:p>
      <w:pPr>
        <w:spacing w:after="140" w:line="300"/>
        <w:ind w:left="480"/>
        <w:jc w:val="both"/>
      </w:pPr>
      <w:r>
        <w:rPr>
          <w:rFonts w:ascii="Noto Sans CJK TC" w:cs="Noto Sans CJK TC" w:eastAsia="Noto Sans CJK TC" w:hAnsi="Noto Sans CJK TC"/>
          <w:sz w:val="22"/>
          <w:szCs w:val="22"/>
        </w:rPr>
        <w:t xml:space="preserve">4. 掌握公共AI焦慮三類型：被取代焦慮、專業認同威脅、公共價值焦慮。</w:t>
      </w:r>
    </w:p>
    <w:p>
      <w:pPr>
        <w:spacing w:after="140" w:line="300"/>
        <w:ind w:left="480"/>
        <w:jc w:val="both"/>
      </w:pPr>
      <w:r>
        <w:rPr>
          <w:rFonts w:ascii="Noto Sans CJK TC" w:cs="Noto Sans CJK TC" w:eastAsia="Noto Sans CJK TC" w:hAnsi="Noto Sans CJK TC"/>
          <w:sz w:val="22"/>
          <w:szCs w:val="22"/>
        </w:rPr>
        <w:t xml:space="preserve">5. 分析AI對個人五主題（人格知覺、動機PSM態度、情緒壓力、專業裁量判斷、價值倫理責任）的重構與交互作用，並掌握個人與AI之間的遞迴回饋關係。</w:t>
      </w:r>
    </w:p>
    <w:p>
      <w:pPr>
        <w:pStyle w:val="Heading1"/>
        <w:spacing w:after="140" w:before="320"/>
      </w:pPr>
      <w:r>
        <w:rPr>
          <w:rFonts w:ascii="Noto Sans CJK TC" w:cs="Noto Sans CJK TC" w:eastAsia="Noto Sans CJK TC" w:hAnsi="Noto Sans CJK TC"/>
          <w:b/>
          <w:bCs/>
          <w:sz w:val="26"/>
          <w:szCs w:val="26"/>
        </w:rPr>
        <w:t xml:space="preserve">關鍵詞</w:t>
      </w:r>
    </w:p>
    <w:p>
      <w:pPr>
        <w:spacing w:after="140" w:line="300"/>
        <w:jc w:val="both"/>
      </w:pPr>
      <w:r>
        <w:rPr>
          <w:rFonts w:ascii="Noto Sans CJK TC" w:cs="Noto Sans CJK TC" w:eastAsia="Noto Sans CJK TC" w:hAnsi="Noto Sans CJK TC"/>
          <w:sz w:val="22"/>
          <w:szCs w:val="22"/>
        </w:rPr>
        <w:t xml:space="preserve">技術接受 TAM/UTAUT／人機信任 Human-AI Trust／AI依賴 AI Dependence／AI焦慮 AI Anxiety／自主性 Autonomy／專業認同 Professional Identity／人機認知／遞迴回饋 Recursive Feedback</w:t>
      </w:r>
    </w:p>
    <w:p>
      <w:pPr>
        <w:pStyle w:val="Heading1"/>
        <w:spacing w:after="140" w:before="320"/>
      </w:pPr>
      <w:r>
        <w:rPr>
          <w:rFonts w:ascii="Noto Sans CJK TC" w:cs="Noto Sans CJK TC" w:eastAsia="Noto Sans CJK TC" w:hAnsi="Noto Sans CJK TC"/>
          <w:b/>
          <w:bCs/>
          <w:sz w:val="26"/>
          <w:szCs w:val="26"/>
        </w:rPr>
        <w:t xml:space="preserve">導讀案例：基層社工對AI風險評估系統的矛盾心理</w:t>
      </w:r>
    </w:p>
    <w:p>
      <w:pPr>
        <w:spacing w:after="140" w:line="300"/>
        <w:jc w:val="both"/>
      </w:pPr>
      <w:r>
        <w:rPr>
          <w:rFonts w:ascii="Noto Sans CJK TC" w:cs="Noto Sans CJK TC" w:eastAsia="Noto Sans CJK TC" w:hAnsi="Noto Sans CJK TC"/>
          <w:sz w:val="22"/>
          <w:szCs w:val="22"/>
        </w:rPr>
        <w:t xml:space="preserve">台北市社會局導入AI家暴風險評估，社工一方面信任AI效率而依賴，一方面擔心AI削弱專業自主與公平性而焦慮，呈現信任-依賴-焦慮並存的矛盾，影響使用意願與決策策略。</w:t>
      </w:r>
    </w:p>
    <w:p>
      <w:pPr>
        <w:pStyle w:val="Heading1"/>
        <w:spacing w:after="140" w:before="320"/>
      </w:pPr>
      <w:r>
        <w:rPr>
          <w:rFonts w:ascii="Noto Sans CJK TC" w:cs="Noto Sans CJK TC" w:eastAsia="Noto Sans CJK TC" w:hAnsi="Noto Sans CJK TC"/>
          <w:b/>
          <w:bCs/>
          <w:sz w:val="26"/>
          <w:szCs w:val="26"/>
        </w:rPr>
        <w:t xml:space="preserve">22.2　傳統理論庫存</w:t>
      </w:r>
    </w:p>
    <w:p>
      <w:pPr>
        <w:spacing w:after="140" w:line="300"/>
        <w:jc w:val="both"/>
      </w:pPr>
      <w:r>
        <w:rPr>
          <w:rFonts w:ascii="Noto Sans CJK TC" w:cs="Noto Sans CJK TC" w:eastAsia="Noto Sans CJK TC" w:hAnsi="Noto Sans CJK TC"/>
          <w:sz w:val="22"/>
          <w:szCs w:val="22"/>
        </w:rPr>
        <w:t xml:space="preserve">【接受】Davis (1989) TAM：知覺有用性與易用性、Venkatesh et al. (2003) UTAUT：績效期望、努力期望、社會影響、促進條件。</w:t>
      </w:r>
    </w:p>
    <w:p>
      <w:pPr>
        <w:spacing w:after="140" w:line="300"/>
        <w:jc w:val="both"/>
      </w:pPr>
      <w:r>
        <w:rPr>
          <w:rFonts w:ascii="Noto Sans CJK TC" w:cs="Noto Sans CJK TC" w:eastAsia="Noto Sans CJK TC" w:hAnsi="Noto Sans CJK TC"/>
          <w:sz w:val="22"/>
          <w:szCs w:val="22"/>
        </w:rPr>
        <w:t xml:space="preserve">【信任】Lee &amp; See (2004)人機信任：信任前因（可靠性、透明度）、校準、過度信任與不信任。</w:t>
      </w:r>
    </w:p>
    <w:p>
      <w:pPr>
        <w:spacing w:after="140" w:line="300"/>
        <w:jc w:val="both"/>
      </w:pPr>
      <w:r>
        <w:rPr>
          <w:rFonts w:ascii="Noto Sans CJK TC" w:cs="Noto Sans CJK TC" w:eastAsia="Noto Sans CJK TC" w:hAnsi="Noto Sans CJK TC"/>
          <w:sz w:val="22"/>
          <w:szCs w:val="22"/>
        </w:rPr>
        <w:t xml:space="preserve">【壓力】Tarafdar et al. (2007)技術壓力：過載、入侵、不確定性，與滿意、倦怠、離職關聯。</w:t>
      </w:r>
    </w:p>
    <w:p>
      <w:pPr>
        <w:spacing w:after="140" w:line="300"/>
        <w:jc w:val="both"/>
      </w:pPr>
      <w:r>
        <w:rPr>
          <w:rFonts w:ascii="Noto Sans CJK TC" w:cs="Noto Sans CJK TC" w:eastAsia="Noto Sans CJK TC" w:hAnsi="Noto Sans CJK TC"/>
          <w:sz w:val="22"/>
          <w:szCs w:val="22"/>
        </w:rPr>
        <w:t xml:space="preserve">【假設】技術是工具、人類是主要行動者、接受受個人認知與組織支持影響、壓力來自過載與不確定性。</w:t>
      </w:r>
      <w:r>
        <w:rPr>
          <w:rFonts w:ascii="Noto Sans CJK TC" w:cs="Noto Sans CJK TC" w:eastAsia="Noto Sans CJK TC" w:hAnsi="Noto Sans CJK TC"/>
          <w:i/>
          <w:iCs/>
          <w:color w:val="B5691B"/>
          <w:sz w:val="22"/>
          <w:szCs w:val="22"/>
        </w:rPr>
        <w:t xml:space="preserve"> ★這組假設隱含一個共同的單向邏輯——AI（或技術）是自變項，人類的接受、信任與壓力是依變項。但若使用者對AI的接受行為、信任程度與壓力反應，本身會被系統記錄下來，成為AI下一輪調整的依據，這個單向假設是否仍然站得住腳？</w:t>
      </w:r>
    </w:p>
    <w:p>
      <w:pPr>
        <w:spacing w:after="120" w:before="120"/>
        <w:jc w:val="center"/>
      </w:pPr>
      <w:r>
        <w:drawing>
          <wp:inline distT="0" distB="0" distL="0" distR="0">
            <wp:extent cx="4572000" cy="26574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 w:before="120"/>
        <w:jc w:val="center"/>
      </w:pPr>
      <w:r>
        <w:rPr>
          <w:rFonts w:ascii="Noto Sans CJK TC" w:cs="Noto Sans CJK TC" w:eastAsia="Noto Sans CJK TC" w:hAnsi="Noto Sans CJK TC"/>
          <w:b/>
          <w:bCs/>
          <w:sz w:val="20"/>
          <w:szCs w:val="20"/>
        </w:rPr>
        <w:t xml:space="preserve">圖22-1　公共AI信任五前因模型</w:t>
      </w:r>
    </w:p>
    <w:p>
      <w:pPr>
        <w:pStyle w:val="Heading1"/>
        <w:spacing w:after="140" w:before="320"/>
      </w:pPr>
      <w:r>
        <w:rPr>
          <w:rFonts w:ascii="Noto Sans CJK TC" w:cs="Noto Sans CJK TC" w:eastAsia="Noto Sans CJK TC" w:hAnsi="Noto Sans CJK TC"/>
          <w:b/>
          <w:bCs/>
          <w:sz w:val="26"/>
          <w:szCs w:val="26"/>
        </w:rPr>
        <w:t xml:space="preserve">22.3　公共化轉譯</w:t>
      </w:r>
    </w:p>
    <w:p>
      <w:pPr>
        <w:spacing w:after="100" w:before="140"/>
        <w:jc w:val="both"/>
      </w:pPr>
      <w:r>
        <w:rPr>
          <w:rFonts w:ascii="Noto Sans CJK TC" w:cs="Noto Sans CJK TC" w:eastAsia="Noto Sans CJK TC" w:hAnsi="Noto Sans CJK TC"/>
          <w:b/>
          <w:bCs/>
          <w:sz w:val="22"/>
          <w:szCs w:val="22"/>
        </w:rPr>
        <w:t xml:space="preserve">【信任公共化】</w:t>
      </w:r>
    </w:p>
    <w:p>
      <w:pPr>
        <w:spacing w:after="100" w:line="290"/>
        <w:ind w:left="480" w:hanging="220"/>
        <w:jc w:val="both"/>
      </w:pPr>
      <w:r>
        <w:rPr>
          <w:rFonts w:ascii="Noto Sans CJK TC" w:cs="Noto Sans CJK TC" w:eastAsia="Noto Sans CJK TC" w:hAnsi="Noto Sans CJK TC"/>
          <w:sz w:val="22"/>
          <w:szCs w:val="22"/>
        </w:rPr>
        <w:t xml:space="preserve">•  </w:t>
      </w:r>
      <w:r>
        <w:rPr>
          <w:rFonts w:ascii="Noto Sans CJK TC" w:cs="Noto Sans CJK TC" w:eastAsia="Noto Sans CJK TC" w:hAnsi="Noto Sans CJK TC"/>
          <w:sz w:val="22"/>
          <w:szCs w:val="22"/>
        </w:rPr>
        <w:t xml:space="preserve">價值一致性信任：更信任與公共價值（公平、正義、透明）一致的AI，衝突時降低信任，Busuioc (2021)演算法課責。</w:t>
      </w:r>
    </w:p>
    <w:p>
      <w:pPr>
        <w:spacing w:after="100" w:line="290"/>
        <w:ind w:left="480" w:hanging="220"/>
        <w:jc w:val="both"/>
      </w:pPr>
      <w:r>
        <w:rPr>
          <w:rFonts w:ascii="Noto Sans CJK TC" w:cs="Noto Sans CJK TC" w:eastAsia="Noto Sans CJK TC" w:hAnsi="Noto Sans CJK TC"/>
          <w:sz w:val="22"/>
          <w:szCs w:val="22"/>
        </w:rPr>
        <w:t xml:space="preserve">•  </w:t>
      </w:r>
      <w:r>
        <w:rPr>
          <w:rFonts w:ascii="Noto Sans CJK TC" w:cs="Noto Sans CJK TC" w:eastAsia="Noto Sans CJK TC" w:hAnsi="Noto Sans CJK TC"/>
          <w:sz w:val="22"/>
          <w:szCs w:val="22"/>
        </w:rPr>
        <w:t xml:space="preserve">合法性信任：更信任符合法律規範（個資、透明度）的AI，法律風險時降低信任。</w:t>
      </w:r>
    </w:p>
    <w:p>
      <w:pPr>
        <w:spacing w:after="100" w:line="290"/>
        <w:ind w:left="480" w:hanging="220"/>
        <w:jc w:val="both"/>
      </w:pPr>
      <w:r>
        <w:rPr>
          <w:rFonts w:ascii="Noto Sans CJK TC" w:cs="Noto Sans CJK TC" w:eastAsia="Noto Sans CJK TC" w:hAnsi="Noto Sans CJK TC"/>
          <w:sz w:val="22"/>
          <w:szCs w:val="22"/>
        </w:rPr>
        <w:t xml:space="preserve">•  </w:t>
      </w:r>
      <w:r>
        <w:rPr>
          <w:rFonts w:ascii="Noto Sans CJK TC" w:cs="Noto Sans CJK TC" w:eastAsia="Noto Sans CJK TC" w:hAnsi="Noto Sans CJK TC"/>
          <w:sz w:val="22"/>
          <w:szCs w:val="22"/>
        </w:rPr>
        <w:t xml:space="preserve">公眾信任調節：受公眾信任影響，公眾批評時降低信任以避免政治風險，Grimmelikhuijsen &amp; Meijer (2022)。</w:t>
      </w:r>
    </w:p>
    <w:p>
      <w:pPr>
        <w:spacing w:after="100" w:line="290"/>
        <w:ind w:left="480" w:hanging="220"/>
        <w:jc w:val="both"/>
      </w:pPr>
      <w:r>
        <w:rPr>
          <w:rFonts w:ascii="Noto Sans CJK TC" w:cs="Noto Sans CJK TC" w:eastAsia="Noto Sans CJK TC" w:hAnsi="Noto Sans CJK TC"/>
          <w:sz w:val="22"/>
          <w:szCs w:val="22"/>
        </w:rPr>
        <w:t xml:space="preserve">•  </w:t>
      </w:r>
      <w:r>
        <w:rPr>
          <w:rFonts w:ascii="Noto Sans CJK TC" w:cs="Noto Sans CJK TC" w:eastAsia="Noto Sans CJK TC" w:hAnsi="Noto Sans CJK TC"/>
          <w:sz w:val="22"/>
          <w:szCs w:val="22"/>
        </w:rPr>
        <w:t xml:space="preserve">困境：因增強公共價值實現而增強信任，但因倫理爭議而降低信任。</w:t>
      </w:r>
    </w:p>
    <w:p>
      <w:pPr>
        <w:spacing w:after="100" w:before="140"/>
        <w:jc w:val="both"/>
      </w:pPr>
      <w:r>
        <w:rPr>
          <w:rFonts w:ascii="Noto Sans CJK TC" w:cs="Noto Sans CJK TC" w:eastAsia="Noto Sans CJK TC" w:hAnsi="Noto Sans CJK TC"/>
          <w:b/>
          <w:bCs/>
          <w:sz w:val="22"/>
          <w:szCs w:val="22"/>
        </w:rPr>
        <w:t xml:space="preserve">【依賴公共化】</w:t>
      </w:r>
    </w:p>
    <w:p>
      <w:pPr>
        <w:spacing w:after="100" w:line="290"/>
        <w:ind w:left="480" w:hanging="220"/>
        <w:jc w:val="both"/>
      </w:pPr>
      <w:r>
        <w:rPr>
          <w:rFonts w:ascii="Noto Sans CJK TC" w:cs="Noto Sans CJK TC" w:eastAsia="Noto Sans CJK TC" w:hAnsi="Noto Sans CJK TC"/>
          <w:sz w:val="22"/>
          <w:szCs w:val="22"/>
        </w:rPr>
        <w:t xml:space="preserve">•  </w:t>
      </w:r>
      <w:r>
        <w:rPr>
          <w:rFonts w:ascii="Noto Sans CJK TC" w:cs="Noto Sans CJK TC" w:eastAsia="Noto Sans CJK TC" w:hAnsi="Noto Sans CJK TC"/>
          <w:sz w:val="22"/>
          <w:szCs w:val="22"/>
        </w:rPr>
        <w:t xml:space="preserve">自主性衝突：因增強效能而依賴，但因削弱自主而抗拒，依賴-自主困境，Bullock et al. (2020)人工裁量。</w:t>
      </w:r>
    </w:p>
    <w:p>
      <w:pPr>
        <w:spacing w:after="100" w:line="290"/>
        <w:ind w:left="480" w:hanging="220"/>
        <w:jc w:val="both"/>
      </w:pPr>
      <w:r>
        <w:rPr>
          <w:rFonts w:ascii="Noto Sans CJK TC" w:cs="Noto Sans CJK TC" w:eastAsia="Noto Sans CJK TC" w:hAnsi="Noto Sans CJK TC"/>
          <w:sz w:val="22"/>
          <w:szCs w:val="22"/>
        </w:rPr>
        <w:t xml:space="preserve">•  </w:t>
      </w:r>
      <w:r>
        <w:rPr>
          <w:rFonts w:ascii="Noto Sans CJK TC" w:cs="Noto Sans CJK TC" w:eastAsia="Noto Sans CJK TC" w:hAnsi="Noto Sans CJK TC"/>
          <w:sz w:val="22"/>
          <w:szCs w:val="22"/>
        </w:rPr>
        <w:t xml:space="preserve">問責壓力：因問責傾向依賴，錯誤時可部分歸因AI，增強依賴但責任模糊。</w:t>
      </w:r>
    </w:p>
    <w:p>
      <w:pPr>
        <w:spacing w:after="100" w:line="290"/>
        <w:ind w:left="480" w:hanging="220"/>
        <w:jc w:val="both"/>
      </w:pPr>
      <w:r>
        <w:rPr>
          <w:rFonts w:ascii="Noto Sans CJK TC" w:cs="Noto Sans CJK TC" w:eastAsia="Noto Sans CJK TC" w:hAnsi="Noto Sans CJK TC"/>
          <w:sz w:val="22"/>
          <w:szCs w:val="22"/>
        </w:rPr>
        <w:t xml:space="preserve">•  </w:t>
      </w:r>
      <w:r>
        <w:rPr>
          <w:rFonts w:ascii="Noto Sans CJK TC" w:cs="Noto Sans CJK TC" w:eastAsia="Noto Sans CJK TC" w:hAnsi="Noto Sans CJK TC"/>
          <w:sz w:val="22"/>
          <w:szCs w:val="22"/>
        </w:rPr>
        <w:t xml:space="preserve">公眾監督：因監督調整依賴，批評時降低以避免質疑。</w:t>
      </w:r>
    </w:p>
    <w:p>
      <w:pPr>
        <w:spacing w:after="100" w:before="140"/>
        <w:jc w:val="both"/>
      </w:pPr>
      <w:r>
        <w:rPr>
          <w:rFonts w:ascii="Noto Sans CJK TC" w:cs="Noto Sans CJK TC" w:eastAsia="Noto Sans CJK TC" w:hAnsi="Noto Sans CJK TC"/>
          <w:b/>
          <w:bCs/>
          <w:sz w:val="22"/>
          <w:szCs w:val="22"/>
        </w:rPr>
        <w:t xml:space="preserve">【焦慮公共化】</w:t>
      </w:r>
    </w:p>
    <w:p>
      <w:pPr>
        <w:spacing w:after="100" w:line="290"/>
        <w:ind w:left="480" w:hanging="220"/>
        <w:jc w:val="both"/>
      </w:pPr>
      <w:r>
        <w:rPr>
          <w:rFonts w:ascii="Noto Sans CJK TC" w:cs="Noto Sans CJK TC" w:eastAsia="Noto Sans CJK TC" w:hAnsi="Noto Sans CJK TC"/>
          <w:sz w:val="22"/>
          <w:szCs w:val="22"/>
        </w:rPr>
        <w:t xml:space="preserve">•  </w:t>
      </w:r>
      <w:r>
        <w:rPr>
          <w:rFonts w:ascii="Noto Sans CJK TC" w:cs="Noto Sans CJK TC" w:eastAsia="Noto Sans CJK TC" w:hAnsi="Noto Sans CJK TC"/>
          <w:sz w:val="22"/>
          <w:szCs w:val="22"/>
        </w:rPr>
        <w:t xml:space="preserve">被取代焦慮：擔心取代工作，自動化常規任務時尤其，導致抗拒、防衛、創新抑制，Brougham &amp; Haar (2018)。</w:t>
      </w:r>
    </w:p>
    <w:p>
      <w:pPr>
        <w:spacing w:after="100" w:line="290"/>
        <w:ind w:left="480" w:hanging="220"/>
        <w:jc w:val="both"/>
      </w:pPr>
      <w:r>
        <w:rPr>
          <w:rFonts w:ascii="Noto Sans CJK TC" w:cs="Noto Sans CJK TC" w:eastAsia="Noto Sans CJK TC" w:hAnsi="Noto Sans CJK TC"/>
          <w:sz w:val="22"/>
          <w:szCs w:val="22"/>
        </w:rPr>
        <w:t xml:space="preserve">•  </w:t>
      </w:r>
      <w:r>
        <w:rPr>
          <w:rFonts w:ascii="Noto Sans CJK TC" w:cs="Noto Sans CJK TC" w:eastAsia="Noto Sans CJK TC" w:hAnsi="Noto Sans CJK TC"/>
          <w:sz w:val="22"/>
          <w:szCs w:val="22"/>
        </w:rPr>
        <w:t xml:space="preserve">專業認同威脅：擔心削弱判斷，建議與專業衝突時感到權威威脅，認知失調與角色衝突。</w:t>
      </w:r>
    </w:p>
    <w:p>
      <w:pPr>
        <w:spacing w:after="100" w:line="290"/>
        <w:ind w:left="480" w:hanging="220"/>
        <w:jc w:val="both"/>
      </w:pPr>
      <w:r>
        <w:rPr>
          <w:rFonts w:ascii="Noto Sans CJK TC" w:cs="Noto Sans CJK TC" w:eastAsia="Noto Sans CJK TC" w:hAnsi="Noto Sans CJK TC"/>
          <w:sz w:val="22"/>
          <w:szCs w:val="22"/>
        </w:rPr>
        <w:t xml:space="preserve">•  </w:t>
      </w:r>
      <w:r>
        <w:rPr>
          <w:rFonts w:ascii="Noto Sans CJK TC" w:cs="Noto Sans CJK TC" w:eastAsia="Noto Sans CJK TC" w:hAnsi="Noto Sans CJK TC"/>
          <w:sz w:val="22"/>
          <w:szCs w:val="22"/>
        </w:rPr>
        <w:t xml:space="preserve">公共價值焦慮：擔心損害公共價值，基於效率最大化忽略公平時感到衝突與道德困擾。</w:t>
      </w:r>
    </w:p>
    <w:p>
      <w:pPr>
        <w:spacing w:after="140" w:line="300"/>
        <w:jc w:val="both"/>
      </w:pPr>
      <w:r>
        <w:rPr>
          <w:rFonts w:ascii="Noto Sans CJK TC" w:cs="Noto Sans CJK TC" w:eastAsia="Noto Sans CJK TC" w:hAnsi="Noto Sans CJK TC"/>
          <w:i/>
          <w:iCs/>
          <w:color w:val="B5691B"/>
          <w:sz w:val="22"/>
          <w:szCs w:val="22"/>
        </w:rPr>
        <w:t xml:space="preserve">★ 信任、依賴與焦慮三者的公共化討論，目前仍以「AI如何影響公務人員」為敘事主軸；但公務人員對AI的信任程度、依賴模式與焦慮反應，同樣會被AI系統記錄、彙整，進而調整下一輪的建議方式與呈現形式——公務人員不是單純的接受端，而是與AI共同構成一個持續調整的迴路。</w:t>
      </w:r>
    </w:p>
    <w:p>
      <w:pPr>
        <w:pStyle w:val="Heading1"/>
        <w:spacing w:after="140" w:before="320"/>
      </w:pPr>
      <w:r>
        <w:rPr>
          <w:rFonts w:ascii="Noto Sans CJK TC" w:cs="Noto Sans CJK TC" w:eastAsia="Noto Sans CJK TC" w:hAnsi="Noto Sans CJK TC"/>
          <w:b/>
          <w:bCs/>
          <w:sz w:val="26"/>
          <w:szCs w:val="26"/>
        </w:rPr>
        <w:t xml:space="preserve">22.4　治理化擴充</w:t>
      </w:r>
    </w:p>
    <w:p>
      <w:pPr>
        <w:spacing w:after="100" w:before="140"/>
        <w:jc w:val="both"/>
      </w:pPr>
      <w:r>
        <w:rPr>
          <w:rFonts w:ascii="Noto Sans CJK TC" w:cs="Noto Sans CJK TC" w:eastAsia="Noto Sans CJK TC" w:hAnsi="Noto Sans CJK TC"/>
          <w:b/>
          <w:bCs/>
          <w:sz w:val="22"/>
          <w:szCs w:val="22"/>
        </w:rPr>
        <w:t xml:space="preserve">【信任治理化】</w:t>
      </w:r>
    </w:p>
    <w:p>
      <w:pPr>
        <w:spacing w:after="100" w:line="290"/>
        <w:ind w:left="480" w:hanging="220"/>
        <w:jc w:val="both"/>
      </w:pPr>
      <w:r>
        <w:rPr>
          <w:rFonts w:ascii="Noto Sans CJK TC" w:cs="Noto Sans CJK TC" w:eastAsia="Noto Sans CJK TC" w:hAnsi="Noto Sans CJK TC"/>
          <w:sz w:val="22"/>
          <w:szCs w:val="22"/>
        </w:rPr>
        <w:t xml:space="preserve">•  </w:t>
      </w:r>
      <w:r>
        <w:rPr>
          <w:rFonts w:ascii="Noto Sans CJK TC" w:cs="Noto Sans CJK TC" w:eastAsia="Noto Sans CJK TC" w:hAnsi="Noto Sans CJK TC"/>
          <w:sz w:val="22"/>
          <w:szCs w:val="22"/>
        </w:rPr>
        <w:t xml:space="preserve">跨組織信任：需信任跨組織AI（共享平台、聯合分析），增強協作但邊界與信任受限。</w:t>
      </w:r>
    </w:p>
    <w:p>
      <w:pPr>
        <w:spacing w:after="100" w:line="290"/>
        <w:ind w:left="480" w:hanging="220"/>
        <w:jc w:val="both"/>
      </w:pPr>
      <w:r>
        <w:rPr>
          <w:rFonts w:ascii="Noto Sans CJK TC" w:cs="Noto Sans CJK TC" w:eastAsia="Noto Sans CJK TC" w:hAnsi="Noto Sans CJK TC"/>
          <w:sz w:val="22"/>
          <w:szCs w:val="22"/>
        </w:rPr>
        <w:t xml:space="preserve">•  </w:t>
      </w:r>
      <w:r>
        <w:rPr>
          <w:rFonts w:ascii="Noto Sans CJK TC" w:cs="Noto Sans CJK TC" w:eastAsia="Noto Sans CJK TC" w:hAnsi="Noto Sans CJK TC"/>
          <w:sz w:val="22"/>
          <w:szCs w:val="22"/>
        </w:rPr>
        <w:t xml:space="preserve">網絡信任調節：受網絡信任影響，成員普遍信任時更傾向信任，增強協作但盲目信任與風險忽視。</w:t>
      </w:r>
    </w:p>
    <w:p>
      <w:pPr>
        <w:spacing w:after="100" w:before="140"/>
        <w:jc w:val="both"/>
      </w:pPr>
      <w:r>
        <w:rPr>
          <w:rFonts w:ascii="Noto Sans CJK TC" w:cs="Noto Sans CJK TC" w:eastAsia="Noto Sans CJK TC" w:hAnsi="Noto Sans CJK TC"/>
          <w:b/>
          <w:bCs/>
          <w:sz w:val="22"/>
          <w:szCs w:val="22"/>
        </w:rPr>
        <w:t xml:space="preserve">【依賴治理化】</w:t>
      </w:r>
    </w:p>
    <w:p>
      <w:pPr>
        <w:spacing w:after="100" w:line="290"/>
        <w:ind w:left="480" w:hanging="220"/>
        <w:jc w:val="both"/>
      </w:pPr>
      <w:r>
        <w:rPr>
          <w:rFonts w:ascii="Noto Sans CJK TC" w:cs="Noto Sans CJK TC" w:eastAsia="Noto Sans CJK TC" w:hAnsi="Noto Sans CJK TC"/>
          <w:sz w:val="22"/>
          <w:szCs w:val="22"/>
        </w:rPr>
        <w:t xml:space="preserve">•  </w:t>
      </w:r>
      <w:r>
        <w:rPr>
          <w:rFonts w:ascii="Noto Sans CJK TC" w:cs="Noto Sans CJK TC" w:eastAsia="Noto Sans CJK TC" w:hAnsi="Noto Sans CJK TC"/>
          <w:sz w:val="22"/>
          <w:szCs w:val="22"/>
        </w:rPr>
        <w:t xml:space="preserve">跨組織依賴：需依賴跨組織AI（共享平台、聯合決策輔助），增強效能但技術依賴增風險。</w:t>
      </w:r>
    </w:p>
    <w:p>
      <w:pPr>
        <w:spacing w:after="100" w:line="290"/>
        <w:ind w:left="480" w:hanging="220"/>
        <w:jc w:val="both"/>
      </w:pPr>
      <w:r>
        <w:rPr>
          <w:rFonts w:ascii="Noto Sans CJK TC" w:cs="Noto Sans CJK TC" w:eastAsia="Noto Sans CJK TC" w:hAnsi="Noto Sans CJK TC"/>
          <w:sz w:val="22"/>
          <w:szCs w:val="22"/>
        </w:rPr>
        <w:t xml:space="preserve">•  </w:t>
      </w:r>
      <w:r>
        <w:rPr>
          <w:rFonts w:ascii="Noto Sans CJK TC" w:cs="Noto Sans CJK TC" w:eastAsia="Noto Sans CJK TC" w:hAnsi="Noto Sans CJK TC"/>
          <w:sz w:val="22"/>
          <w:szCs w:val="22"/>
        </w:rPr>
        <w:t xml:space="preserve">網絡依賴調節：普遍依賴時更傾向依賴，增強協作但系統性風險（故障時整個網絡影響）。</w:t>
      </w:r>
    </w:p>
    <w:p>
      <w:pPr>
        <w:spacing w:after="100" w:before="140"/>
        <w:jc w:val="both"/>
      </w:pPr>
      <w:r>
        <w:rPr>
          <w:rFonts w:ascii="Noto Sans CJK TC" w:cs="Noto Sans CJK TC" w:eastAsia="Noto Sans CJK TC" w:hAnsi="Noto Sans CJK TC"/>
          <w:b/>
          <w:bCs/>
          <w:sz w:val="22"/>
          <w:szCs w:val="22"/>
        </w:rPr>
        <w:t xml:space="preserve">【焦慮治理化】</w:t>
      </w:r>
    </w:p>
    <w:p>
      <w:pPr>
        <w:spacing w:after="100" w:line="290"/>
        <w:ind w:left="480" w:hanging="220"/>
        <w:jc w:val="both"/>
      </w:pPr>
      <w:r>
        <w:rPr>
          <w:rFonts w:ascii="Noto Sans CJK TC" w:cs="Noto Sans CJK TC" w:eastAsia="Noto Sans CJK TC" w:hAnsi="Noto Sans CJK TC"/>
          <w:sz w:val="22"/>
          <w:szCs w:val="22"/>
        </w:rPr>
        <w:t xml:space="preserve">•  </w:t>
      </w:r>
      <w:r>
        <w:rPr>
          <w:rFonts w:ascii="Noto Sans CJK TC" w:cs="Noto Sans CJK TC" w:eastAsia="Noto Sans CJK TC" w:hAnsi="Noto Sans CJK TC"/>
          <w:sz w:val="22"/>
          <w:szCs w:val="22"/>
        </w:rPr>
        <w:t xml:space="preserve">網絡不確定性焦慮：因網絡不確定（成員變動、協議調整、資源流動）增強焦慮，防衛與協作抑制。</w:t>
      </w:r>
    </w:p>
    <w:p>
      <w:pPr>
        <w:spacing w:after="100" w:line="290"/>
        <w:ind w:left="480" w:hanging="220"/>
        <w:jc w:val="both"/>
      </w:pPr>
      <w:r>
        <w:rPr>
          <w:rFonts w:ascii="Noto Sans CJK TC" w:cs="Noto Sans CJK TC" w:eastAsia="Noto Sans CJK TC" w:hAnsi="Noto Sans CJK TC"/>
          <w:sz w:val="22"/>
          <w:szCs w:val="22"/>
        </w:rPr>
        <w:t xml:space="preserve">•  </w:t>
      </w:r>
      <w:r>
        <w:rPr>
          <w:rFonts w:ascii="Noto Sans CJK TC" w:cs="Noto Sans CJK TC" w:eastAsia="Noto Sans CJK TC" w:hAnsi="Noto Sans CJK TC"/>
          <w:sz w:val="22"/>
          <w:szCs w:val="22"/>
        </w:rPr>
        <w:t xml:space="preserve">多元價值衝突焦慮：因多元價值衝突（政府合法性、NPO正義、企業效率、公民參與）增強焦慮，AI建議與多元衝突時認知失調與決策困難。</w:t>
      </w:r>
    </w:p>
    <w:p>
      <w:pPr>
        <w:spacing w:after="140" w:line="300"/>
        <w:jc w:val="both"/>
      </w:pPr>
      <w:r>
        <w:rPr>
          <w:rFonts w:ascii="Noto Sans CJK TC" w:cs="Noto Sans CJK TC" w:eastAsia="Noto Sans CJK TC" w:hAnsi="Noto Sans CJK TC"/>
          <w:i/>
          <w:iCs/>
          <w:color w:val="B5691B"/>
          <w:sz w:val="22"/>
          <w:szCs w:val="22"/>
        </w:rPr>
        <w:t xml:space="preserve">★ 在治理網絡的尺度上，同樣的迴路依然成立：網絡成員對跨組織AI的信任、依賴與焦慮模式，會透過共享平台的使用紀錄回饋進系統的後續調整；換言之，治理網絡不是單向部署AI的一方，而是與AI共同處於一個雙向、持續調整的關係之中。</w:t>
      </w:r>
    </w:p>
    <w:p>
      <w:pPr>
        <w:pStyle w:val="Heading1"/>
        <w:spacing w:after="140" w:before="320"/>
      </w:pPr>
      <w:r>
        <w:rPr>
          <w:rFonts w:ascii="Noto Sans CJK TC" w:cs="Noto Sans CJK TC" w:eastAsia="Noto Sans CJK TC" w:hAnsi="Noto Sans CJK TC"/>
          <w:b/>
          <w:bCs/>
          <w:sz w:val="26"/>
          <w:szCs w:val="26"/>
        </w:rPr>
        <w:t xml:space="preserve">22.5　AI化重構：與第二部五主題交互</w:t>
      </w:r>
    </w:p>
    <w:p>
      <w:pPr>
        <w:spacing w:after="140" w:line="300"/>
        <w:jc w:val="both"/>
      </w:pPr>
      <w:r>
        <w:rPr>
          <w:rFonts w:ascii="Noto Sans CJK TC" w:cs="Noto Sans CJK TC" w:eastAsia="Noto Sans CJK TC" w:hAnsi="Noto Sans CJK TC"/>
          <w:sz w:val="22"/>
          <w:szCs w:val="22"/>
        </w:rPr>
        <w:t xml:space="preserve">【人格知覺】AI改變知覺情境，人機認知（信任、依賴、焦慮、抗拒）影響行為。</w:t>
      </w:r>
    </w:p>
    <w:p>
      <w:pPr>
        <w:spacing w:after="140" w:line="300"/>
        <w:jc w:val="both"/>
      </w:pPr>
      <w:r>
        <w:rPr>
          <w:rFonts w:ascii="Noto Sans CJK TC" w:cs="Noto Sans CJK TC" w:eastAsia="Noto Sans CJK TC" w:hAnsi="Noto Sans CJK TC"/>
          <w:sz w:val="22"/>
          <w:szCs w:val="22"/>
        </w:rPr>
        <w:t xml:space="preserve">【動機與態度】工作內容轉向判斷、協作，PSM與AI信任交互，滿意受AI使用體驗影響，承諾受組織AI支持影響。</w:t>
      </w:r>
    </w:p>
    <w:p>
      <w:pPr>
        <w:spacing w:after="140" w:line="300"/>
        <w:jc w:val="both"/>
      </w:pPr>
      <w:r>
        <w:rPr>
          <w:rFonts w:ascii="Noto Sans CJK TC" w:cs="Noto Sans CJK TC" w:eastAsia="Noto Sans CJK TC" w:hAnsi="Noto Sans CJK TC"/>
          <w:sz w:val="22"/>
          <w:szCs w:val="22"/>
        </w:rPr>
        <w:t xml:space="preserve">【情緒壓力】新壓力源：演算法不透明、資料品質責任、AI錯誤問責；新情緒勞動：直接→間接（安撫對AI不滿公民）；JD-R變化：AI為資源（降低負荷）也為要求（需學習新技能、承擔錯誤）。</w:t>
      </w:r>
    </w:p>
    <w:p>
      <w:pPr>
        <w:spacing w:after="140" w:line="300"/>
        <w:jc w:val="both"/>
      </w:pPr>
      <w:r>
        <w:rPr>
          <w:rFonts w:ascii="Noto Sans CJK TC" w:cs="Noto Sans CJK TC" w:eastAsia="Noto Sans CJK TC" w:hAnsi="Noto Sans CJK TC"/>
          <w:sz w:val="22"/>
          <w:szCs w:val="22"/>
        </w:rPr>
        <w:t xml:space="preserve">【專業裁量判斷】削弱vs增強專業自主，演算法偏誤（O'Neil, Barocas），後設裁量（對AI建議的裁量），Bullock人工裁量框架。</w:t>
      </w:r>
    </w:p>
    <w:p>
      <w:pPr>
        <w:spacing w:after="140" w:line="300"/>
        <w:jc w:val="both"/>
      </w:pPr>
      <w:r>
        <w:rPr>
          <w:rFonts w:ascii="Noto Sans CJK TC" w:cs="Noto Sans CJK TC" w:eastAsia="Noto Sans CJK TC" w:hAnsi="Noto Sans CJK TC"/>
          <w:sz w:val="22"/>
          <w:szCs w:val="22"/>
        </w:rPr>
        <w:t xml:space="preserve">【價值倫理責任】AI挑戰公平、透明、專業價值，責任模糊（開發者、使用者、組織、AI本身），需人機共同責任，Busuioc演算法課責。</w:t>
      </w:r>
    </w:p>
    <w:p>
      <w:pPr>
        <w:spacing w:after="100" w:before="140"/>
        <w:jc w:val="both"/>
      </w:pPr>
      <w:r>
        <w:rPr>
          <w:rFonts w:ascii="Noto Sans CJK TC" w:cs="Noto Sans CJK TC" w:eastAsia="Noto Sans CJK TC" w:hAnsi="Noto Sans CJK TC"/>
          <w:b/>
          <w:bCs/>
          <w:sz w:val="22"/>
          <w:szCs w:val="22"/>
        </w:rPr>
        <w:t xml:space="preserve">【整合命題】</w:t>
      </w:r>
    </w:p>
    <w:p>
      <w:pPr>
        <w:spacing w:after="140" w:line="300"/>
        <w:ind w:left="480"/>
        <w:jc w:val="both"/>
      </w:pPr>
      <w:r>
        <w:rPr>
          <w:rFonts w:ascii="Noto Sans CJK TC" w:cs="Noto Sans CJK TC" w:eastAsia="Noto Sans CJK TC" w:hAnsi="Noto Sans CJK TC"/>
          <w:sz w:val="22"/>
          <w:szCs w:val="22"/>
        </w:rPr>
        <w:t xml:space="preserve">命題22-1：價值一致性與AI信任正相關。</w:t>
      </w:r>
    </w:p>
    <w:p>
      <w:pPr>
        <w:spacing w:after="140" w:line="300"/>
        <w:ind w:left="480"/>
        <w:jc w:val="both"/>
      </w:pPr>
      <w:r>
        <w:rPr>
          <w:rFonts w:ascii="Noto Sans CJK TC" w:cs="Noto Sans CJK TC" w:eastAsia="Noto Sans CJK TC" w:hAnsi="Noto Sans CJK TC"/>
          <w:sz w:val="22"/>
          <w:szCs w:val="22"/>
        </w:rPr>
        <w:t xml:space="preserve">命題22-2：問責壓力與AI依賴正相關，但與專業自主負相關。</w:t>
      </w:r>
    </w:p>
    <w:p>
      <w:pPr>
        <w:spacing w:after="140" w:line="300"/>
        <w:ind w:left="480"/>
        <w:jc w:val="both"/>
      </w:pPr>
      <w:r>
        <w:rPr>
          <w:rFonts w:ascii="Noto Sans CJK TC" w:cs="Noto Sans CJK TC" w:eastAsia="Noto Sans CJK TC" w:hAnsi="Noto Sans CJK TC"/>
          <w:sz w:val="22"/>
          <w:szCs w:val="22"/>
        </w:rPr>
        <w:t xml:space="preserve">命題22-3：被取代焦慮與AI抗拒正相關，受PSM調節。</w:t>
      </w:r>
    </w:p>
    <w:p>
      <w:pPr>
        <w:spacing w:after="140" w:line="300"/>
        <w:ind w:left="480"/>
        <w:jc w:val="both"/>
      </w:pPr>
      <w:r>
        <w:rPr>
          <w:rFonts w:ascii="Noto Sans CJK TC" w:cs="Noto Sans CJK TC" w:eastAsia="Noto Sans CJK TC" w:hAnsi="Noto Sans CJK TC"/>
          <w:sz w:val="22"/>
          <w:szCs w:val="22"/>
        </w:rPr>
        <w:t xml:space="preserve">命題22-4：公共價值焦慮與AI建議質疑正相關。</w:t>
      </w:r>
    </w:p>
    <w:p>
      <w:pPr>
        <w:spacing w:after="140" w:line="300"/>
        <w:ind w:left="480"/>
        <w:jc w:val="both"/>
      </w:pPr>
      <w:r>
        <w:rPr>
          <w:rFonts w:ascii="Noto Sans CJK TC" w:cs="Noto Sans CJK TC" w:eastAsia="Noto Sans CJK TC" w:hAnsi="Noto Sans CJK TC"/>
          <w:sz w:val="22"/>
          <w:szCs w:val="22"/>
        </w:rPr>
        <w:t xml:space="preserve">命題22-5：網絡信任調節AI信任與協作效能。</w:t>
      </w:r>
    </w:p>
    <w:p>
      <w:pPr>
        <w:spacing w:after="140" w:line="300"/>
        <w:jc w:val="both"/>
      </w:pPr>
      <w:r>
        <w:rPr>
          <w:rFonts w:ascii="Noto Sans CJK TC" w:cs="Noto Sans CJK TC" w:eastAsia="Noto Sans CJK TC" w:hAnsi="Noto Sans CJK TC"/>
          <w:i/>
          <w:iCs/>
          <w:color w:val="B5691B"/>
          <w:sz w:val="22"/>
          <w:szCs w:val="22"/>
        </w:rPr>
        <w:t xml:space="preserve">★ 綜合以上五主題的交互作用，本章的立場是：個人依賴AI判斷，AI又根據個人行為調整輸出，兩者形成持續運轉的回饋迴路，而非單向的「AI影響個人」。這個立場貫穿本章22.2至22.5節的每一次收尾提問，也是第24章第四節〈虛擬治理空間中的遞迴互動與共構〉要在全書尺度上正式收束的核心命題，在個人層次的第一次完整展現。</w:t>
      </w:r>
    </w:p>
    <w:p>
      <w:pPr>
        <w:spacing w:after="160" w:before="160" w:line="280"/>
        <w:jc w:val="both"/>
      </w:pPr>
      <w:r>
        <w:rPr>
          <w:rFonts w:ascii="Noto Sans CJK TC" w:cs="Noto Sans CJK TC" w:eastAsia="Noto Sans CJK TC" w:hAnsi="Noto Sans CJK TC"/>
          <w:i/>
          <w:iCs/>
          <w:color w:val="555555"/>
          <w:sz w:val="19"/>
          <w:szCs w:val="19"/>
        </w:rPr>
        <w:t xml:space="preserve">（依體檢總表對第22章之🔴必改建議落實：本章原規劃與第6–10章鏡像對照的架構完整保留，僅在22.2、22.3、22.4、22.5節收尾處各加入一句遞迴視角的提問或陳述，將「AI單向影響個人」的敘事，修正為「個人與AI雙向回饋」的敘事，為第24章鋪路。）</w:t>
      </w:r>
    </w:p>
    <w:p>
      <w:pPr>
        <w:pStyle w:val="Heading1"/>
        <w:spacing w:after="140" w:before="320"/>
      </w:pPr>
      <w:r>
        <w:rPr>
          <w:rFonts w:ascii="Noto Sans CJK TC" w:cs="Noto Sans CJK TC" w:eastAsia="Noto Sans CJK TC" w:hAnsi="Noto Sans CJK TC"/>
          <w:b/>
          <w:bCs/>
          <w:sz w:val="26"/>
          <w:szCs w:val="26"/>
        </w:rPr>
        <w:t xml:space="preserve">教學APP</w:t>
      </w:r>
    </w:p>
    <w:p>
      <w:pPr>
        <w:spacing w:after="100" w:line="290"/>
        <w:ind w:left="480" w:hanging="220"/>
        <w:jc w:val="both"/>
      </w:pPr>
      <w:r>
        <w:rPr>
          <w:rFonts w:ascii="Noto Sans CJK TC" w:cs="Noto Sans CJK TC" w:eastAsia="Noto Sans CJK TC" w:hAnsi="Noto Sans CJK TC"/>
          <w:sz w:val="22"/>
          <w:szCs w:val="22"/>
        </w:rPr>
        <w:t xml:space="preserve">•  </w:t>
      </w:r>
      <w:r>
        <w:rPr>
          <w:rFonts w:ascii="Noto Sans CJK TC" w:cs="Noto Sans CJK TC" w:eastAsia="Noto Sans CJK TC" w:hAnsi="Noto Sans CJK TC"/>
          <w:sz w:val="22"/>
          <w:szCs w:val="22"/>
        </w:rPr>
        <w:t xml:space="preserve">APP 1：AI信任診斷：測量五前因，生成信任雷達圖，推薦校準策略（避免過度與不足信任）。</w:t>
      </w:r>
    </w:p>
    <w:p>
      <w:pPr>
        <w:spacing w:after="100" w:line="290"/>
        <w:ind w:left="480" w:hanging="220"/>
        <w:jc w:val="both"/>
      </w:pPr>
      <w:r>
        <w:rPr>
          <w:rFonts w:ascii="Noto Sans CJK TC" w:cs="Noto Sans CJK TC" w:eastAsia="Noto Sans CJK TC" w:hAnsi="Noto Sans CJK TC"/>
          <w:sz w:val="22"/>
          <w:szCs w:val="22"/>
        </w:rPr>
        <w:t xml:space="preserve">•  </w:t>
      </w:r>
      <w:r>
        <w:rPr>
          <w:rFonts w:ascii="Noto Sans CJK TC" w:cs="Noto Sans CJK TC" w:eastAsia="Noto Sans CJK TC" w:hAnsi="Noto Sans CJK TC"/>
          <w:sz w:val="22"/>
          <w:szCs w:val="22"/>
        </w:rPr>
        <w:t xml:space="preserve">APP 2：依賴-自主困境沙盒：模擬問責壓力與專業自主衝突，學生選擇依賴/自主，系統顯示責任與績效後果。</w:t>
      </w:r>
    </w:p>
    <w:p>
      <w:pPr>
        <w:spacing w:after="100" w:line="290"/>
        <w:ind w:left="480" w:hanging="220"/>
        <w:jc w:val="both"/>
      </w:pPr>
      <w:r>
        <w:rPr>
          <w:rFonts w:ascii="Noto Sans CJK TC" w:cs="Noto Sans CJK TC" w:eastAsia="Noto Sans CJK TC" w:hAnsi="Noto Sans CJK TC"/>
          <w:sz w:val="22"/>
          <w:szCs w:val="22"/>
        </w:rPr>
        <w:t xml:space="preserve">•  </w:t>
      </w:r>
      <w:r>
        <w:rPr>
          <w:rFonts w:ascii="Noto Sans CJK TC" w:cs="Noto Sans CJK TC" w:eastAsia="Noto Sans CJK TC" w:hAnsi="Noto Sans CJK TC"/>
          <w:sz w:val="22"/>
          <w:szCs w:val="22"/>
        </w:rPr>
        <w:t xml:space="preserve">APP 3：AI焦慮檢測與干預：測量三焦慮類型，提供認知重塑與技能培訓建議。</w:t>
      </w:r>
    </w:p>
    <w:p>
      <w:pPr>
        <w:pStyle w:val="Heading1"/>
        <w:spacing w:after="140" w:before="320"/>
      </w:pPr>
      <w:r>
        <w:rPr>
          <w:rFonts w:ascii="Noto Sans CJK TC" w:cs="Noto Sans CJK TC" w:eastAsia="Noto Sans CJK TC" w:hAnsi="Noto Sans CJK TC"/>
          <w:b/>
          <w:bCs/>
          <w:sz w:val="26"/>
          <w:szCs w:val="26"/>
        </w:rPr>
        <w:t xml:space="preserve">探討問題</w:t>
      </w:r>
    </w:p>
    <w:p>
      <w:pPr>
        <w:spacing w:after="140" w:line="300"/>
        <w:ind w:left="480"/>
        <w:jc w:val="both"/>
      </w:pPr>
      <w:r>
        <w:rPr>
          <w:rFonts w:ascii="Noto Sans CJK TC" w:cs="Noto Sans CJK TC" w:eastAsia="Noto Sans CJK TC" w:hAnsi="Noto Sans CJK TC"/>
          <w:sz w:val="22"/>
          <w:szCs w:val="22"/>
        </w:rPr>
        <w:t xml:space="preserve">1. 公共AI信任為何需納入價值一致性與合法性？請以家暴風險評估為例。</w:t>
      </w:r>
    </w:p>
    <w:p>
      <w:pPr>
        <w:spacing w:after="140" w:line="300"/>
        <w:ind w:left="480"/>
        <w:jc w:val="both"/>
      </w:pPr>
      <w:r>
        <w:rPr>
          <w:rFonts w:ascii="Noto Sans CJK TC" w:cs="Noto Sans CJK TC" w:eastAsia="Noto Sans CJK TC" w:hAnsi="Noto Sans CJK TC"/>
          <w:sz w:val="22"/>
          <w:szCs w:val="22"/>
        </w:rPr>
        <w:t xml:space="preserve">2. 問責壓力如何導致AI依賴增加但責任模糊？如何設計人機共同責任？</w:t>
      </w:r>
    </w:p>
    <w:p>
      <w:pPr>
        <w:spacing w:after="140" w:line="300"/>
        <w:ind w:left="480"/>
        <w:jc w:val="both"/>
      </w:pPr>
      <w:r>
        <w:rPr>
          <w:rFonts w:ascii="Noto Sans CJK TC" w:cs="Noto Sans CJK TC" w:eastAsia="Noto Sans CJK TC" w:hAnsi="Noto Sans CJK TC"/>
          <w:sz w:val="22"/>
          <w:szCs w:val="22"/>
        </w:rPr>
        <w:t xml:space="preserve">3. 被取代焦慮與專業認同威脅有何差異？如何透過工作再設計緩解？</w:t>
      </w:r>
    </w:p>
    <w:p>
      <w:pPr>
        <w:spacing w:after="140" w:line="300"/>
        <w:ind w:left="480"/>
        <w:jc w:val="both"/>
      </w:pPr>
      <w:r>
        <w:rPr>
          <w:rFonts w:ascii="Noto Sans CJK TC" w:cs="Noto Sans CJK TC" w:eastAsia="Noto Sans CJK TC" w:hAnsi="Noto Sans CJK TC"/>
          <w:sz w:val="22"/>
          <w:szCs w:val="22"/>
        </w:rPr>
        <w:t xml:space="preserve">4. 網絡信任如何調節AI信任？可能產生盲目信任風險嗎？</w:t>
      </w:r>
    </w:p>
    <w:p>
      <w:pPr>
        <w:spacing w:after="140" w:line="300"/>
        <w:ind w:left="480"/>
        <w:jc w:val="both"/>
      </w:pPr>
      <w:r>
        <w:rPr>
          <w:rFonts w:ascii="Noto Sans CJK TC" w:cs="Noto Sans CJK TC" w:eastAsia="Noto Sans CJK TC" w:hAnsi="Noto Sans CJK TC"/>
          <w:sz w:val="22"/>
          <w:szCs w:val="22"/>
        </w:rPr>
        <w:t xml:space="preserve">5. 請以本章任一節的「遞迴迴路」為例，說明若不考慮回饋迴路，單向的「AI影響個人」敘事會遺漏哪些重要現象？</w:t>
      </w:r>
    </w:p>
    <w:p>
      <w:pPr>
        <w:pStyle w:val="Heading1"/>
        <w:spacing w:after="140" w:before="320"/>
      </w:pPr>
      <w:r>
        <w:rPr>
          <w:rFonts w:ascii="Noto Sans CJK TC" w:cs="Noto Sans CJK TC" w:eastAsia="Noto Sans CJK TC" w:hAnsi="Noto Sans CJK TC"/>
          <w:b/>
          <w:bCs/>
          <w:sz w:val="26"/>
          <w:szCs w:val="26"/>
        </w:rPr>
        <w:t xml:space="preserve">本章小結與過渡</w:t>
      </w:r>
    </w:p>
    <w:p>
      <w:pPr>
        <w:spacing w:after="140" w:line="300"/>
        <w:jc w:val="both"/>
      </w:pPr>
      <w:r>
        <w:rPr>
          <w:rFonts w:ascii="Noto Sans CJK TC" w:cs="Noto Sans CJK TC" w:eastAsia="Noto Sans CJK TC" w:hAnsi="Noto Sans CJK TC"/>
          <w:sz w:val="22"/>
          <w:szCs w:val="22"/>
        </w:rPr>
        <w:t xml:space="preserve">本章的核心論點是：AI對個人層次五主題（人格知覺、動機態度、情緒壓力、專業裁量、價值責任）的影響，不是單向的「AI改變個人」，而是個人與AI之間持續運轉的遞迴回饋迴路。本章在22.2至22.5節逐節收尾處埋下的遞迴提問，共同指向同一個立場：公務人員不是AI的被動接受者，而是與AI共同構成迴路的另一端。</w:t>
      </w:r>
    </w:p>
    <w:p>
      <w:pPr>
        <w:spacing w:after="140" w:line="300"/>
        <w:jc w:val="both"/>
      </w:pPr>
      <w:r>
        <w:rPr>
          <w:rFonts w:ascii="Noto Sans CJK TC" w:cs="Noto Sans CJK TC" w:eastAsia="Noto Sans CJK TC" w:hAnsi="Noto Sans CJK TC"/>
          <w:sz w:val="22"/>
          <w:szCs w:val="22"/>
        </w:rPr>
        <w:t xml:space="preserve">下一章（第23章）將把分析範圍從個人擴大至團體、組織與治理層次，說明AI如何作為跨層次力量，同時介入這三個層次並將它們收束進同一個「虛擬治理空間」。</w:t>
      </w:r>
    </w:p>
    <w:p>
      <w:pPr>
        <w:pStyle w:val="Heading1"/>
        <w:spacing w:after="140" w:before="320"/>
      </w:pPr>
      <w:r>
        <w:rPr>
          <w:rFonts w:ascii="Noto Sans CJK TC" w:cs="Noto Sans CJK TC" w:eastAsia="Noto Sans CJK TC" w:hAnsi="Noto Sans CJK TC"/>
          <w:b/>
          <w:bCs/>
          <w:sz w:val="26"/>
          <w:szCs w:val="26"/>
        </w:rPr>
        <w:t xml:space="preserve">參考書目</w:t>
      </w:r>
    </w:p>
    <w:p>
      <w:pPr>
        <w:spacing w:after="100" w:line="280"/>
        <w:ind w:left="480"/>
        <w:jc w:val="both"/>
      </w:pPr>
      <w:r>
        <w:rPr>
          <w:rFonts w:ascii="Noto Sans CJK TC" w:cs="Noto Sans CJK TC" w:eastAsia="Noto Sans CJK TC" w:hAnsi="Noto Sans CJK TC"/>
          <w:sz w:val="22"/>
          <w:szCs w:val="22"/>
        </w:rPr>
        <w:t xml:space="preserve">Barocas, S., &amp; Selbst, A. D. (2016). Big data's disparate impact. California Law Review.</w:t>
      </w:r>
    </w:p>
    <w:p>
      <w:pPr>
        <w:spacing w:after="100" w:line="280"/>
        <w:ind w:left="480"/>
        <w:jc w:val="both"/>
      </w:pPr>
      <w:r>
        <w:rPr>
          <w:rFonts w:ascii="Noto Sans CJK TC" w:cs="Noto Sans CJK TC" w:eastAsia="Noto Sans CJK TC" w:hAnsi="Noto Sans CJK TC"/>
          <w:sz w:val="22"/>
          <w:szCs w:val="22"/>
        </w:rPr>
        <w:t xml:space="preserve">Brougham, D., &amp; Haar, J. (2018). Smart technology, artificial intelligence, robotics, and algorithms (STARA). J Vocational Behavior, 105, 1–12.</w:t>
      </w:r>
    </w:p>
    <w:p>
      <w:pPr>
        <w:spacing w:after="100" w:line="280"/>
        <w:ind w:left="480"/>
        <w:jc w:val="both"/>
      </w:pPr>
      <w:r>
        <w:rPr>
          <w:rFonts w:ascii="Noto Sans CJK TC" w:cs="Noto Sans CJK TC" w:eastAsia="Noto Sans CJK TC" w:hAnsi="Noto Sans CJK TC"/>
          <w:sz w:val="22"/>
          <w:szCs w:val="22"/>
        </w:rPr>
        <w:t xml:space="preserve">Bullock, J. B., et al. (2020). Artificial intelligence, bureaucratic form, and discretion. Information Polity, 25(4), 491–506.</w:t>
      </w:r>
    </w:p>
    <w:p>
      <w:pPr>
        <w:spacing w:after="100" w:line="280"/>
        <w:ind w:left="480"/>
        <w:jc w:val="both"/>
      </w:pPr>
      <w:r>
        <w:rPr>
          <w:rFonts w:ascii="Noto Sans CJK TC" w:cs="Noto Sans CJK TC" w:eastAsia="Noto Sans CJK TC" w:hAnsi="Noto Sans CJK TC"/>
          <w:sz w:val="22"/>
          <w:szCs w:val="22"/>
        </w:rPr>
        <w:t xml:space="preserve">Busuioc, M. (2021). Accountable artificial intelligence. PAR, 81(5), 825–836.</w:t>
      </w:r>
    </w:p>
    <w:p>
      <w:pPr>
        <w:spacing w:after="100" w:line="280"/>
        <w:ind w:left="480"/>
        <w:jc w:val="both"/>
      </w:pPr>
      <w:r>
        <w:rPr>
          <w:rFonts w:ascii="Noto Sans CJK TC" w:cs="Noto Sans CJK TC" w:eastAsia="Noto Sans CJK TC" w:hAnsi="Noto Sans CJK TC"/>
          <w:sz w:val="22"/>
          <w:szCs w:val="22"/>
        </w:rPr>
        <w:t xml:space="preserve">Davis, F. D. (1989). Perceived usefulness, ease of use, and user acceptance. MIS Quarterly, 13(3), 319–340.</w:t>
      </w:r>
    </w:p>
    <w:p>
      <w:pPr>
        <w:spacing w:after="100" w:line="280"/>
        <w:ind w:left="480"/>
        <w:jc w:val="both"/>
      </w:pPr>
      <w:r>
        <w:rPr>
          <w:rFonts w:ascii="Noto Sans CJK TC" w:cs="Noto Sans CJK TC" w:eastAsia="Noto Sans CJK TC" w:hAnsi="Noto Sans CJK TC"/>
          <w:sz w:val="22"/>
          <w:szCs w:val="22"/>
        </w:rPr>
        <w:t xml:space="preserve">Grimmelikhuijsen, S. G., &amp; Meijer, A. J. (2022). Legitimacy of algorithmic decision-making. PAR.</w:t>
      </w:r>
    </w:p>
    <w:p>
      <w:pPr>
        <w:spacing w:after="100" w:line="280"/>
        <w:ind w:left="480"/>
        <w:jc w:val="both"/>
      </w:pPr>
      <w:r>
        <w:rPr>
          <w:rFonts w:ascii="Noto Sans CJK TC" w:cs="Noto Sans CJK TC" w:eastAsia="Noto Sans CJK TC" w:hAnsi="Noto Sans CJK TC"/>
          <w:sz w:val="22"/>
          <w:szCs w:val="22"/>
        </w:rPr>
        <w:t xml:space="preserve">Lee, J. D., &amp; See, K. A. (2004). Trust in automation. Human Factors, 46(1), 50–80.</w:t>
      </w:r>
    </w:p>
    <w:p>
      <w:pPr>
        <w:spacing w:after="100" w:line="280"/>
        <w:ind w:left="480"/>
        <w:jc w:val="both"/>
      </w:pPr>
      <w:r>
        <w:rPr>
          <w:rFonts w:ascii="Noto Sans CJK TC" w:cs="Noto Sans CJK TC" w:eastAsia="Noto Sans CJK TC" w:hAnsi="Noto Sans CJK TC"/>
          <w:sz w:val="22"/>
          <w:szCs w:val="22"/>
        </w:rPr>
        <w:t xml:space="preserve">O'Neil, C. (2016). Weapons of math destruction. Crown.</w:t>
      </w:r>
    </w:p>
    <w:p>
      <w:pPr>
        <w:spacing w:after="100" w:line="280"/>
        <w:ind w:left="480"/>
        <w:jc w:val="both"/>
      </w:pPr>
      <w:r>
        <w:rPr>
          <w:rFonts w:ascii="Noto Sans CJK TC" w:cs="Noto Sans CJK TC" w:eastAsia="Noto Sans CJK TC" w:hAnsi="Noto Sans CJK TC"/>
          <w:sz w:val="22"/>
          <w:szCs w:val="22"/>
        </w:rPr>
        <w:t xml:space="preserve">Tarafdar, M., et al. (2007). The impact of technostress on role stress and productivity. JMIS, 24(1), 301–328.</w:t>
      </w:r>
    </w:p>
    <w:p>
      <w:pPr>
        <w:spacing w:after="100" w:line="280"/>
        <w:ind w:left="480"/>
        <w:jc w:val="both"/>
      </w:pPr>
      <w:r>
        <w:rPr>
          <w:rFonts w:ascii="Noto Sans CJK TC" w:cs="Noto Sans CJK TC" w:eastAsia="Noto Sans CJK TC" w:hAnsi="Noto Sans CJK TC"/>
          <w:sz w:val="22"/>
          <w:szCs w:val="22"/>
        </w:rPr>
        <w:t xml:space="preserve">Venkatesh, V., et al. (2003). User acceptance of information technology: Toward a unified view. MIS Quarterly, 27(3), 425–478.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d5453aaa5dbec86f4efb4b63d9f83a94d88c12f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2026-09-13T03:04:48.294Z</dcterms:created>
  <dcterms:modified xsi:type="dcterms:W3CDTF">2026-09-13T03:04:48.294Z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