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Microsoft JhengHei" w:eastAsia="Microsoft JhengHei" w:hAnsi="Microsoft JhengHei"/>
          <w:b/>
          <w:bCs/>
          <w:color w:val="1A365D"/>
          <w:sz w:val="32"/>
          <w:szCs w:val="32"/>
        </w:rPr>
        <w:t xml:space="preserve">第14章　權力、衝突與組織政治</w:t>
      </w:r>
    </w:p>
    <w:p>
      <w:pPr>
        <w:spacing w:after="200"/>
        <w:jc w:val="center"/>
      </w:pPr>
      <w:r>
        <w:rPr>
          <w:rFonts w:ascii="Microsoft JhengHei" w:eastAsia="Microsoft JhengHei" w:hAnsi="Microsoft JhengHei"/>
          <w:b w:val="false"/>
          <w:bCs w:val="false"/>
          <w:color w:val="4A5568"/>
          <w:sz w:val="20"/>
          <w:szCs w:val="20"/>
        </w:rPr>
        <w:t xml:space="preserve">AI 治理時代的公共組織行為｜理論版</w:t>
      </w:r>
    </w:p>
    <w:p>
      <w:pPr>
        <w:pStyle w:val="Heading1"/>
        <w:spacing w:after="120" w:before="280"/>
      </w:pPr>
      <w:r>
        <w:rPr>
          <w:rFonts w:ascii="Microsoft JhengHei" w:eastAsia="Microsoft JhengHei" w:hAnsi="Microsoft JhengHei"/>
          <w:b/>
          <w:bCs/>
          <w:color w:val="1A365D"/>
          <w:sz w:val="26"/>
          <w:szCs w:val="26"/>
        </w:rPr>
        <w:t xml:space="preserve">本章閱讀指南</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學者：先讀 14.1 和 14.3，掌握本章的立場：公共組織的組織政治，很多時候是以「合規的外衣」出現的；要分辨正當的異議和負面的行為，必須先問有沒有造成公共價值的損害，再依序檢驗一般條件、制度和文化。</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實務工作者：先讀導讀案例、表14-2和14.7，想想你遇過的「依法辦理」「非本機關職掌」，哪些是在守住界線，哪些是在推掉責任。</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研究生：重點讀 14.3 的負面性前置判準、四條判定規則和圖14-2的診斷流程，以及14.6的命題；留意本章如何把「個人為什麼這樣做」轉成「結構為什麼容許」。</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一般讀者：讀導讀案例、表14-3和14.8就夠了，弄懂一件事：公部門裡很多看起來像推諉的事，不是因為人壞，而是因為制度讓推諉比負責更安全。</w:t>
      </w:r>
    </w:p>
    <w:p>
      <w:pPr>
        <w:pStyle w:val="Heading1"/>
        <w:spacing w:after="120" w:before="280"/>
      </w:pPr>
      <w:r>
        <w:rPr>
          <w:rFonts w:ascii="Microsoft JhengHei" w:eastAsia="Microsoft JhengHei" w:hAnsi="Microsoft JhengHei"/>
          <w:b/>
          <w:bCs/>
          <w:color w:val="1A365D"/>
          <w:sz w:val="26"/>
          <w:szCs w:val="26"/>
        </w:rPr>
        <w:t xml:space="preserve">學習目標</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 French 與 Raven 的權力基礎、Jehn 的衝突類型與 Ferris 的組織政治研究，以及它們隱含的私部門假設。</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能說明權力在公共組織中如何擴充到政治、公眾、媒體、網絡與演算法等來源。</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能運用「負面性前置判準」與四條判定規則，分辨程序性異議與負面組織行為，並避免文化本質化。</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能辨認公共組織中五種負面組織政治：反生產力行為、謠言與耳語、派系與本位主義、改革抵抗、責任規避，並說明其共同機制。</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能分析 AI 如何重新分配權力，並說明演算法排序權與「誰治理誰」的關係。</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能說明為什麼承辦人基於正當理由質疑、暫停或不採納 AI 建議，應被視為程序性異議，而不是負面組織行為。</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能用四個檢查詞檢查一個機關的權力和課責安排，並說明課責為什麼應由「程序留痕」轉向「決策理由」。</w:t>
      </w:r>
    </w:p>
    <w:p>
      <w:pPr>
        <w:pStyle w:val="Heading1"/>
        <w:spacing w:after="120" w:before="280"/>
      </w:pPr>
      <w:r>
        <w:rPr>
          <w:rFonts w:ascii="Microsoft JhengHei" w:eastAsia="Microsoft JhengHei" w:hAnsi="Microsoft JhengHei"/>
          <w:b/>
          <w:bCs/>
          <w:color w:val="1A365D"/>
          <w:sz w:val="26"/>
          <w:szCs w:val="26"/>
        </w:rPr>
        <w:t xml:space="preserve">本章論點地圖</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900"/>
        <w:gridCol w:w="1300"/>
        <w:gridCol w:w="4440"/>
        <w:gridCol w:w="2000"/>
      </w:tblGrid>
      <w:tr>
        <w:trPr>
          <w:cantSplit/>
          <w:tblHeader/>
        </w:trPr>
        <w:tc>
          <w:tcPr>
            <w:tcW w:type="dxa" w:w="9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節次</w:t>
            </w:r>
          </w:p>
        </w:tc>
        <w:tc>
          <w:tcPr>
            <w:tcW w:type="dxa" w:w="13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五步法</w:t>
            </w:r>
          </w:p>
        </w:tc>
        <w:tc>
          <w:tcPr>
            <w:tcW w:type="dxa" w:w="44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主要內容</w:t>
            </w:r>
          </w:p>
        </w:tc>
        <w:tc>
          <w:tcPr>
            <w:tcW w:type="dxa" w:w="20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證據性質</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14.2</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舊庫存</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權力、衝突、組織政治與偏差行為的傳統理論</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既有理論</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14.3</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公共化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權力與衝突的擴充；同一行為、不同評價；負面性前置判準與四條規則；五種負面組織政治</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既有研究＋作者工作論文（WP070–075）</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14.4</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治理化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網絡中的權力、衝突與權威鏈留白</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既有研究＋作者工作論文</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14.5</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演算法權力、排序權、把責任推給演算法；AI 情境的程序性異議</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既有研究＋實際案例＋本書立場</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14.6</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處理</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理論處理建議與研究命題</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待檢驗命題</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14.7</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處理</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四個檢查詞、權力與課責檢核表；回到案例</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實務工具</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14.8</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處理</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小結與過渡</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本書整合</w:t>
            </w:r>
          </w:p>
        </w:tc>
      </w:tr>
    </w:tbl>
    <w:p>
      <w:pPr>
        <w:spacing w:after="80"/>
      </w:pPr>
    </w:p>
    <w:p>
      <w:pPr>
        <w:pStyle w:val="Heading1"/>
        <w:spacing w:after="120" w:before="280"/>
      </w:pPr>
      <w:r>
        <w:rPr>
          <w:rFonts w:ascii="Microsoft JhengHei" w:eastAsia="Microsoft JhengHei" w:hAnsi="Microsoft JhengHei"/>
          <w:b/>
          <w:bCs/>
          <w:color w:val="1A365D"/>
          <w:sz w:val="26"/>
          <w:szCs w:val="26"/>
        </w:rPr>
        <w:t xml:space="preserve">導讀案例：勞保年金改革的權力與衝突</w:t>
      </w:r>
    </w:p>
    <w:p>
      <w:pPr>
        <w:spacing w:after="80" w:line="276"/>
        <w:ind w:firstLine="397"/>
        <w:jc w:val="both"/>
      </w:pPr>
      <w:r>
        <w:rPr>
          <w:rFonts w:ascii="Microsoft JhengHei" w:eastAsia="Microsoft JhengHei" w:hAnsi="Microsoft JhengHei"/>
          <w:b w:val="false"/>
          <w:bCs w:val="false"/>
          <w:sz w:val="21"/>
          <w:szCs w:val="21"/>
        </w:rPr>
        <w:t xml:space="preserve">勞保年金的財務壓力，是台灣社會反覆討論的公共議題。只要改革一被提出，牽動的就不只是勞動部一個機關：立法院要審法案，工會與企業代表各有立場，媒體會放大「破產」與「砍年金」的字眼，精算報告則成為各方引用、也各自解讀的數據。</w:t>
      </w:r>
    </w:p>
    <w:p>
      <w:pPr>
        <w:spacing w:after="80" w:line="276"/>
        <w:ind w:firstLine="397"/>
        <w:jc w:val="both"/>
      </w:pPr>
      <w:r>
        <w:rPr>
          <w:rFonts w:ascii="Microsoft JhengHei" w:eastAsia="Microsoft JhengHei" w:hAnsi="Microsoft JhengHei"/>
          <w:b w:val="false"/>
          <w:bCs w:val="false"/>
          <w:sz w:val="21"/>
          <w:szCs w:val="21"/>
        </w:rPr>
        <w:t xml:space="preserve">在這樣的場景裡，權力來自許多地方。勞動部有法律授權，精算專家有專業權威，立委有政治支持，工會有動員能力，媒體能決定議程，掌握精算數據的人則能界定「問題有多嚴重」。衝突也不只一種：世代之間怎樣才算公平是價值衝突，政黨立場不同是政治衝突，既有給付能不能調整、涉及信賴保護，則是法律衝突。</w:t>
      </w:r>
    </w:p>
    <w:p>
      <w:pPr>
        <w:spacing w:after="80" w:line="276"/>
        <w:ind w:firstLine="397"/>
        <w:jc w:val="both"/>
      </w:pPr>
      <w:r>
        <w:rPr>
          <w:rFonts w:ascii="Microsoft JhengHei" w:eastAsia="Microsoft JhengHei" w:hAnsi="Microsoft JhengHei"/>
          <w:b w:val="false"/>
          <w:bCs w:val="false"/>
          <w:sz w:val="21"/>
          <w:szCs w:val="21"/>
        </w:rPr>
        <w:t xml:space="preserve">機關內部同樣有人在角力。有人忙著事前溝通、結盟，有人小心控制資訊外流，有人把改革方案「程序上推動」卻遲遲不落地，也有人在出狀況時把責任推給上級、推給程序、推給其他機關。這些行為有些是正當的專業異議，有些則已經傷害公共利益。本章要回答的，就是如何分辨兩者，以及在 AI 進入之後，這些權力遊戲又會發生什麼變化。</w:t>
      </w:r>
    </w:p>
    <w:p>
      <w:pPr>
        <w:pStyle w:val="Heading1"/>
        <w:spacing w:after="120" w:before="280"/>
      </w:pPr>
      <w:r>
        <w:rPr>
          <w:rFonts w:ascii="Microsoft JhengHei" w:eastAsia="Microsoft JhengHei" w:hAnsi="Microsoft JhengHei"/>
          <w:b/>
          <w:bCs/>
          <w:color w:val="1A365D"/>
          <w:sz w:val="26"/>
          <w:szCs w:val="26"/>
        </w:rPr>
        <w:t xml:space="preserve">14.1　本章的分析定位</w:t>
      </w:r>
    </w:p>
    <w:p>
      <w:pPr>
        <w:spacing w:after="80" w:line="276"/>
        <w:ind w:firstLine="397"/>
        <w:jc w:val="both"/>
      </w:pPr>
      <w:r>
        <w:rPr>
          <w:rFonts w:ascii="Microsoft JhengHei" w:eastAsia="Microsoft JhengHei" w:hAnsi="Microsoft JhengHei"/>
          <w:b w:val="false"/>
          <w:bCs w:val="false"/>
          <w:sz w:val="21"/>
          <w:szCs w:val="21"/>
        </w:rPr>
        <w:t xml:space="preserve">權力、衝突與組織政治，是組織行為學中最貼近「人怎麼相處」的主題。傳統理論多半在企業裡發展，預設組織目標清楚、績效可以衡量，員工的政治行為大多出於自利。這些預設一進入公共組織就開始鬆動：公共組織的目標多元而常彼此衝突，權力來源不只組織圖，許多看起來像「偷懶」或「推諉」的行為，其實是結構與制度造成的結果。</w:t>
      </w:r>
    </w:p>
    <w:p>
      <w:pPr>
        <w:spacing w:after="80" w:line="276"/>
        <w:ind w:firstLine="397"/>
        <w:jc w:val="both"/>
      </w:pPr>
      <w:r>
        <w:rPr>
          <w:rFonts w:ascii="Microsoft JhengHei" w:eastAsia="Microsoft JhengHei" w:hAnsi="Microsoft JhengHei"/>
          <w:b w:val="false"/>
          <w:bCs w:val="false"/>
          <w:sz w:val="21"/>
          <w:szCs w:val="21"/>
        </w:rPr>
        <w:t xml:space="preserve">依五步法，本章先盤點權力、衝突與組織政治的傳統理論（14.2），再檢驗它們在公共組織中的適用性（14.3）。這一節會特別引入作者在 WP070–075 系列工作論文中發展的「公共組織負面組織行為」框架，因為公共組織的組織政治，很多時候正是以負面行為的形式出現。接著擴充到治理網絡（14.4），並重構演算法介入後的權力關係（14.5），最後提出理論處理建議與研究命題（14.6）。在第1章圖1-10的全書地圖上，本章位於團體層次，主要對應「演算法管理批判論」這個鏡頭：它關心的正是權力不對稱，以及權力黑箱。</w:t>
      </w:r>
    </w:p>
    <w:p>
      <w:pPr>
        <w:spacing w:after="80" w:line="276"/>
        <w:ind w:firstLine="397"/>
        <w:jc w:val="both"/>
      </w:pPr>
      <w:r>
        <w:rPr>
          <w:rFonts w:ascii="Microsoft JhengHei" w:eastAsia="Microsoft JhengHei" w:hAnsi="Microsoft JhengHei"/>
          <w:b w:val="false"/>
          <w:bCs w:val="false"/>
          <w:sz w:val="21"/>
          <w:szCs w:val="21"/>
        </w:rPr>
        <w:t xml:space="preserve">這一章和前後幾章的關係也很緊密。第11章談的防衛規範、第13章談的忖度，在本章會以另一種面貌出現：考績下的「策略性順從」、改革上的「程序上推動」、責任上的「依程序辦理」。它們的共同點，是偏差不會消失，只是換上了合規的外衣。這也正是本書核心命題在組織政治上的樣子：當課責只看程序是否完備、不看決定的理由和結果，做決定的人可以躲在程序後面，而承擔後果的，是等不到處理的民眾，以及被要求「照程序」卻無力改變結果的第一線。</w:t>
      </w:r>
    </w:p>
    <w:p>
      <w:pPr>
        <w:pStyle w:val="Heading1"/>
        <w:spacing w:after="120" w:before="280"/>
      </w:pPr>
      <w:r>
        <w:rPr>
          <w:rFonts w:ascii="Microsoft JhengHei" w:eastAsia="Microsoft JhengHei" w:hAnsi="Microsoft JhengHei"/>
          <w:b/>
          <w:bCs/>
          <w:color w:val="1A365D"/>
          <w:sz w:val="26"/>
          <w:szCs w:val="26"/>
        </w:rPr>
        <w:t xml:space="preserve">14.2　舊庫存：權力、衝突與組織政治的傳統理論</w:t>
      </w:r>
    </w:p>
    <w:p>
      <w:pPr>
        <w:spacing w:after="80" w:line="276"/>
        <w:ind w:firstLine="397"/>
        <w:jc w:val="both"/>
      </w:pPr>
      <w:r>
        <w:rPr>
          <w:rFonts w:ascii="Microsoft JhengHei" w:eastAsia="Microsoft JhengHei" w:hAnsi="Microsoft JhengHei"/>
          <w:b w:val="false"/>
          <w:bCs w:val="false"/>
          <w:sz w:val="21"/>
          <w:szCs w:val="21"/>
        </w:rPr>
        <w:t xml:space="preserve">先談權力。權力研究最常見的起點，是 French 與 Raven（1959）的五種權力基礎：獎賞權、強制權、合法權、專家權與參考權。Emerson（1962）則從權力依賴的角度指出，A 對 B 的權力，取決於 B 對 A 所控制資源的依賴程度；權力因此不是個人的屬性，而是一種關係。Pfeffer（1981）把這個觀點帶進組織，說明部門與個人如何透過掌握關鍵資源、處理不確定性與界定問題，取得組織中的影響力。</w:t>
      </w:r>
    </w:p>
    <w:p>
      <w:pPr>
        <w:spacing w:after="80" w:line="276"/>
        <w:ind w:firstLine="397"/>
        <w:jc w:val="both"/>
      </w:pPr>
      <w:r>
        <w:rPr>
          <w:rFonts w:ascii="Microsoft JhengHei" w:eastAsia="Microsoft JhengHei" w:hAnsi="Microsoft JhengHei"/>
          <w:b w:val="false"/>
          <w:bCs w:val="false"/>
          <w:sz w:val="21"/>
          <w:szCs w:val="21"/>
        </w:rPr>
        <w:t xml:space="preserve">再談衝突。衝突研究方面，Jehn（1995）區分任務衝突與關係衝突，後續又加入程序衝突。De Dreu 與 Weingart（2003）的後設分析發現，關係衝突與團隊績效呈負相關，任務衝突也大多不利於績效，只有在特定條件下才可能帶來正面效果。這修正了早期「適度的任務衝突有益」的樂觀看法。</w:t>
      </w:r>
    </w:p>
    <w:p>
      <w:pPr>
        <w:spacing w:after="80" w:line="276"/>
        <w:ind w:firstLine="397"/>
        <w:jc w:val="both"/>
      </w:pPr>
      <w:r>
        <w:rPr>
          <w:rFonts w:ascii="Microsoft JhengHei" w:eastAsia="Microsoft JhengHei" w:hAnsi="Microsoft JhengHei"/>
          <w:b w:val="false"/>
          <w:bCs w:val="false"/>
          <w:sz w:val="21"/>
          <w:szCs w:val="21"/>
        </w:rPr>
        <w:t xml:space="preserve">接著是組織政治。組織政治指的是未經正式授權、以影響他人或保護自身利益為目的的行為。Ferris、Russ 與 Fandt（1989）提出「組織政治知覺」的概念，說明員工對政治氛圍的感受會影響滿意度與離職意圖；Ferris 等人（2005）進一步發展政治技能量表，包括社交敏銳、人際影響、網絡能力與外顯真誠四個面向。</w:t>
      </w:r>
    </w:p>
    <w:p>
      <w:pPr>
        <w:spacing w:after="80" w:line="276"/>
        <w:ind w:firstLine="397"/>
        <w:jc w:val="both"/>
      </w:pPr>
      <w:r>
        <w:rPr>
          <w:rFonts w:ascii="Microsoft JhengHei" w:eastAsia="Microsoft JhengHei" w:hAnsi="Microsoft JhengHei"/>
          <w:b w:val="false"/>
          <w:bCs w:val="false"/>
          <w:sz w:val="21"/>
          <w:szCs w:val="21"/>
        </w:rPr>
        <w:t xml:space="preserve">最後是組織的黑暗面。與組織政治密切相關的，是組織行為學對「黑暗面」的研究。Robinson 與 Bennett（1995）依嚴重程度與對象，把職場偏差行為分成生產偏離、財產偏離、政治偏離與個人攻擊四類；其中「政治偏離」包括散布八卦、諉過與偏袒，與組織政治高度重疊。Spector 等人（2006）的反生產力工作行為（Counterproductive Work Behavior，簡稱 CWB）研究，則區分出攻擊、生產偏離、破壞、竊盜與退縮五個構面，並指出不同構面有不同的成因。</w:t>
      </w:r>
    </w:p>
    <w:p>
      <w:pPr>
        <w:spacing w:after="80" w:line="276"/>
        <w:ind w:firstLine="397"/>
        <w:jc w:val="both"/>
      </w:pPr>
      <w:r>
        <w:rPr>
          <w:rFonts w:ascii="Microsoft JhengHei" w:eastAsia="Microsoft JhengHei" w:hAnsi="Microsoft JhengHei"/>
          <w:b w:val="false"/>
          <w:bCs w:val="false"/>
          <w:sz w:val="21"/>
          <w:szCs w:val="21"/>
        </w:rPr>
        <w:t xml:space="preserve">這些理論有一個共同的預設：偏差行為主要來自個人，例如不公平感、報復意圖或人格特質。這個預設在企業裡大致成立，在公共組織卻常常失準，14.3 會詳細說明。表14-1整理本節的理論庫存。</w:t>
      </w:r>
    </w:p>
    <w:p>
      <w:pPr>
        <w:keepNext/>
        <w:spacing w:after="60" w:before="160"/>
        <w:jc w:val="center"/>
      </w:pPr>
      <w:r>
        <w:rPr>
          <w:rFonts w:ascii="Microsoft JhengHei" w:eastAsia="Microsoft JhengHei" w:hAnsi="Microsoft JhengHei"/>
          <w:b/>
          <w:bCs/>
          <w:color w:val="1A365D"/>
          <w:sz w:val="19"/>
          <w:szCs w:val="19"/>
        </w:rPr>
        <w:t xml:space="preserve">表14-1　權力、衝突與組織政治的傳統理論</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2880"/>
        <w:gridCol w:w="2880"/>
        <w:gridCol w:w="2880"/>
      </w:tblGrid>
      <w:tr>
        <w:trPr>
          <w:cantSplit/>
          <w:tblHeader/>
        </w:trPr>
        <w:tc>
          <w:tcPr>
            <w:tcW w:type="dxa" w:w="288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主題</w:t>
            </w:r>
          </w:p>
        </w:tc>
        <w:tc>
          <w:tcPr>
            <w:tcW w:type="dxa" w:w="288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代表理論</w:t>
            </w:r>
          </w:p>
        </w:tc>
        <w:tc>
          <w:tcPr>
            <w:tcW w:type="dxa" w:w="288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核心主張與隱含假設</w:t>
            </w:r>
          </w:p>
        </w:tc>
      </w:tr>
      <w:tr>
        <w:trPr>
          <w:cantSplit/>
          <w:tblHeader w:val="false"/>
        </w:trPr>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權力</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French &amp; Raven（1959）；Emerson（1962）；Pfeffer（1981）</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權力來自職位與個人資源，也來自依賴關係；隱含假設是權力可以在組織圖上找到</w:t>
            </w:r>
          </w:p>
        </w:tc>
      </w:tr>
      <w:tr>
        <w:trPr>
          <w:cantSplit/>
          <w:tblHeader w:val="false"/>
        </w:trPr>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衝突</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Jehn（1995）；De Dreu &amp; Weingart（2003）</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區分任務、關係與程序衝突；隱含假設是衝突主要發生在組織內部</w:t>
            </w:r>
          </w:p>
        </w:tc>
      </w:tr>
      <w:tr>
        <w:trPr>
          <w:cantSplit/>
          <w:tblHeader w:val="false"/>
        </w:trPr>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組織政治</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Ferris et al.（1989, 2005）</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政治行為出於自利，政治技能有助於個人成功；隱含假設是組織目標清楚</w:t>
            </w:r>
          </w:p>
        </w:tc>
      </w:tr>
      <w:tr>
        <w:trPr>
          <w:cantSplit/>
          <w:tblHeader w:val="false"/>
        </w:trPr>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偏差行為</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Robinson &amp; Bennett（1995）；Spector et al.（2006）</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偏差行為源於個人動機；隱含假設是組織的命令與目標本身正當</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把這些理論放在一起，可以看到它們共享四個預設：組織的目標清楚、績效可以衡量、權力可以從組織圖上找到、偏差行為可以歸因於個人。公共組織和 AI 進來之後，這四個預設都會鬆動：目標多元、權力分散、責任鏈延長，而偏差行為也可能以「依法辦理」「程序完備」或「系統建議」的形式出現。</w:t>
      </w:r>
    </w:p>
    <w:p>
      <w:pPr>
        <w:pStyle w:val="Heading1"/>
        <w:spacing w:after="120" w:before="280"/>
      </w:pPr>
      <w:r>
        <w:rPr>
          <w:rFonts w:ascii="Microsoft JhengHei" w:eastAsia="Microsoft JhengHei" w:hAnsi="Microsoft JhengHei"/>
          <w:b/>
          <w:bCs/>
          <w:color w:val="1A365D"/>
          <w:sz w:val="26"/>
          <w:szCs w:val="26"/>
        </w:rPr>
        <w:t xml:space="preserve">14.3　公共化：權力、衝突與政治在公共組織中的轉譯</w:t>
      </w:r>
    </w:p>
    <w:p>
      <w:pPr>
        <w:spacing w:after="80" w:line="276"/>
        <w:ind w:firstLine="397"/>
        <w:jc w:val="both"/>
      </w:pPr>
      <w:r>
        <w:rPr>
          <w:rFonts w:ascii="Microsoft JhengHei" w:eastAsia="Microsoft JhengHei" w:hAnsi="Microsoft JhengHei"/>
          <w:b w:val="false"/>
          <w:bCs w:val="false"/>
          <w:sz w:val="21"/>
          <w:szCs w:val="21"/>
        </w:rPr>
        <w:t xml:space="preserve">公共組織的權力，有一大部分不在組織圖上。合法權來自法律授權，合法性高，卻也較為僵化；政治權來自政治任命或政治支持，提高了機關對民意的回應性，卻可能威脅專業中立；專業權來自專業知識，有助於政策品質，卻常與政治判斷相互拉扯。此外，公共組織還有兩種企業較少遇到的權力：公眾權與媒體權。民意與媒體曝光能夠設定議程，迫使機關回應，也形成民粹壓力。圖14-1 把這些權力來源與後面兩節將討論的網絡權力、演算法權力放在一起，可以看出權力如何一步步延伸到組織圖之外。</w:t>
      </w:r>
    </w:p>
    <w:p>
      <w:pPr>
        <w:keepNext/>
        <w:spacing w:after="20" w:before="120"/>
        <w:jc w:val="center"/>
      </w:pPr>
      <w:r>
        <w:drawing>
          <wp:inline distT="0" distB="0" distL="0" distR="0">
            <wp:extent cx="5486400" cy="3095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095625"/>
                    </a:xfrm>
                    <a:prstGeom prst="rect">
                      <a:avLst/>
                    </a:prstGeom>
                  </pic:spPr>
                </pic:pic>
              </a:graphicData>
            </a:graphic>
          </wp:inline>
        </w:drawing>
      </w:r>
    </w:p>
    <w:p>
      <w:pPr>
        <w:spacing w:after="160" w:before="20"/>
        <w:jc w:val="center"/>
      </w:pPr>
      <w:r>
        <w:rPr>
          <w:rFonts w:ascii="Microsoft JhengHei" w:eastAsia="Microsoft JhengHei" w:hAnsi="Microsoft JhengHei"/>
          <w:b/>
          <w:bCs/>
          <w:color w:val="4A5568"/>
          <w:sz w:val="16"/>
          <w:szCs w:val="16"/>
        </w:rPr>
        <w:t xml:space="preserve">圖14-1　公共組織權力基礎的擴充：從職位、政治、網絡到演算法</w:t>
      </w:r>
    </w:p>
    <w:p>
      <w:pPr>
        <w:spacing w:after="80" w:line="276"/>
        <w:ind w:firstLine="397"/>
        <w:jc w:val="both"/>
      </w:pPr>
      <w:r>
        <w:rPr>
          <w:rFonts w:ascii="Microsoft JhengHei" w:eastAsia="Microsoft JhengHei" w:hAnsi="Microsoft JhengHei"/>
          <w:b w:val="false"/>
          <w:bCs w:val="false"/>
          <w:sz w:val="21"/>
          <w:szCs w:val="21"/>
        </w:rPr>
        <w:t xml:space="preserve">公共組織的衝突，除了任務、關係與程序衝突，至少還有三種：價值衝突，例如效率、公平與合法性之間的取捨，往往最持久；政治衝突，例如政策方向與政黨立場的分歧，常隨政黨輪替起伏；法律衝突，例如法律解釋與程序要求的爭議，通常需要法制單位介入協調。這三種衝突都牽涉組織外部的行動者，不能只靠團隊內部的溝通技巧化解。</w:t>
      </w:r>
    </w:p>
    <w:p>
      <w:pPr>
        <w:spacing w:after="80" w:line="276"/>
        <w:ind w:firstLine="397"/>
        <w:jc w:val="both"/>
      </w:pPr>
      <w:r>
        <w:rPr>
          <w:rFonts w:ascii="Microsoft JhengHei" w:eastAsia="Microsoft JhengHei" w:hAnsi="Microsoft JhengHei"/>
          <w:b w:val="false"/>
          <w:bCs w:val="false"/>
          <w:sz w:val="21"/>
          <w:szCs w:val="21"/>
        </w:rPr>
        <w:t xml:space="preserve">公共組織的政治行為，也有自己的樣貌。與民意代表、利益團體結盟，可以影響政策，卻讓人質疑機關的中立；依法律或政治考量控制資訊，可以保護機關，卻傷害信任；在公眾監督下重視形象管理，可以提升透明度，也可能流於形式主義。</w:t>
      </w:r>
    </w:p>
    <w:p>
      <w:pPr>
        <w:spacing w:after="80" w:line="276"/>
        <w:ind w:firstLine="397"/>
        <w:jc w:val="both"/>
      </w:pPr>
      <w:r>
        <w:rPr>
          <w:rFonts w:ascii="Microsoft JhengHei" w:eastAsia="Microsoft JhengHei" w:hAnsi="Microsoft JhengHei"/>
          <w:b w:val="false"/>
          <w:bCs w:val="false"/>
          <w:sz w:val="21"/>
          <w:szCs w:val="21"/>
        </w:rPr>
        <w:t xml:space="preserve">公共化轉譯最重要的發現，是私部門的偏差行為理論在公共組織中會「失效」或「變形」（盧建旭，2026a）。失效指的是個人自利的解釋說不通：公共組織的規則密度高，程序走完就不易被追究實質結果；績效目標模糊，使「誰該負責」難以證明；多重委託人的存在，使「回應政治訊號」比「追求效能」更安全。在這些條件下，「合法怠惰」（以程序合規掩蓋實質不作為）與「程序報復」（把規則當成拖延或抵制的工具），都是結構誘發的結果，與個人是否想偷懶關係不大。</w:t>
      </w:r>
    </w:p>
    <w:p>
      <w:pPr>
        <w:spacing w:after="80" w:line="276"/>
        <w:ind w:firstLine="397"/>
        <w:jc w:val="both"/>
      </w:pPr>
      <w:r>
        <w:rPr>
          <w:rFonts w:ascii="Microsoft JhengHei" w:eastAsia="Microsoft JhengHei" w:hAnsi="Microsoft JhengHei"/>
          <w:b w:val="false"/>
          <w:bCs w:val="false"/>
          <w:sz w:val="21"/>
          <w:szCs w:val="21"/>
        </w:rPr>
        <w:t xml:space="preserve">變形指的是同一個行為，在企業被視為偏差，在公共組織卻可能被詮釋為合法甚至必要（表14-2）。行為本身沒有變，變的是對它的評價與後果。這也說明了為什麼紅帶（red tape）在公共組織特別值得注意：Bozeman（1993, 2000）把紅帶定義為仍然有效、造成合規負擔，卻已無法達成原本功能的規則；它不同於中性的正式化（Pandey &amp; Scott, 2002）。後設分析大致支持紅帶的負面影響，但強度有限，而且組織自己制定的紅帶比外部強加的更有害（George et al., 2021）。</w:t>
      </w:r>
    </w:p>
    <w:p>
      <w:pPr>
        <w:keepNext/>
        <w:spacing w:after="60" w:before="160"/>
        <w:jc w:val="center"/>
      </w:pPr>
      <w:r>
        <w:rPr>
          <w:rFonts w:ascii="Microsoft JhengHei" w:eastAsia="Microsoft JhengHei" w:hAnsi="Microsoft JhengHei"/>
          <w:b/>
          <w:bCs/>
          <w:color w:val="1A365D"/>
          <w:sz w:val="19"/>
          <w:szCs w:val="19"/>
        </w:rPr>
        <w:t xml:space="preserve">表14-2　同一行為在私部門與公共組織的不同評價</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2880"/>
        <w:gridCol w:w="2880"/>
        <w:gridCol w:w="2880"/>
      </w:tblGrid>
      <w:tr>
        <w:trPr>
          <w:cantSplit/>
          <w:tblHeader/>
        </w:trPr>
        <w:tc>
          <w:tcPr>
            <w:tcW w:type="dxa" w:w="288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行為</w:t>
            </w:r>
          </w:p>
        </w:tc>
        <w:tc>
          <w:tcPr>
            <w:tcW w:type="dxa" w:w="288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私部門通常被視為</w:t>
            </w:r>
          </w:p>
        </w:tc>
        <w:tc>
          <w:tcPr>
            <w:tcW w:type="dxa" w:w="288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公共組織可能被視為</w:t>
            </w:r>
          </w:p>
        </w:tc>
      </w:tr>
      <w:tr>
        <w:trPr>
          <w:cantSplit/>
          <w:tblHeader w:val="false"/>
        </w:trPr>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故意拖延處理</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生產偏離、怠惰</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「謹慎審查」「程序完備」</w:t>
            </w:r>
          </w:p>
        </w:tc>
      </w:tr>
      <w:tr>
        <w:trPr>
          <w:cantSplit/>
          <w:tblHeader w:val="false"/>
        </w:trPr>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拒絕變通、堅持形式</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僵化、不合作</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「依法行政」「程序正義」</w:t>
            </w:r>
          </w:p>
        </w:tc>
      </w:tr>
      <w:tr>
        <w:trPr>
          <w:cantSplit/>
          <w:tblHeader w:val="false"/>
        </w:trPr>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推諉給其他單位</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政治偏離、不負責</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「職權劃分清楚」「避免越權」</w:t>
            </w:r>
          </w:p>
        </w:tc>
      </w:tr>
      <w:tr>
        <w:trPr>
          <w:cantSplit/>
          <w:tblHeader w:val="false"/>
        </w:trPr>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用規則抵制上級要求</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破壞、不服從</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「保護機關權益」「避免違法」</w:t>
            </w:r>
          </w:p>
        </w:tc>
      </w:tr>
    </w:tbl>
    <w:p>
      <w:pPr>
        <w:spacing w:after="80"/>
      </w:pPr>
    </w:p>
    <w:p>
      <w:pPr>
        <w:spacing w:after="160"/>
        <w:jc w:val="center"/>
      </w:pPr>
      <w:r>
        <w:rPr>
          <w:rFonts w:ascii="Microsoft JhengHei" w:eastAsia="Microsoft JhengHei" w:hAnsi="Microsoft JhengHei"/>
          <w:b w:val="false"/>
          <w:bCs w:val="false"/>
          <w:color w:val="4A5568"/>
          <w:sz w:val="17"/>
          <w:szCs w:val="17"/>
        </w:rPr>
        <w:t xml:space="preserve">資料來源：盧建旭（2026a），表4。</w:t>
      </w:r>
    </w:p>
    <w:p>
      <w:pPr>
        <w:spacing w:after="80" w:line="276"/>
        <w:ind w:firstLine="397"/>
        <w:jc w:val="both"/>
      </w:pPr>
      <w:r>
        <w:rPr>
          <w:rFonts w:ascii="Microsoft JhengHei" w:eastAsia="Microsoft JhengHei" w:hAnsi="Microsoft JhengHei"/>
          <w:b w:val="false"/>
          <w:bCs w:val="false"/>
          <w:sz w:val="21"/>
          <w:szCs w:val="21"/>
        </w:rPr>
        <w:t xml:space="preserve">既然同一行為可能有不同評價，就需要一套判斷的方法。WP070 提出兩個步驟（盧建旭，2026a）。第一步是「負面性前置判準」：一個行為要被視為負面組織行為，除了符合偏差行為的類型，還必須造成可指認的公共價值損害，例如延誤法定期限、損害當事人權益、隱匿資訊、規避問責或削弱組織信任。若只是依法提出異議、進行程序性審查，或在制度內表達反對，應標為「程序性異議」或「制度內抵制」，不能一概視為負面行為。這一點很重要，否則組織行為學的量表會把公務員的職責履行誤記為偏差：依公務員服務法，長官的命令若違反刑事法律，公務員本來就沒有服從的義務（盧建旭，2026b）。</w:t>
      </w:r>
    </w:p>
    <w:p>
      <w:pPr>
        <w:spacing w:after="80" w:line="276"/>
        <w:ind w:firstLine="397"/>
        <w:jc w:val="both"/>
      </w:pPr>
      <w:r>
        <w:rPr>
          <w:rFonts w:ascii="Microsoft JhengHei" w:eastAsia="Microsoft JhengHei" w:hAnsi="Microsoft JhengHei"/>
          <w:b w:val="false"/>
          <w:bCs w:val="false"/>
          <w:sz w:val="21"/>
          <w:szCs w:val="21"/>
        </w:rPr>
        <w:t xml:space="preserve">第二步是有順序的歸因。WP070 以「起因、環境、行為表現、偵測與管控、後果與回饋」五層描述行為，再依序套用四條規則：兩國皆有、私部門理論失效或變形者，歸為公共組織的一般條件；制度不同且行為不同者，歸因於制度；只有在制度實質相近、行為仍有差異時，才可以暫時標記為「文化殘餘」，而且必須提出具體機制、可觀察的證據與可否證的條件；制度與文化都不同而無法拆解者，則記為「無法區分」。這個「先制度、後文化」的順序，呼應 Pollitt 與 Bouckaert（2017）把行政文化視為改革「過濾器」的觀點，目的是避免把官僚行為草率地歸因於「東亞文化」。圖14-2 整理了這個診斷流程。</w:t>
      </w:r>
    </w:p>
    <w:p>
      <w:pPr>
        <w:keepNext/>
        <w:spacing w:after="20" w:before="120"/>
        <w:jc w:val="center"/>
      </w:pPr>
      <w:r>
        <w:drawing>
          <wp:inline distT="0" distB="0" distL="0" distR="0">
            <wp:extent cx="5486400" cy="3295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3295650"/>
                    </a:xfrm>
                    <a:prstGeom prst="rect">
                      <a:avLst/>
                    </a:prstGeom>
                  </pic:spPr>
                </pic:pic>
              </a:graphicData>
            </a:graphic>
          </wp:inline>
        </w:drawing>
      </w:r>
    </w:p>
    <w:p>
      <w:pPr>
        <w:spacing w:after="160" w:before="20"/>
        <w:jc w:val="center"/>
      </w:pPr>
      <w:r>
        <w:rPr>
          <w:rFonts w:ascii="Microsoft JhengHei" w:eastAsia="Microsoft JhengHei" w:hAnsi="Microsoft JhengHei"/>
          <w:b/>
          <w:bCs/>
          <w:color w:val="4A5568"/>
          <w:sz w:val="16"/>
          <w:szCs w:val="16"/>
        </w:rPr>
        <w:t xml:space="preserve">圖14-2　公共組織負面組織行為的診斷流程</w:t>
      </w:r>
    </w:p>
    <w:p>
      <w:pPr>
        <w:spacing w:after="80" w:line="276"/>
        <w:ind w:firstLine="397"/>
        <w:jc w:val="both"/>
      </w:pPr>
      <w:r>
        <w:rPr>
          <w:rFonts w:ascii="Microsoft JhengHei" w:eastAsia="Microsoft JhengHei" w:hAnsi="Microsoft JhengHei"/>
          <w:b w:val="false"/>
          <w:bCs w:val="false"/>
          <w:sz w:val="21"/>
          <w:szCs w:val="21"/>
        </w:rPr>
        <w:t xml:space="preserve">依這套框架，WP071–075 分別檢視了台灣與日本中央官僚的五種負面組織政治。它們都屬於組織政治的「黑暗面」，也都在公共組織中出現了理論變形。</w:t>
      </w:r>
    </w:p>
    <w:p>
      <w:pPr>
        <w:spacing w:after="80" w:line="276"/>
        <w:ind w:firstLine="397"/>
        <w:jc w:val="both"/>
      </w:pPr>
      <w:r>
        <w:rPr>
          <w:rFonts w:ascii="Microsoft JhengHei" w:eastAsia="Microsoft JhengHei" w:hAnsi="Microsoft JhengHei"/>
          <w:b w:val="false"/>
          <w:bCs w:val="false"/>
          <w:sz w:val="21"/>
          <w:szCs w:val="21"/>
        </w:rPr>
        <w:t xml:space="preserve">第一種是反生產力行為（盧建旭，2026b）。考績等第長期集中於甲等，使成員傾向「策略性順從」：把力氣放在不出錯，而不是把事情做好，私部門「故意放慢」的解釋因此變形。洩密則不能逕行視為偏差，必須先經過動機、管道與內容的三階檢驗，區分違紀型洩密、揭弊型通報與公益性洩漏。公務員出於組織忠誠而隱匿資訊，則接近 Umphress 與 Bingham（2011）所說的「非倫理親組織行為」。</w:t>
      </w:r>
    </w:p>
    <w:p>
      <w:pPr>
        <w:spacing w:after="80" w:line="276"/>
        <w:ind w:firstLine="397"/>
        <w:jc w:val="both"/>
      </w:pPr>
      <w:r>
        <w:rPr>
          <w:rFonts w:ascii="Microsoft JhengHei" w:eastAsia="Microsoft JhengHei" w:hAnsi="Microsoft JhengHei"/>
          <w:b w:val="false"/>
          <w:bCs w:val="false"/>
          <w:sz w:val="21"/>
          <w:szCs w:val="21"/>
        </w:rPr>
        <w:t xml:space="preserve">第二種是謠言與耳語政治（盧建旭，2026c）。謠言是成員在資訊不足時的集體意義建構（DiFonzo &amp; Bordia, 2006），八卦則同時扮演規範與抵抗的角色（Hafen, 2004）。在公共組織裡，耳語涉及四種政治：誰先知道的資訊政治、評價主管與同事的聲譽政治、界定什麼不該做的規範政治，以及正式管道失靈時的抵抗政治。正式制度很難直接處理耳語，只能透過毀謗、洩密或霸凌等後果間接回應；最有效的對策，是降低不確定性、提高可信資訊的供給速度。</w:t>
      </w:r>
    </w:p>
    <w:p>
      <w:pPr>
        <w:spacing w:after="80" w:line="276"/>
        <w:ind w:firstLine="397"/>
        <w:jc w:val="both"/>
      </w:pPr>
      <w:r>
        <w:rPr>
          <w:rFonts w:ascii="Microsoft JhengHei" w:eastAsia="Microsoft JhengHei" w:hAnsi="Microsoft JhengHei"/>
          <w:b w:val="false"/>
          <w:bCs w:val="false"/>
          <w:sz w:val="21"/>
          <w:szCs w:val="21"/>
        </w:rPr>
        <w:t xml:space="preserve">第三種是派系與本位主義（盧建旭，2026d）。兩者應該區分：個人性派系建立在人際忠誠與升遷利益上，結構性本位主義則是單位為了維護預算、權限與業務邊界的自我防衛。歐美的官僚政治與地盤（turf）研究早已指出，地盤防衛是預算、權限與協調成本下的制度誘發行為（Downs, 1967; Wilson, 1989; Bardach, 1998），並非東亞特有的文化現象。台日都可見的預算競爭、資訊保留與協調消極，因此屬於公共組織的一般條件；人事封閉、退職後依附原機關等差異，則應歸因於制度。</w:t>
      </w:r>
    </w:p>
    <w:p>
      <w:pPr>
        <w:spacing w:after="80" w:line="276"/>
        <w:ind w:firstLine="397"/>
        <w:jc w:val="both"/>
      </w:pPr>
      <w:r>
        <w:rPr>
          <w:rFonts w:ascii="Microsoft JhengHei" w:eastAsia="Microsoft JhengHei" w:hAnsi="Microsoft JhengHei"/>
          <w:b w:val="false"/>
          <w:bCs w:val="false"/>
          <w:sz w:val="21"/>
          <w:szCs w:val="21"/>
        </w:rPr>
        <w:t xml:space="preserve">第四種是組織改革抵抗（盧建旭，2026e）。Hannan 與 Freeman（1984）的結構慣性理論指出，組織為了可靠與可問責而發展出的結構，本身就會阻礙快速變革。公共組織的法律剛性、多重委託人與身分保障更強化了這種慣性，常見的結果是改革「程序上推動、實質難落地」。但以決策品質風險為由提出的異議，屬於正當的程序性異議，不應一概貼上「抵抗」的標籤。</w:t>
      </w:r>
    </w:p>
    <w:p>
      <w:pPr>
        <w:spacing w:after="80" w:line="276"/>
        <w:ind w:firstLine="397"/>
        <w:jc w:val="both"/>
      </w:pPr>
      <w:r>
        <w:rPr>
          <w:rFonts w:ascii="Microsoft JhengHei" w:eastAsia="Microsoft JhengHei" w:hAnsi="Microsoft JhengHei"/>
          <w:b w:val="false"/>
          <w:bCs w:val="false"/>
          <w:sz w:val="21"/>
          <w:szCs w:val="21"/>
        </w:rPr>
        <w:t xml:space="preserve">第五種是責任規避與推諉（盧建旭，2026f）。Hood（2011）把避責策略分為表述、代理與操作三類，Weaver（1986）則指出避責可以是理性的政治選擇，不一定需要主觀惡意。更值得注意的是課責的悖論：以嚴格監督與懲罰為主的制裁型課責，可能壓下明顯的怠惰，卻誘發更隱蔽的避責，例如求穩、重新界定責任或製造績效資訊（Tu &amp; Gong, 2021; Tu, 2022）。問題不在課責太強，而在課責的組合方式。表14-3 整理這五種負面組織政治。</w:t>
      </w:r>
    </w:p>
    <w:p>
      <w:pPr>
        <w:keepNext/>
        <w:spacing w:after="60" w:before="160"/>
        <w:jc w:val="center"/>
      </w:pPr>
      <w:r>
        <w:rPr>
          <w:rFonts w:ascii="Microsoft JhengHei" w:eastAsia="Microsoft JhengHei" w:hAnsi="Microsoft JhengHei"/>
          <w:b/>
          <w:bCs/>
          <w:color w:val="1A365D"/>
          <w:sz w:val="19"/>
          <w:szCs w:val="19"/>
        </w:rPr>
        <w:t xml:space="preserve">表14-3　公共組織的五種負面組織政治</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2160"/>
        <w:gridCol w:w="2160"/>
        <w:gridCol w:w="2160"/>
        <w:gridCol w:w="2160"/>
      </w:tblGrid>
      <w:tr>
        <w:trPr>
          <w:cantSplit/>
          <w:tblHeader/>
        </w:trPr>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類型</w:t>
            </w:r>
          </w:p>
        </w:tc>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典型行為</w:t>
            </w:r>
          </w:p>
        </w:tc>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理論變形之處</w:t>
            </w:r>
          </w:p>
        </w:tc>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共同機制的表現</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反生產力行為</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考績防衛下的策略性順從；違紀型洩密</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「故意放慢」的自利解釋失效</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程序合規取代實質績效</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謠言與耳語政治</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不確定情境下的謠言與評價性八卦</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正式制度只能透過後果間接處理</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正式管道失靈時以耳語替代</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派系與本位主義</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預算競爭、地盤維護、資訊保留、協調消極</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地盤以「法定職掌」正當化</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以依法職掌掩護單位利益</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改革抵抗</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程序上推動、實質難落地</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快速重組與退出的假設失效</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程序完成即免責</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責任規避與推諉</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推給上級、程序或其他機關；隱蔽避責</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「加強懲罰即可抑制卸責」的處方變形</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程序正義優先於結果問責</w:t>
            </w:r>
          </w:p>
        </w:tc>
      </w:tr>
    </w:tbl>
    <w:p>
      <w:pPr>
        <w:spacing w:after="80"/>
      </w:pPr>
    </w:p>
    <w:p>
      <w:pPr>
        <w:spacing w:after="160"/>
        <w:jc w:val="center"/>
      </w:pPr>
      <w:r>
        <w:rPr>
          <w:rFonts w:ascii="Microsoft JhengHei" w:eastAsia="Microsoft JhengHei" w:hAnsi="Microsoft JhengHei"/>
          <w:b w:val="false"/>
          <w:bCs w:val="false"/>
          <w:color w:val="4A5568"/>
          <w:sz w:val="17"/>
          <w:szCs w:val="17"/>
        </w:rPr>
        <w:t xml:space="preserve">資料來源：整理自盧建旭（2026b, 2026c, 2026d, 2026e, 2026f）；各項多為初步編碼，歸因信心不一。</w:t>
      </w:r>
    </w:p>
    <w:p>
      <w:pPr>
        <w:spacing w:after="80" w:line="276"/>
        <w:ind w:firstLine="397"/>
        <w:jc w:val="both"/>
      </w:pPr>
      <w:r>
        <w:rPr>
          <w:rFonts w:ascii="Microsoft JhengHei" w:eastAsia="Microsoft JhengHei" w:hAnsi="Microsoft JhengHei"/>
          <w:b w:val="false"/>
          <w:bCs w:val="false"/>
          <w:sz w:val="21"/>
          <w:szCs w:val="21"/>
        </w:rPr>
        <w:t xml:space="preserve">這五種行為反覆指向同一個機制，本書稱之為「程序合規優先於結果與理由」。WP075 指出（盧建旭，2026f），私部門理論預設組織可以透過退出、快速重組或強化懲罰來矯正偏差；公共組織則受身分保障、法律剛性與程序正當性的約束，課責較重視程序是否完備，較輕視結果與決策理由。在這種條件下，偏差不會消失，而是換上合規的外衣出現：考績上的「大家都甲」、改革上的「程序上推動」、地盤上的「依法職掌」、責任上的「依程序辦理」，以及正式制度只能間接處理的耳語。</w:t>
      </w:r>
    </w:p>
    <w:p>
      <w:pPr>
        <w:spacing w:after="80" w:line="276"/>
        <w:ind w:firstLine="397"/>
        <w:jc w:val="both"/>
      </w:pPr>
      <w:r>
        <w:rPr>
          <w:rFonts w:ascii="Microsoft JhengHei" w:eastAsia="Microsoft JhengHei" w:hAnsi="Microsoft JhengHei"/>
          <w:b w:val="false"/>
          <w:bCs w:val="false"/>
          <w:sz w:val="21"/>
          <w:szCs w:val="21"/>
        </w:rPr>
        <w:t xml:space="preserve">另一個值得注意的發現是，在台日中央官僚的比較中，沒有任何一種行為通過「文化殘餘」的門檻。凡是可能被歸因於「和諧文化」或「根回し」的差異，若不是制度尚未排除，就是缺乏同層級的行為證據。這提醒我們，把公部門的組織政治歸因於文化，目前仍言之過早。</w:t>
      </w:r>
    </w:p>
    <w:p>
      <w:pPr>
        <w:spacing w:after="80" w:line="276"/>
        <w:ind w:firstLine="397"/>
        <w:jc w:val="both"/>
      </w:pPr>
      <w:r>
        <w:rPr>
          <w:rFonts w:ascii="Microsoft JhengHei" w:eastAsia="Microsoft JhengHei" w:hAnsi="Microsoft JhengHei"/>
          <w:b w:val="false"/>
          <w:bCs w:val="false"/>
          <w:sz w:val="21"/>
          <w:szCs w:val="21"/>
        </w:rPr>
        <w:t xml:space="preserve">把這個機制和前面幾章放在一起，可以看到它和忖度、防衛規範是同一家族的現象。第13章說，忖度讓決定留在沒有名字的上面；本章的「依程序辦理」，則讓決定藏在程序的後面。兩者都讓公共組織看起來沒有人違規，卻也沒有人為結果負責。</w:t>
      </w:r>
    </w:p>
    <w:p>
      <w:pPr>
        <w:pStyle w:val="Heading1"/>
        <w:spacing w:after="120" w:before="280"/>
      </w:pPr>
      <w:r>
        <w:rPr>
          <w:rFonts w:ascii="Microsoft JhengHei" w:eastAsia="Microsoft JhengHei" w:hAnsi="Microsoft JhengHei"/>
          <w:b/>
          <w:bCs/>
          <w:color w:val="1A365D"/>
          <w:sz w:val="26"/>
          <w:szCs w:val="26"/>
        </w:rPr>
        <w:t xml:space="preserve">14.4　治理化：網絡中的權力、衝突與政治</w:t>
      </w:r>
    </w:p>
    <w:p>
      <w:pPr>
        <w:spacing w:after="80" w:line="276"/>
        <w:ind w:firstLine="397"/>
        <w:jc w:val="both"/>
      </w:pPr>
      <w:r>
        <w:rPr>
          <w:rFonts w:ascii="Microsoft JhengHei" w:eastAsia="Microsoft JhengHei" w:hAnsi="Microsoft JhengHei"/>
          <w:b w:val="false"/>
          <w:bCs w:val="false"/>
          <w:sz w:val="21"/>
          <w:szCs w:val="21"/>
        </w:rPr>
        <w:t xml:space="preserve">當公共服務由政府、企業、非營利組織與公民共同生產，權力就進一步離開組織圖。在治理網絡中，位於結構洞的行動者能控制資訊與資源的流向（Burt, 1992）；掌握資金、資料與技術的行動者，不需要法定職級也能取得影響力（Pfeffer &amp; Salancik, 1978）；能夠協調多個組織的人，則擁有跨組織的協調權（Agranoff &amp; McGuire, 2003）。</w:t>
      </w:r>
    </w:p>
    <w:p>
      <w:pPr>
        <w:spacing w:after="80" w:line="276"/>
        <w:ind w:firstLine="397"/>
        <w:jc w:val="both"/>
      </w:pPr>
      <w:r>
        <w:rPr>
          <w:rFonts w:ascii="Microsoft JhengHei" w:eastAsia="Microsoft JhengHei" w:hAnsi="Microsoft JhengHei"/>
          <w:b w:val="false"/>
          <w:bCs w:val="false"/>
          <w:sz w:val="21"/>
          <w:szCs w:val="21"/>
        </w:rPr>
        <w:t xml:space="preserve">衝突也隨之擴大。網絡中的衝突牽涉不同組織的利益、價值與權威，無法靠層級命令解決，需要建立信任、規範與協商機制。Ansell 與 Gash（2008）的協力治理研究指出，面對面的對話、信任的累積與共同的承諾，是協力能否成功的關鍵；Klijn 與 Koppenjan（2016）則把這些工作稱為網絡管理。</w:t>
      </w:r>
    </w:p>
    <w:p>
      <w:pPr>
        <w:spacing w:after="80" w:line="276"/>
        <w:ind w:firstLine="397"/>
        <w:jc w:val="both"/>
      </w:pPr>
      <w:r>
        <w:rPr>
          <w:rFonts w:ascii="Microsoft JhengHei" w:eastAsia="Microsoft JhengHei" w:hAnsi="Microsoft JhengHei"/>
          <w:b w:val="false"/>
          <w:bCs w:val="false"/>
          <w:sz w:val="21"/>
          <w:szCs w:val="21"/>
        </w:rPr>
        <w:t xml:space="preserve">負面組織政治在網絡中也會變形。本位主義會從單位之間延伸到機關之間，造成跨機關協調失靈（Bardach, 1998）；責任規避則因為參與者眾多而更容易發生，最後形成「每個人都參與、沒有人負責」的局面。WP070 以新移民歸化案件為例，指出地方戶政與中央移民署之間缺乏明文的協調機制，形成「權威鏈留白」，個案因此在地方與中央之間漂流（盧建旭，2026a）。這類問題在單一組織的框架下看不見，必須放到治理層次才能理解，也正是第15章將進一步處理的主題。</w:t>
      </w:r>
    </w:p>
    <w:p>
      <w:pPr>
        <w:pStyle w:val="Heading1"/>
        <w:spacing w:after="120" w:before="280"/>
      </w:pPr>
      <w:r>
        <w:rPr>
          <w:rFonts w:ascii="Microsoft JhengHei" w:eastAsia="Microsoft JhengHei" w:hAnsi="Microsoft JhengHei"/>
          <w:b/>
          <w:bCs/>
          <w:color w:val="1A365D"/>
          <w:sz w:val="26"/>
          <w:szCs w:val="26"/>
        </w:rPr>
        <w:t xml:space="preserve">14.5　AI 化：演算法權力與誰治理誰</w:t>
      </w:r>
    </w:p>
    <w:p>
      <w:pPr>
        <w:spacing w:after="80" w:line="276"/>
        <w:ind w:firstLine="397"/>
        <w:jc w:val="both"/>
      </w:pPr>
      <w:r>
        <w:rPr>
          <w:rFonts w:ascii="Microsoft JhengHei" w:eastAsia="Microsoft JhengHei" w:hAnsi="Microsoft JhengHei"/>
          <w:b w:val="false"/>
          <w:bCs w:val="false"/>
          <w:sz w:val="21"/>
          <w:szCs w:val="21"/>
        </w:rPr>
        <w:t xml:space="preserve">AI 進入公共組織後，權力出現新的來源。誰掌握資料、誰設定演算法的規則、誰能覆核演算法的排序與風險分類，誰就取得影響力。Bovens 與 Zouridis（2002）早已描述行政從「街頭層級」走向「系統層級」的趨勢：裁量從第一線人員手上，移到了設計系統的人手上。AI 可能進一步削弱基層的裁量權，把權力集中到控制系統的高層、技術單位與外部廠商。</w:t>
      </w:r>
    </w:p>
    <w:p>
      <w:pPr>
        <w:spacing w:after="80" w:line="276"/>
        <w:ind w:firstLine="397"/>
        <w:jc w:val="both"/>
      </w:pPr>
      <w:r>
        <w:rPr>
          <w:rFonts w:ascii="Microsoft JhengHei" w:eastAsia="Microsoft JhengHei" w:hAnsi="Microsoft JhengHei"/>
          <w:b w:val="false"/>
          <w:bCs w:val="false"/>
          <w:sz w:val="21"/>
          <w:szCs w:val="21"/>
        </w:rPr>
        <w:t xml:space="preserve">演算法也是一種控制工具。Kellogg、Valentine 與 Christin（2020）指出，演算法透過限制、推薦、記錄、評分、取代與獎懲等方式控制工作者，比傳統的科層監督更全面、更即時，也更不透明。這正是第1章所說「演算法管理批判論」關心的權力黑箱。</w:t>
      </w:r>
    </w:p>
    <w:p>
      <w:pPr>
        <w:spacing w:after="80" w:line="276"/>
        <w:ind w:firstLine="397"/>
        <w:jc w:val="both"/>
      </w:pPr>
      <w:r>
        <w:rPr>
          <w:rFonts w:ascii="Microsoft JhengHei" w:eastAsia="Microsoft JhengHei" w:hAnsi="Microsoft JhengHei"/>
          <w:b w:val="false"/>
          <w:bCs w:val="false"/>
          <w:sz w:val="21"/>
          <w:szCs w:val="21"/>
        </w:rPr>
        <w:t xml:space="preserve">一個具體的例子，可以看清楚演算法權力怎樣在公共組織裡運作，又怎樣引發政治衝突。2020年，英國因為疫情取消了高中畢業的 A-Level 考試，改由教師預估成績，並把每所學校的學生依成績排序；主管考試的機關 Ofqual 再用一套演算法調整：參考各校過去三年的成績分布，把學校的成績拉回歷史的水準，需要往下調時，就從排序最後面的學生開始往下調。8月13日放榜時，教師預估的成績有39%被調降。因為人數很少的班級在統計上無法調整，大多直接採用教師的預估，而私立學校小班的比例較高，被調降的機率因此明顯較低。抗議隨之而起，8月17日，教育大臣宣布放棄演算法的結果，改採教師預估的成績（Taylor, 2020）。這個案例完整呈現了本章的幾個概念：誰設定排序的規則（以學校的歷史成績為準），就決定了誰會被調降；被調降的學生和家長，看得到結果，卻看不到決策鏈；而一套技術上說得通的模型，因為沒有公開討論和補救的機制，在短短四天內失去了政治的正當性。</w:t>
      </w:r>
    </w:p>
    <w:p>
      <w:pPr>
        <w:spacing w:after="80" w:line="276"/>
        <w:ind w:firstLine="397"/>
        <w:jc w:val="both"/>
      </w:pPr>
      <w:r>
        <w:rPr>
          <w:rFonts w:ascii="Microsoft JhengHei" w:eastAsia="Microsoft JhengHei" w:hAnsi="Microsoft JhengHei"/>
          <w:b w:val="false"/>
          <w:bCs w:val="false"/>
          <w:sz w:val="21"/>
          <w:szCs w:val="21"/>
        </w:rPr>
        <w:t xml:space="preserve">AI 也帶來新的衝突。人的專業判斷與 AI 的建議不一致時，會形成一種新的任務衝突；不同機關的資料標準與品質不同，會形成資料衝突；公平、透明與隱私之間的價值衝突，也會因為 AI 而更加尖銳。組織政治同樣出現新形態：透過資料與演算法影響政策，隱蔽性比傳統的遊說與結盟更高，因此需要新的政治技能，包括資料素養、AI 素養與倫理判斷。</w:t>
      </w:r>
    </w:p>
    <w:p>
      <w:pPr>
        <w:spacing w:after="80" w:line="276"/>
        <w:ind w:firstLine="397"/>
        <w:jc w:val="both"/>
      </w:pPr>
      <w:r>
        <w:rPr>
          <w:rFonts w:ascii="Microsoft JhengHei" w:eastAsia="Microsoft JhengHei" w:hAnsi="Microsoft JhengHei"/>
          <w:b w:val="false"/>
          <w:bCs w:val="false"/>
          <w:sz w:val="21"/>
          <w:szCs w:val="21"/>
        </w:rPr>
        <w:t xml:space="preserve">負面組織政治在 AI 時代會怎麼變化，目前仍是待驗的問題，但可以提出兩個方向。一方面，系統留下的紀錄可能讓部分推諉與合法怠惰變得更容易被看見；另一方面，也可能出現新的避責方式，也就是把責任推給演算法：「是系統這樣判的。」Busuioc（2021）提醒，當官員既看不懂、也解釋不了演算法的判斷時，課責的鏈條就會斷裂。</w:t>
      </w:r>
    </w:p>
    <w:p>
      <w:pPr>
        <w:spacing w:after="80" w:line="276"/>
        <w:ind w:firstLine="397"/>
        <w:jc w:val="both"/>
      </w:pPr>
      <w:r>
        <w:rPr>
          <w:rFonts w:ascii="Microsoft JhengHei" w:eastAsia="Microsoft JhengHei" w:hAnsi="Microsoft JhengHei"/>
          <w:b w:val="false"/>
          <w:bCs w:val="false"/>
          <w:sz w:val="21"/>
          <w:szCs w:val="21"/>
        </w:rPr>
        <w:t xml:space="preserve">怎樣防止責任被推給演算法？第13章和第15章已經提出了制度上的回答，這裡只把它們和本章的判準接起來。第13章主張，承辦人面對 AI 的建議，要能暫停、要求補充資訊、修正和推翻，並在紀錄上留下自己作成判斷的名字；AI 的輸出不是命令，產生服從義務的是要求依 AI 辦理的長官指示。第15章則主張，跨機關的 AI 應用要分清資料、技術、決策和治理四類責任，任何一方都不能把責任推給「系統建議」。本章要補上的，是負面性前置判準在 AI 情境中的適用：當承辦人基於資料錯誤、法律要件、比例原則、個案情狀或偏誤疑慮，要求暫停、修改或不採納 AI 的建議時，原則上應視為程序性異議和專業判斷，而不是不配合、延宕或負面組織行為。只有當他無正當理由地濫用否決、刻意延宕，或以異議掩護怠惰，並造成可指認的公共價值損害時，才進一步依診斷流程檢驗。這一點很重要：如果機關把質疑 AI 的人看成「不配合系統」，最後會讓每個人都學會照系統做，而「照系統做」，正是把責任推給演算法最安全的方式。</w:t>
      </w:r>
    </w:p>
    <w:p>
      <w:pPr>
        <w:spacing w:after="60" w:before="120" w:line="276"/>
      </w:pPr>
      <w:r>
        <w:rPr>
          <w:rFonts w:ascii="Microsoft JhengHei" w:eastAsia="Microsoft JhengHei" w:hAnsi="Microsoft JhengHei"/>
          <w:b/>
          <w:bCs/>
          <w:sz w:val="21"/>
          <w:szCs w:val="21"/>
        </w:rPr>
        <w:t xml:space="preserve">誰治理誰</w:t>
      </w:r>
    </w:p>
    <w:p>
      <w:pPr>
        <w:spacing w:after="80" w:line="276"/>
        <w:ind w:firstLine="397"/>
        <w:jc w:val="both"/>
      </w:pPr>
      <w:r>
        <w:rPr>
          <w:rFonts w:ascii="Microsoft JhengHei" w:eastAsia="Microsoft JhengHei" w:hAnsi="Microsoft JhengHei"/>
          <w:b w:val="false"/>
          <w:bCs w:val="false"/>
          <w:sz w:val="21"/>
          <w:szCs w:val="21"/>
        </w:rPr>
        <w:t xml:space="preserve">如果演算法權力進一步延伸為「誰能設定排序規則、誰能覆核排序結果」的排序權與風險分類權，就直接觸及「誰治理誰」的問題。若這種排序權高度集中於系統與供應商，而人的覆核流於形式，民主課責就可能出現「看得到結果、追不到決策鏈」的落差。這個伏筆將在第24章〈誰治理誰：民主課責與行政救濟的理論意涵〉正式展開。</w:t>
      </w:r>
    </w:p>
    <w:p>
      <w:pPr>
        <w:pStyle w:val="Heading1"/>
        <w:spacing w:after="120" w:before="280"/>
      </w:pPr>
      <w:r>
        <w:rPr>
          <w:rFonts w:ascii="Microsoft JhengHei" w:eastAsia="Microsoft JhengHei" w:hAnsi="Microsoft JhengHei"/>
          <w:b/>
          <w:bCs/>
          <w:color w:val="1A365D"/>
          <w:sz w:val="26"/>
          <w:szCs w:val="26"/>
        </w:rPr>
        <w:t xml:space="preserve">14.6　理論處理與研究命題</w:t>
      </w:r>
    </w:p>
    <w:p>
      <w:pPr>
        <w:spacing w:after="80" w:line="276"/>
        <w:ind w:firstLine="397"/>
        <w:jc w:val="both"/>
      </w:pPr>
      <w:r>
        <w:rPr>
          <w:rFonts w:ascii="Microsoft JhengHei" w:eastAsia="Microsoft JhengHei" w:hAnsi="Microsoft JhengHei"/>
          <w:b w:val="false"/>
          <w:bCs w:val="false"/>
          <w:sz w:val="21"/>
          <w:szCs w:val="21"/>
        </w:rPr>
        <w:t xml:space="preserve">綜合前面的檢驗，本章對傳統理論提出以下處理建議（表14-4）。權力基礎理論需要擴充，納入政治、公眾、媒體、網絡與演算法等來源；衝突理論需要擴充，納入價值、政治與法律衝突；組織政治與偏差行為理論則需要重新概念化，從「個人為什麼這樣做」轉向「結構為什麼容許、制度為什麼沒有及時偵測與約束」。</w:t>
      </w:r>
    </w:p>
    <w:p>
      <w:pPr>
        <w:keepNext/>
        <w:spacing w:after="60" w:before="160"/>
        <w:jc w:val="center"/>
      </w:pPr>
      <w:r>
        <w:rPr>
          <w:rFonts w:ascii="Microsoft JhengHei" w:eastAsia="Microsoft JhengHei" w:hAnsi="Microsoft JhengHei"/>
          <w:b/>
          <w:bCs/>
          <w:color w:val="1A365D"/>
          <w:sz w:val="19"/>
          <w:szCs w:val="19"/>
        </w:rPr>
        <w:t xml:space="preserve">表14-4　權力、衝突與組織政治理論的處理建議</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2880"/>
        <w:gridCol w:w="2880"/>
        <w:gridCol w:w="2880"/>
      </w:tblGrid>
      <w:tr>
        <w:trPr>
          <w:cantSplit/>
          <w:tblHeader/>
        </w:trPr>
        <w:tc>
          <w:tcPr>
            <w:tcW w:type="dxa" w:w="288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理論</w:t>
            </w:r>
          </w:p>
        </w:tc>
        <w:tc>
          <w:tcPr>
            <w:tcW w:type="dxa" w:w="288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處理方式</w:t>
            </w:r>
          </w:p>
        </w:tc>
        <w:tc>
          <w:tcPr>
            <w:tcW w:type="dxa" w:w="288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理由</w:t>
            </w:r>
          </w:p>
        </w:tc>
      </w:tr>
      <w:tr>
        <w:trPr>
          <w:cantSplit/>
          <w:tblHeader w:val="false"/>
        </w:trPr>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French &amp; Raven 權力基礎</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擴充</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五種權力仍然成立，但須補上政治、公眾、媒體、網絡與演算法權力</w:t>
            </w:r>
          </w:p>
        </w:tc>
      </w:tr>
      <w:tr>
        <w:trPr>
          <w:cantSplit/>
          <w:tblHeader w:val="false"/>
        </w:trPr>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Jehn 衝突類型</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擴充</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任務、關係、程序衝突之外，還有價值、政治與法律衝突，以及人機衝突</w:t>
            </w:r>
          </w:p>
        </w:tc>
      </w:tr>
      <w:tr>
        <w:trPr>
          <w:cantSplit/>
          <w:tblHeader w:val="false"/>
        </w:trPr>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組織政治知覺與政治技能</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修正</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須納入多重委託人與公開監督；政治技能須加上資料與 AI 素養</w:t>
            </w:r>
          </w:p>
        </w:tc>
      </w:tr>
      <w:tr>
        <w:trPr>
          <w:cantSplit/>
          <w:tblHeader w:val="false"/>
        </w:trPr>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CWB 與職場偏差行為</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重新概念化</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須先經負面性判準排除職責履行與程序性異議，並以結構與制度解釋取代個人自利解釋</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根據這些處理建議，本章提出六個可以檢驗的研究命題。命題是待檢驗的方向，不是已經確立的結論；表14-5列出每個命題可以從哪些指標和研究設計著手。</w:t>
      </w:r>
    </w:p>
    <w:p>
      <w:pPr>
        <w:spacing w:after="80" w:line="276"/>
        <w:ind w:left="397"/>
        <w:jc w:val="both"/>
      </w:pPr>
      <w:r>
        <w:rPr>
          <w:rFonts w:ascii="Microsoft JhengHei" w:eastAsia="Microsoft JhengHei" w:hAnsi="Microsoft JhengHei"/>
          <w:b w:val="false"/>
          <w:bCs w:val="false"/>
          <w:sz w:val="21"/>
          <w:szCs w:val="21"/>
        </w:rPr>
        <w:t xml:space="preserve">命題14-1：在規則密度高、績效目標模糊的公共組織中，政治偏離與生產偏離較常以程序合規的形式出現。</w:t>
      </w:r>
    </w:p>
    <w:p>
      <w:pPr>
        <w:spacing w:after="80" w:line="276"/>
        <w:ind w:left="397"/>
        <w:jc w:val="both"/>
      </w:pPr>
      <w:r>
        <w:rPr>
          <w:rFonts w:ascii="Microsoft JhengHei" w:eastAsia="Microsoft JhengHei" w:hAnsi="Microsoft JhengHei"/>
          <w:b w:val="false"/>
          <w:bCs w:val="false"/>
          <w:sz w:val="21"/>
          <w:szCs w:val="21"/>
        </w:rPr>
        <w:t xml:space="preserve">命題14-2：以嚴格監督與懲罰為主的制裁型課責，會降低明顯的怠惰，卻提高隱蔽的避責；結合高品質對話與明確標準的課責則較能抑制避責。</w:t>
      </w:r>
    </w:p>
    <w:p>
      <w:pPr>
        <w:spacing w:after="80" w:line="276"/>
        <w:ind w:left="397"/>
        <w:jc w:val="both"/>
      </w:pPr>
      <w:r>
        <w:rPr>
          <w:rFonts w:ascii="Microsoft JhengHei" w:eastAsia="Microsoft JhengHei" w:hAnsi="Microsoft JhengHei"/>
          <w:b w:val="false"/>
          <w:bCs w:val="false"/>
          <w:sz w:val="21"/>
          <w:szCs w:val="21"/>
        </w:rPr>
        <w:t xml:space="preserve">命題14-3：對揭弊者、提出疑問者與異議者的保護越實質，非正式的耳語、拖延與避責越少。</w:t>
      </w:r>
    </w:p>
    <w:p>
      <w:pPr>
        <w:spacing w:after="80" w:line="276"/>
        <w:ind w:left="397"/>
        <w:jc w:val="both"/>
      </w:pPr>
      <w:r>
        <w:rPr>
          <w:rFonts w:ascii="Microsoft JhengHei" w:eastAsia="Microsoft JhengHei" w:hAnsi="Microsoft JhengHei"/>
          <w:b w:val="false"/>
          <w:bCs w:val="false"/>
          <w:sz w:val="21"/>
          <w:szCs w:val="21"/>
        </w:rPr>
        <w:t xml:space="preserve">命題14-4：導入 AI 決策支援後，若責任歸屬未同步釐清，成員會把負面結果的責任轉嫁給演算法。</w:t>
      </w:r>
    </w:p>
    <w:p>
      <w:pPr>
        <w:spacing w:after="80" w:line="276"/>
        <w:ind w:left="397"/>
        <w:jc w:val="both"/>
      </w:pPr>
      <w:r>
        <w:rPr>
          <w:rFonts w:ascii="Microsoft JhengHei" w:eastAsia="Microsoft JhengHei" w:hAnsi="Microsoft JhengHei"/>
          <w:b w:val="false"/>
          <w:bCs w:val="false"/>
          <w:sz w:val="21"/>
          <w:szCs w:val="21"/>
        </w:rPr>
        <w:t xml:space="preserve">命題14-5：演算法排序權越集中於系統設計者與外部廠商，民主課責中「追不到決策鏈」的落差越大。</w:t>
      </w:r>
    </w:p>
    <w:p>
      <w:pPr>
        <w:spacing w:after="80" w:line="276"/>
        <w:ind w:left="397"/>
        <w:jc w:val="both"/>
      </w:pPr>
      <w:r>
        <w:rPr>
          <w:rFonts w:ascii="Microsoft JhengHei" w:eastAsia="Microsoft JhengHei" w:hAnsi="Microsoft JhengHei"/>
          <w:b w:val="false"/>
          <w:bCs w:val="false"/>
          <w:sz w:val="21"/>
          <w:szCs w:val="21"/>
        </w:rPr>
        <w:t xml:space="preserve">命題14-6：機關把基於正當理由質疑、暫停或不採納 AI 建議的行為視為程序性異議並給予保護時，成員把負面結果推給演算法的程度較低，AI 錯誤被發現的速度也較快。</w:t>
      </w:r>
    </w:p>
    <w:p>
      <w:pPr>
        <w:keepNext/>
        <w:spacing w:after="60" w:before="160"/>
        <w:jc w:val="center"/>
      </w:pPr>
      <w:r>
        <w:rPr>
          <w:rFonts w:ascii="Microsoft JhengHei" w:eastAsia="Microsoft JhengHei" w:hAnsi="Microsoft JhengHei"/>
          <w:b/>
          <w:bCs/>
          <w:color w:val="1A365D"/>
          <w:sz w:val="19"/>
          <w:szCs w:val="19"/>
        </w:rPr>
        <w:t xml:space="preserve">表14-5　研究命題、可以觀察的指標與研究設計</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600"/>
        <w:gridCol w:w="2800"/>
        <w:gridCol w:w="2800"/>
        <w:gridCol w:w="2440"/>
      </w:tblGrid>
      <w:tr>
        <w:trPr>
          <w:cantSplit/>
          <w:tblHeader/>
        </w:trPr>
        <w:tc>
          <w:tcPr>
            <w:tcW w:type="dxa" w:w="6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命題</w:t>
            </w:r>
          </w:p>
        </w:tc>
        <w:tc>
          <w:tcPr>
            <w:tcW w:type="dxa" w:w="28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核心關係</w:t>
            </w:r>
          </w:p>
        </w:tc>
        <w:tc>
          <w:tcPr>
            <w:tcW w:type="dxa" w:w="28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可以觀察的指標</w:t>
            </w:r>
          </w:p>
        </w:tc>
        <w:tc>
          <w:tcPr>
            <w:tcW w:type="dxa" w:w="24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可能的研究設計</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14-1</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規則密、目標模糊時，偏差以合規形式出現</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規則密度、目標模糊度、程序合規型偏差的比例</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多機關問卷；懲戒與調查案件的內容分析</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14-2</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制裁型課責抑制明顯怠惰、誘發隱蔽避責</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課責的組合、明顯怠惰、隱蔽避責</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跨機關比較；情境實驗</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14-3</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異議保護減少耳語、拖延和避責</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保護措施的實質程度、耳語、拖延、避責</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問卷搭配申訴和揭弊資料</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14-4</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責任未釐清時，責任被推給演算法</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責任歸屬的明確度、事後的責任歸因</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導入前後比較；事件調查報告分析</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14-5</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排序權集中，追不到決策鏈</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排序規則的設定者、覆核機制、決策鏈的可追溯性</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系統治理文件分析；個案研究</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14-6</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保護質疑 AI 的人，減少推給演算法、加快發現錯誤</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對質疑 AI 的處理方式、責任歸因、錯誤發現時間</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情境實驗；系統紀錄分析</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在實務上，WP075 的綜合結論提供了明確的方向（盧建旭，2026f）：課責應由「程序留痕」轉向「決策理由」，要求記錄可檢驗的理由，而不是增加會簽層級；應區分故意違法、重大過失、一般疏失與合理裁量，降低「怕踩線而不作為」的誘因；並給予挑戰者實質的反報復保護，讓正式管道取代耳語、拖延與避責。</w:t>
      </w:r>
    </w:p>
    <w:p>
      <w:pPr>
        <w:pStyle w:val="Heading1"/>
        <w:spacing w:after="120" w:before="280"/>
      </w:pPr>
      <w:r>
        <w:rPr>
          <w:rFonts w:ascii="Microsoft JhengHei" w:eastAsia="Microsoft JhengHei" w:hAnsi="Microsoft JhengHei"/>
          <w:b/>
          <w:bCs/>
          <w:color w:val="1A365D"/>
          <w:sz w:val="26"/>
          <w:szCs w:val="26"/>
        </w:rPr>
        <w:t xml:space="preserve">14.7　處理：用四個檢查詞檢查權力與課責</w:t>
      </w:r>
    </w:p>
    <w:p>
      <w:pPr>
        <w:spacing w:after="80" w:line="276"/>
        <w:ind w:firstLine="397"/>
        <w:jc w:val="both"/>
      </w:pPr>
      <w:r>
        <w:rPr>
          <w:rFonts w:ascii="Microsoft JhengHei" w:eastAsia="Microsoft JhengHei" w:hAnsi="Microsoft JhengHei"/>
          <w:b w:val="false"/>
          <w:bCs w:val="false"/>
          <w:sz w:val="21"/>
          <w:szCs w:val="21"/>
        </w:rPr>
        <w:t xml:space="preserve">第1章提出、第5章用來檢查跨機關業務的四個檢查詞，也可以用來檢查一個機關的權力和課責安排。</w:t>
      </w:r>
    </w:p>
    <w:p>
      <w:pPr>
        <w:spacing w:after="80" w:line="276"/>
        <w:ind w:firstLine="397"/>
        <w:jc w:val="both"/>
      </w:pPr>
      <w:r>
        <w:rPr>
          <w:rFonts w:ascii="Microsoft JhengHei" w:eastAsia="Microsoft JhengHei" w:hAnsi="Microsoft JhengHei"/>
          <w:b w:val="false"/>
          <w:bCs w:val="false"/>
          <w:sz w:val="21"/>
          <w:szCs w:val="21"/>
        </w:rPr>
        <w:t xml:space="preserve">第一是落差：交給第一線的任務，是否要求他們承擔超出權限的後果？當改革「程序上推動」，執行的人卻沒有資源和授權讓它落地，就是落差。第二是失衡：課責看的是程序有沒有走完，還是決定的理由站不站得住？如果做決定的人只要程序完備就不會被追究，而執行的人只要結果不好就要負責，權力和責任就失衡了。第三是失控：提出異議、揭弊或質疑 AI 建議的人，是否受到實質的保護？耳語之所以流行，往往是因為正式的管道失靈。第四是疏忽：權力是否已經離開組織圖，跑到資料、演算法和外部廠商手上，而沒有人去監督？排序權由誰設定、誰覆核，有沒有紀錄？</w:t>
      </w:r>
    </w:p>
    <w:p>
      <w:pPr>
        <w:keepNext/>
        <w:spacing w:after="60" w:before="160"/>
        <w:jc w:val="center"/>
      </w:pPr>
      <w:r>
        <w:rPr>
          <w:rFonts w:ascii="Microsoft JhengHei" w:eastAsia="Microsoft JhengHei" w:hAnsi="Microsoft JhengHei"/>
          <w:b/>
          <w:bCs/>
          <w:color w:val="1A365D"/>
          <w:sz w:val="19"/>
          <w:szCs w:val="19"/>
        </w:rPr>
        <w:t xml:space="preserve">表14-6　權力、衝突與課責檢核表</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900"/>
        <w:gridCol w:w="4600"/>
        <w:gridCol w:w="3140"/>
      </w:tblGrid>
      <w:tr>
        <w:trPr>
          <w:cantSplit/>
          <w:tblHeader/>
        </w:trPr>
        <w:tc>
          <w:tcPr>
            <w:tcW w:type="dxa" w:w="9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檢查詞</w:t>
            </w:r>
          </w:p>
        </w:tc>
        <w:tc>
          <w:tcPr>
            <w:tcW w:type="dxa" w:w="46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檢核項目</w:t>
            </w:r>
          </w:p>
        </w:tc>
        <w:tc>
          <w:tcPr>
            <w:tcW w:type="dxa" w:w="31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看什麼紀錄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落差</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改革或專案交辦時，執行單位是否有相應的資源、授權和期程？</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專案計畫、預算、人力</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落差</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價值、政治和法律衝突，是否有法制或跨單位的協調管道，而不是丟給承辦人？</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協調會議紀錄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失衡</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課責是否要求記錄可檢驗的決策理由，而不只是增加會簽層級？</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簽辦內容、決策理由紀錄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失衡</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懲處是否區分故意違法、重大過失、一般疏失與合理裁量？</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懲處要點、懲處紀錄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失衡</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「依程序辦理」的案件，是否也檢討結果和理由？</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案件檢討紀錄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失控</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揭弊者、異議者和質疑 AI 的人，是否受到不被報復的保護？</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後續考績、調動和申訴紀錄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失控</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正式管道是否及時提供可信的資訊，減少耳語的空間？</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內部公告、說明會紀錄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評定負面組織行為時，是否先經負面性前置判準，排除程序性異議？</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調查和懲處的判定紀錄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演算法的排序規則由誰設定、誰覆核，是否有紀錄？</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系統治理文件、覆核紀錄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跨機關的權威鏈是否有明文的協調機制？</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協調協議、作業要點</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用四個檢查詞回頭看導讀案例，就看得出勞保年金改革的權力和衝突，不只是各方立場的角力。落差，是改革方案一旦「程序上推動」，執行的第一線就得面對民眾的焦慮，卻沒有權力回答「我的年金會不會被砍」；失衡，是掌握精算數據的人能界定問題有多嚴重，卻不一定要為這個界定負責，而一旦出狀況，責任很容易被推給上級、程序或其他機關；失控，是機關內部提出不同意見的人，如果得不到保護，改革的爭議就會從正式的會議轉到耳語和媒體；疏忽，是當精算模型和資料越來越多地參與「界定問題」，誰設定了模型的假設、誰覆核了它，往往沒有人追問。</w:t>
      </w:r>
    </w:p>
    <w:p>
      <w:pPr>
        <w:pStyle w:val="Heading1"/>
        <w:spacing w:after="120" w:before="280"/>
      </w:pPr>
      <w:r>
        <w:rPr>
          <w:rFonts w:ascii="Microsoft JhengHei" w:eastAsia="Microsoft JhengHei" w:hAnsi="Microsoft JhengHei"/>
          <w:b/>
          <w:bCs/>
          <w:color w:val="1A365D"/>
          <w:sz w:val="26"/>
          <w:szCs w:val="26"/>
        </w:rPr>
        <w:t xml:space="preserve">14.8　小結與過渡</w:t>
      </w:r>
    </w:p>
    <w:p>
      <w:pPr>
        <w:spacing w:after="80" w:line="276"/>
        <w:ind w:firstLine="397"/>
        <w:jc w:val="both"/>
      </w:pPr>
      <w:r>
        <w:rPr>
          <w:rFonts w:ascii="Microsoft JhengHei" w:eastAsia="Microsoft JhengHei" w:hAnsi="Microsoft JhengHei"/>
          <w:b w:val="false"/>
          <w:bCs w:val="false"/>
          <w:sz w:val="21"/>
          <w:szCs w:val="21"/>
        </w:rPr>
        <w:t xml:space="preserve">本章說明，權力、衝突與組織政治進入公共組織後，不只是多了幾種權力來源與衝突類型。更重要的是，許多在企業中被視為偏差的行為，在公共組織中換上了合規的外衣；要分辨它們，必須先問是否造成公共價值損害，再依序檢驗一般條件、制度與文化。AI 則進一步讓權力離開組織圖，進入資料與演算法之中，並把「誰治理誰」推到台前。</w:t>
      </w:r>
    </w:p>
    <w:p>
      <w:pPr>
        <w:spacing w:after="80" w:line="276"/>
        <w:ind w:firstLine="397"/>
        <w:jc w:val="both"/>
      </w:pPr>
      <w:r>
        <w:rPr>
          <w:rFonts w:ascii="Microsoft JhengHei" w:eastAsia="Microsoft JhengHei" w:hAnsi="Microsoft JhengHei"/>
          <w:b w:val="false"/>
          <w:bCs w:val="false"/>
          <w:sz w:val="21"/>
          <w:szCs w:val="21"/>
        </w:rPr>
        <w:t xml:space="preserve">這一章可以用一句話總結：公共組織的偏差不會消失，它會換上合規的外衣；要讓它現形，課責必須從「程序有沒有走完」轉向「理由站不站得住」。在 AI 時代，還要加上一句：質疑 AI 的人是在守住課責，不是在製造麻煩。</w:t>
      </w:r>
    </w:p>
    <w:p>
      <w:pPr>
        <w:spacing w:after="80" w:line="276"/>
        <w:ind w:firstLine="397"/>
        <w:jc w:val="both"/>
      </w:pPr>
      <w:r>
        <w:rPr>
          <w:rFonts w:ascii="Microsoft JhengHei" w:eastAsia="Microsoft JhengHei" w:hAnsi="Microsoft JhengHei"/>
          <w:b w:val="false"/>
          <w:bCs w:val="false"/>
          <w:sz w:val="21"/>
          <w:szCs w:val="21"/>
        </w:rPr>
        <w:t xml:space="preserve">回到全書的核心問題。本章看到，決定往上、責任往下，在組織政治裡常常是透過程序完成的：做決定的人躲在「依程序辦理」的後面，承擔後果的是等不到處理的民眾和無力改變結果的第一線。課責由程序留痕轉向決策理由，就是要讓做決定的人重新站到理由的前面。</w:t>
      </w:r>
    </w:p>
    <w:p>
      <w:pPr>
        <w:spacing w:after="80" w:line="276"/>
        <w:ind w:firstLine="397"/>
        <w:jc w:val="both"/>
      </w:pPr>
      <w:r>
        <w:rPr>
          <w:rFonts w:ascii="Microsoft JhengHei" w:eastAsia="Microsoft JhengHei" w:hAnsi="Microsoft JhengHei"/>
          <w:b w:val="false"/>
          <w:bCs w:val="false"/>
          <w:sz w:val="21"/>
          <w:szCs w:val="21"/>
        </w:rPr>
        <w:t xml:space="preserve">下一章將把團體互動推向跨專業與跨機關的治理網絡，討論當協作跨越組織邊界時，信任、責任與協調如何重新形成。</w:t>
      </w:r>
    </w:p>
    <w:p>
      <w:pPr>
        <w:pStyle w:val="Heading1"/>
        <w:spacing w:after="120" w:before="280"/>
      </w:pPr>
      <w:r>
        <w:rPr>
          <w:rFonts w:ascii="Microsoft JhengHei" w:eastAsia="Microsoft JhengHei" w:hAnsi="Microsoft JhengHei"/>
          <w:b/>
          <w:bCs/>
          <w:color w:val="1A365D"/>
          <w:sz w:val="26"/>
          <w:szCs w:val="26"/>
        </w:rPr>
        <w:t xml:space="preserve">探討問題</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公共組織為什麼需要把政治、公眾、媒體與資料納入權力基礎？請以一個台灣的政策爭議說明。</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價值衝突為什麼比任務衝突更持久？公共組織可以怎麼管理它？</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請舉一個「同一行為，不同評價」的例子，並用負面性前置判準判斷它是程序性異議，還是負面組織行為。</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有人說「日本官僚比較不推諉，是因為和諧文化」。請用四條判定規則評估這個說法，並說明你還需要哪些證據。</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若演算法排序權集中於系統與供應商，可能對民主課責造成哪些「看得到結果、追不到決策鏈」的落差？</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一位承辦人認為 AI 的風險評分忽略了個案的特殊情況，要求暫停採用，主管卻認為他「不配合系統」。請用負面性前置判準判斷，這是程序性異議還是負面組織行為？機關應該怎樣處理？</w:t>
      </w:r>
    </w:p>
    <w:p>
      <w:pPr>
        <w:pStyle w:val="Heading1"/>
        <w:spacing w:after="120" w:before="280"/>
      </w:pPr>
      <w:r>
        <w:rPr>
          <w:rFonts w:ascii="Microsoft JhengHei" w:eastAsia="Microsoft JhengHei" w:hAnsi="Microsoft JhengHei"/>
          <w:b/>
          <w:bCs/>
          <w:color w:val="1A365D"/>
          <w:sz w:val="26"/>
          <w:szCs w:val="26"/>
        </w:rPr>
        <w:t xml:space="preserve">教案設計（白話）</w:t>
      </w:r>
    </w:p>
    <w:p>
      <w:pPr>
        <w:spacing w:after="60" w:before="120" w:line="276"/>
      </w:pPr>
      <w:r>
        <w:rPr>
          <w:rFonts w:ascii="Microsoft JhengHei" w:eastAsia="Microsoft JhengHei" w:hAnsi="Microsoft JhengHei"/>
          <w:b/>
          <w:bCs/>
          <w:sz w:val="21"/>
          <w:szCs w:val="21"/>
        </w:rPr>
        <w:t xml:space="preserve">教案一：權力從哪裡來？（約40分鐘）</w:t>
      </w:r>
    </w:p>
    <w:p>
      <w:pPr>
        <w:spacing w:after="80" w:line="276"/>
        <w:ind w:firstLine="397"/>
        <w:jc w:val="both"/>
      </w:pPr>
      <w:r>
        <w:rPr>
          <w:rFonts w:ascii="Microsoft JhengHei" w:eastAsia="Microsoft JhengHei" w:hAnsi="Microsoft JhengHei"/>
          <w:b w:val="false"/>
          <w:bCs w:val="false"/>
          <w:sz w:val="21"/>
          <w:szCs w:val="21"/>
        </w:rPr>
        <w:t xml:space="preserve">目標：看見組織圖以外的權力。以導讀案例為情境，各組列出每一位行動者的權力來源，並對照圖14-1 標出它屬於傳統、公共化、治理化或 AI 化的權力。最後討論：哪一種權力最難從組織圖上看見？它被誰監督？</w:t>
      </w:r>
    </w:p>
    <w:p>
      <w:pPr>
        <w:spacing w:after="60" w:before="120" w:line="276"/>
      </w:pPr>
      <w:r>
        <w:rPr>
          <w:rFonts w:ascii="Microsoft JhengHei" w:eastAsia="Microsoft JhengHei" w:hAnsi="Microsoft JhengHei"/>
          <w:b/>
          <w:bCs/>
          <w:sz w:val="21"/>
          <w:szCs w:val="21"/>
        </w:rPr>
        <w:t xml:space="preserve">教案二：是異議還是推諉？（約50分鐘）</w:t>
      </w:r>
    </w:p>
    <w:p>
      <w:pPr>
        <w:spacing w:after="80" w:line="276"/>
        <w:ind w:firstLine="397"/>
        <w:jc w:val="both"/>
      </w:pPr>
      <w:r>
        <w:rPr>
          <w:rFonts w:ascii="Microsoft JhengHei" w:eastAsia="Microsoft JhengHei" w:hAnsi="Microsoft JhengHei"/>
          <w:b w:val="false"/>
          <w:bCs w:val="false"/>
          <w:sz w:val="21"/>
          <w:szCs w:val="21"/>
        </w:rPr>
        <w:t xml:space="preserve">目標：練習負面性前置判準。老師準備五個簡短情境，例如承辦人以「法無明文」退件、單位以「非本機關職掌」轉文、成員在會議中留下反對紀錄。各組先判斷是否造成可指認的公共價值損害，再決定它是程序性異議，還是負面組織行為。判斷不同的組別互相說服，老師最後收斂判準。</w:t>
      </w:r>
    </w:p>
    <w:p>
      <w:pPr>
        <w:spacing w:after="60" w:before="120" w:line="276"/>
      </w:pPr>
      <w:r>
        <w:rPr>
          <w:rFonts w:ascii="Microsoft JhengHei" w:eastAsia="Microsoft JhengHei" w:hAnsi="Microsoft JhengHei"/>
          <w:b/>
          <w:bCs/>
          <w:sz w:val="21"/>
          <w:szCs w:val="21"/>
        </w:rPr>
        <w:t xml:space="preserve">教案三：先制度，後文化（約45分鐘）</w:t>
      </w:r>
    </w:p>
    <w:p>
      <w:pPr>
        <w:spacing w:after="80" w:line="276"/>
        <w:ind w:firstLine="397"/>
        <w:jc w:val="both"/>
      </w:pPr>
      <w:r>
        <w:rPr>
          <w:rFonts w:ascii="Microsoft JhengHei" w:eastAsia="Microsoft JhengHei" w:hAnsi="Microsoft JhengHei"/>
          <w:b w:val="false"/>
          <w:bCs w:val="false"/>
          <w:sz w:val="21"/>
          <w:szCs w:val="21"/>
        </w:rPr>
        <w:t xml:space="preserve">目標：避免文化本質化。給學生一段「台灣和日本公務員面對錯誤的不同反應」的描述，請各組依圖14-2 的四條規則逐步檢核，並寫下：還缺哪些制度資料，才能討論文化？沒有寫出可否證條件的「文化解釋」不計分。</w:t>
      </w:r>
    </w:p>
    <w:p>
      <w:pPr>
        <w:spacing w:after="60" w:before="120" w:line="276"/>
      </w:pPr>
      <w:r>
        <w:rPr>
          <w:rFonts w:ascii="Microsoft JhengHei" w:eastAsia="Microsoft JhengHei" w:hAnsi="Microsoft JhengHei"/>
          <w:b/>
          <w:bCs/>
          <w:sz w:val="21"/>
          <w:szCs w:val="21"/>
        </w:rPr>
        <w:t xml:space="preserve">教案四：演算法權力沙盒（約40分鐘）</w:t>
      </w:r>
    </w:p>
    <w:p>
      <w:pPr>
        <w:spacing w:after="80" w:line="276"/>
        <w:ind w:firstLine="397"/>
        <w:jc w:val="both"/>
      </w:pPr>
      <w:r>
        <w:rPr>
          <w:rFonts w:ascii="Microsoft JhengHei" w:eastAsia="Microsoft JhengHei" w:hAnsi="Microsoft JhengHei"/>
          <w:b w:val="false"/>
          <w:bCs w:val="false"/>
          <w:sz w:val="21"/>
          <w:szCs w:val="21"/>
        </w:rPr>
        <w:t xml:space="preserve">目標：體驗權力如何轉移到演算法。模擬一個機關導入 AI 分派案件：一組設定排序規則，一組是被分派的承辦人，一組是覆核者，一組是民眾。跑過兩輪後討論：誰的權力變大了？出錯時，責任落在誰身上？</w:t>
      </w:r>
    </w:p>
    <w:p>
      <w:pPr>
        <w:pStyle w:val="Heading1"/>
        <w:spacing w:after="120" w:before="280"/>
      </w:pPr>
      <w:r>
        <w:rPr>
          <w:rFonts w:ascii="Microsoft JhengHei" w:eastAsia="Microsoft JhengHei" w:hAnsi="Microsoft JhengHei"/>
          <w:b/>
          <w:bCs/>
          <w:color w:val="1A365D"/>
          <w:sz w:val="26"/>
          <w:szCs w:val="26"/>
        </w:rPr>
        <w:t xml:space="preserve">關鍵詞</w:t>
      </w:r>
    </w:p>
    <w:p>
      <w:pPr>
        <w:spacing w:after="80" w:line="276"/>
        <w:ind w:firstLine="397"/>
        <w:jc w:val="both"/>
      </w:pPr>
      <w:r>
        <w:rPr>
          <w:rFonts w:ascii="Microsoft JhengHei" w:eastAsia="Microsoft JhengHei" w:hAnsi="Microsoft JhengHei"/>
          <w:b w:val="false"/>
          <w:bCs w:val="false"/>
          <w:sz w:val="21"/>
          <w:szCs w:val="21"/>
        </w:rPr>
        <w:t xml:space="preserve">權力基礎 Bases of power／權力依賴 Power dependence／任務衝突 Task conflict／關係衝突 Relationship conflict／價值衝突 Value conflict／組織政治 Organizational politics／政治技能 Political skill／反生產力工作行為 Counterproductive work behavior／職場偏差行為 Workplace deviance／負面組織行為 Negative organizational behavior／負面性前置判準 Negativity threshold／程序性異議 Procedural dissent／紅帶 Red tape／合法怠惰 Legal inertia／耳語政治 Whisper politics／本位主義 Departmentalism／地盤防衛 Turf protection／結構慣性 Structural inertia／責任規避 Blame avoidance／課責悖論 Accountability paradox／演算法權力 Algorithmic power／排序權 Ranking power</w:t>
      </w:r>
    </w:p>
    <w:p>
      <w:pPr>
        <w:pStyle w:val="Heading1"/>
        <w:spacing w:after="120" w:before="280"/>
      </w:pPr>
      <w:r>
        <w:rPr>
          <w:rFonts w:ascii="Microsoft JhengHei" w:eastAsia="Microsoft JhengHei" w:hAnsi="Microsoft JhengHei"/>
          <w:b/>
          <w:bCs/>
          <w:color w:val="1A365D"/>
          <w:sz w:val="26"/>
          <w:szCs w:val="26"/>
        </w:rPr>
        <w:t xml:space="preserve">參考書目（APA 7th）</w:t>
      </w:r>
    </w:p>
    <w:p>
      <w:pPr>
        <w:spacing w:after="60" w:line="264"/>
        <w:ind w:left="480" w:hanging="480"/>
      </w:pPr>
      <w:r>
        <w:rPr>
          <w:rFonts w:ascii="Microsoft JhengHei" w:eastAsia="Microsoft JhengHei" w:hAnsi="Microsoft JhengHei"/>
          <w:b w:val="false"/>
          <w:bCs w:val="false"/>
          <w:sz w:val="19"/>
          <w:szCs w:val="19"/>
        </w:rPr>
        <w:t xml:space="preserve">Agranoff, R., &amp; McGuire, M. (2003). Collaborative public management: New strategies for local governments. Georgetown University Press.</w:t>
      </w:r>
    </w:p>
    <w:p>
      <w:pPr>
        <w:spacing w:after="60" w:line="264"/>
        <w:ind w:left="480" w:hanging="480"/>
      </w:pPr>
      <w:r>
        <w:rPr>
          <w:rFonts w:ascii="Microsoft JhengHei" w:eastAsia="Microsoft JhengHei" w:hAnsi="Microsoft JhengHei"/>
          <w:b w:val="false"/>
          <w:bCs w:val="false"/>
          <w:sz w:val="19"/>
          <w:szCs w:val="19"/>
        </w:rPr>
        <w:t xml:space="preserve">Ansell, C., &amp; Gash, A. (2008). Collaborative governance in theory and practice. Journal of Public Administration Research and Theory, 18(4), 543–571.</w:t>
      </w:r>
    </w:p>
    <w:p>
      <w:pPr>
        <w:spacing w:after="60" w:line="264"/>
        <w:ind w:left="480" w:hanging="480"/>
      </w:pPr>
      <w:r>
        <w:rPr>
          <w:rFonts w:ascii="Microsoft JhengHei" w:eastAsia="Microsoft JhengHei" w:hAnsi="Microsoft JhengHei"/>
          <w:b w:val="false"/>
          <w:bCs w:val="false"/>
          <w:sz w:val="19"/>
          <w:szCs w:val="19"/>
        </w:rPr>
        <w:t xml:space="preserve">Bardach, E. (1998). Getting agencies to work together: The practice and theory of managerial craftsmanship. Brookings Institution Press.</w:t>
      </w:r>
    </w:p>
    <w:p>
      <w:pPr>
        <w:spacing w:after="60" w:line="264"/>
        <w:ind w:left="480" w:hanging="480"/>
      </w:pPr>
      <w:r>
        <w:rPr>
          <w:rFonts w:ascii="Microsoft JhengHei" w:eastAsia="Microsoft JhengHei" w:hAnsi="Microsoft JhengHei"/>
          <w:b w:val="false"/>
          <w:bCs w:val="false"/>
          <w:sz w:val="19"/>
          <w:szCs w:val="19"/>
        </w:rPr>
        <w:t xml:space="preserve">Bovens, M., &amp; Zouridis, S. (2002). From street-level to system-level bureaucracies: How information and communication technology is transforming administrative discretion and constitutional control. Public Administration Review, 62(2), 174–184.</w:t>
      </w:r>
    </w:p>
    <w:p>
      <w:pPr>
        <w:spacing w:after="60" w:line="264"/>
        <w:ind w:left="480" w:hanging="480"/>
      </w:pPr>
      <w:r>
        <w:rPr>
          <w:rFonts w:ascii="Microsoft JhengHei" w:eastAsia="Microsoft JhengHei" w:hAnsi="Microsoft JhengHei"/>
          <w:b w:val="false"/>
          <w:bCs w:val="false"/>
          <w:sz w:val="19"/>
          <w:szCs w:val="19"/>
        </w:rPr>
        <w:t xml:space="preserve">Bozeman, B. (1993). A theory of government "red tape." Journal of Public Administration Research and Theory, 3(3), 273–304.</w:t>
      </w:r>
    </w:p>
    <w:p>
      <w:pPr>
        <w:spacing w:after="60" w:line="264"/>
        <w:ind w:left="480" w:hanging="480"/>
      </w:pPr>
      <w:r>
        <w:rPr>
          <w:rFonts w:ascii="Microsoft JhengHei" w:eastAsia="Microsoft JhengHei" w:hAnsi="Microsoft JhengHei"/>
          <w:b w:val="false"/>
          <w:bCs w:val="false"/>
          <w:sz w:val="19"/>
          <w:szCs w:val="19"/>
        </w:rPr>
        <w:t xml:space="preserve">Bozeman, B. (2000). Bureaucracy and red tape. Prentice Hall.</w:t>
      </w:r>
    </w:p>
    <w:p>
      <w:pPr>
        <w:spacing w:after="60" w:line="264"/>
        <w:ind w:left="480" w:hanging="480"/>
      </w:pPr>
      <w:r>
        <w:rPr>
          <w:rFonts w:ascii="Microsoft JhengHei" w:eastAsia="Microsoft JhengHei" w:hAnsi="Microsoft JhengHei"/>
          <w:b w:val="false"/>
          <w:bCs w:val="false"/>
          <w:sz w:val="19"/>
          <w:szCs w:val="19"/>
        </w:rPr>
        <w:t xml:space="preserve">Burt, R. S. (1992). Structural holes: The social structure of competition. Harvard University Press.</w:t>
      </w:r>
    </w:p>
    <w:p>
      <w:pPr>
        <w:spacing w:after="60" w:line="264"/>
        <w:ind w:left="480" w:hanging="480"/>
      </w:pPr>
      <w:r>
        <w:rPr>
          <w:rFonts w:ascii="Microsoft JhengHei" w:eastAsia="Microsoft JhengHei" w:hAnsi="Microsoft JhengHei"/>
          <w:b w:val="false"/>
          <w:bCs w:val="false"/>
          <w:sz w:val="19"/>
          <w:szCs w:val="19"/>
        </w:rPr>
        <w:t xml:space="preserve">Busuioc, M. (2021). Accountable artificial intelligence: Holding algorithms to account. Public Administration Review, 81(5), 825–836.</w:t>
      </w:r>
    </w:p>
    <w:p>
      <w:pPr>
        <w:spacing w:after="60" w:line="264"/>
        <w:ind w:left="480" w:hanging="480"/>
      </w:pPr>
      <w:r>
        <w:rPr>
          <w:rFonts w:ascii="Microsoft JhengHei" w:eastAsia="Microsoft JhengHei" w:hAnsi="Microsoft JhengHei"/>
          <w:b w:val="false"/>
          <w:bCs w:val="false"/>
          <w:sz w:val="19"/>
          <w:szCs w:val="19"/>
        </w:rPr>
        <w:t xml:space="preserve">De Dreu, C. K. W., &amp; Weingart, L. R. (2003). Task versus relationship conflict, team performance, and team member satisfaction: A meta-analysis. Journal of Applied Psychology, 88(4), 741–749.</w:t>
      </w:r>
    </w:p>
    <w:p>
      <w:pPr>
        <w:spacing w:after="60" w:line="264"/>
        <w:ind w:left="480" w:hanging="480"/>
      </w:pPr>
      <w:r>
        <w:rPr>
          <w:rFonts w:ascii="Microsoft JhengHei" w:eastAsia="Microsoft JhengHei" w:hAnsi="Microsoft JhengHei"/>
          <w:b w:val="false"/>
          <w:bCs w:val="false"/>
          <w:sz w:val="19"/>
          <w:szCs w:val="19"/>
        </w:rPr>
        <w:t xml:space="preserve">DiFonzo, N., &amp; Bordia, P. (2006). Rumor psychology: Social and organizational approaches. American Psychological Association.</w:t>
      </w:r>
    </w:p>
    <w:p>
      <w:pPr>
        <w:spacing w:after="60" w:line="264"/>
        <w:ind w:left="480" w:hanging="480"/>
      </w:pPr>
      <w:r>
        <w:rPr>
          <w:rFonts w:ascii="Microsoft JhengHei" w:eastAsia="Microsoft JhengHei" w:hAnsi="Microsoft JhengHei"/>
          <w:b w:val="false"/>
          <w:bCs w:val="false"/>
          <w:sz w:val="19"/>
          <w:szCs w:val="19"/>
        </w:rPr>
        <w:t xml:space="preserve">Downs, A. (1967). Inside bureaucracy. Little, Brown.</w:t>
      </w:r>
    </w:p>
    <w:p>
      <w:pPr>
        <w:spacing w:after="60" w:line="264"/>
        <w:ind w:left="480" w:hanging="480"/>
      </w:pPr>
      <w:r>
        <w:rPr>
          <w:rFonts w:ascii="Microsoft JhengHei" w:eastAsia="Microsoft JhengHei" w:hAnsi="Microsoft JhengHei"/>
          <w:b w:val="false"/>
          <w:bCs w:val="false"/>
          <w:sz w:val="19"/>
          <w:szCs w:val="19"/>
        </w:rPr>
        <w:t xml:space="preserve">Emerson, R. M. (1962). Power-dependence relations. American Sociological Review, 27(1), 31–41.</w:t>
      </w:r>
    </w:p>
    <w:p>
      <w:pPr>
        <w:spacing w:after="60" w:line="264"/>
        <w:ind w:left="480" w:hanging="480"/>
      </w:pPr>
      <w:r>
        <w:rPr>
          <w:rFonts w:ascii="Microsoft JhengHei" w:eastAsia="Microsoft JhengHei" w:hAnsi="Microsoft JhengHei"/>
          <w:b w:val="false"/>
          <w:bCs w:val="false"/>
          <w:sz w:val="19"/>
          <w:szCs w:val="19"/>
        </w:rPr>
        <w:t xml:space="preserve">Ferris, G. R., Russ, G. S., &amp; Fandt, P. M. (1989). Politics in organizations. In R. A. Giacalone &amp; P. Rosenfeld (Eds.), Impression management in the organization (pp. 143–170). Lawrence Erlbaum.</w:t>
      </w:r>
    </w:p>
    <w:p>
      <w:pPr>
        <w:spacing w:after="60" w:line="264"/>
        <w:ind w:left="480" w:hanging="480"/>
      </w:pPr>
      <w:r>
        <w:rPr>
          <w:rFonts w:ascii="Microsoft JhengHei" w:eastAsia="Microsoft JhengHei" w:hAnsi="Microsoft JhengHei"/>
          <w:b w:val="false"/>
          <w:bCs w:val="false"/>
          <w:sz w:val="19"/>
          <w:szCs w:val="19"/>
        </w:rPr>
        <w:t xml:space="preserve">Ferris, G. R., Treadway, D. C., Kolodinsky, R. W., Hochwarter, W. A., Kacmar, C. J., Douglas, C., &amp; Frink, D. D. (2005). Development and validation of the political skill inventory. Journal of Management, 31(1), 126–152.</w:t>
      </w:r>
    </w:p>
    <w:p>
      <w:pPr>
        <w:spacing w:after="60" w:line="264"/>
        <w:ind w:left="480" w:hanging="480"/>
      </w:pPr>
      <w:r>
        <w:rPr>
          <w:rFonts w:ascii="Microsoft JhengHei" w:eastAsia="Microsoft JhengHei" w:hAnsi="Microsoft JhengHei"/>
          <w:b w:val="false"/>
          <w:bCs w:val="false"/>
          <w:sz w:val="19"/>
          <w:szCs w:val="19"/>
        </w:rPr>
        <w:t xml:space="preserve">French, J. R. P., Jr., &amp; Raven, B. (1959). The bases of social power. In D. Cartwright (Ed.), Studies in social power (pp. 150–167). University of Michigan, Institute for Social Research.</w:t>
      </w:r>
    </w:p>
    <w:p>
      <w:pPr>
        <w:spacing w:after="60" w:line="264"/>
        <w:ind w:left="480" w:hanging="480"/>
      </w:pPr>
      <w:r>
        <w:rPr>
          <w:rFonts w:ascii="Microsoft JhengHei" w:eastAsia="Microsoft JhengHei" w:hAnsi="Microsoft JhengHei"/>
          <w:b w:val="false"/>
          <w:bCs w:val="false"/>
          <w:sz w:val="19"/>
          <w:szCs w:val="19"/>
        </w:rPr>
        <w:t xml:space="preserve">George, B., Steijn, B., Pandey, S. K., Decramer, A., &amp; Audenaert, M. (2021). Red tape, organizational performance, and employee outcomes: Meta-analysis, meta-regression, and research agenda. Public Administration Review, 81(4), 638–651.</w:t>
      </w:r>
    </w:p>
    <w:p>
      <w:pPr>
        <w:spacing w:after="60" w:line="264"/>
        <w:ind w:left="480" w:hanging="480"/>
      </w:pPr>
      <w:r>
        <w:rPr>
          <w:rFonts w:ascii="Microsoft JhengHei" w:eastAsia="Microsoft JhengHei" w:hAnsi="Microsoft JhengHei"/>
          <w:b w:val="false"/>
          <w:bCs w:val="false"/>
          <w:sz w:val="19"/>
          <w:szCs w:val="19"/>
        </w:rPr>
        <w:t xml:space="preserve">Hafen, S. (2004). Organizational gossip: A revolving door of regulation and resistance. Southern Communication Journal, 69(3), 223–240.</w:t>
      </w:r>
    </w:p>
    <w:p>
      <w:pPr>
        <w:spacing w:after="60" w:line="264"/>
        <w:ind w:left="480" w:hanging="480"/>
      </w:pPr>
      <w:r>
        <w:rPr>
          <w:rFonts w:ascii="Microsoft JhengHei" w:eastAsia="Microsoft JhengHei" w:hAnsi="Microsoft JhengHei"/>
          <w:b w:val="false"/>
          <w:bCs w:val="false"/>
          <w:sz w:val="19"/>
          <w:szCs w:val="19"/>
        </w:rPr>
        <w:t xml:space="preserve">Hannan, M. T., &amp; Freeman, J. (1984). Structural inertia and organizational change. American Sociological Review, 49(2), 149–164.</w:t>
      </w:r>
    </w:p>
    <w:p>
      <w:pPr>
        <w:spacing w:after="60" w:line="264"/>
        <w:ind w:left="480" w:hanging="480"/>
      </w:pPr>
      <w:r>
        <w:rPr>
          <w:rFonts w:ascii="Microsoft JhengHei" w:eastAsia="Microsoft JhengHei" w:hAnsi="Microsoft JhengHei"/>
          <w:b w:val="false"/>
          <w:bCs w:val="false"/>
          <w:sz w:val="19"/>
          <w:szCs w:val="19"/>
        </w:rPr>
        <w:t xml:space="preserve">Hood, C. (2011). The blame game: Spin, bureaucracy, and self-preservation in government. Princeton University Press.</w:t>
      </w:r>
    </w:p>
    <w:p>
      <w:pPr>
        <w:spacing w:after="60" w:line="264"/>
        <w:ind w:left="480" w:hanging="480"/>
      </w:pPr>
      <w:r>
        <w:rPr>
          <w:rFonts w:ascii="Microsoft JhengHei" w:eastAsia="Microsoft JhengHei" w:hAnsi="Microsoft JhengHei"/>
          <w:b w:val="false"/>
          <w:bCs w:val="false"/>
          <w:sz w:val="19"/>
          <w:szCs w:val="19"/>
        </w:rPr>
        <w:t xml:space="preserve">Jehn, K. A. (1995). A multimethod examination of the benefits and detriments of intragroup conflict. Administrative Science Quarterly, 40(2), 256–282.</w:t>
      </w:r>
    </w:p>
    <w:p>
      <w:pPr>
        <w:spacing w:after="60" w:line="264"/>
        <w:ind w:left="480" w:hanging="480"/>
      </w:pPr>
      <w:r>
        <w:rPr>
          <w:rFonts w:ascii="Microsoft JhengHei" w:eastAsia="Microsoft JhengHei" w:hAnsi="Microsoft JhengHei"/>
          <w:b w:val="false"/>
          <w:bCs w:val="false"/>
          <w:sz w:val="19"/>
          <w:szCs w:val="19"/>
        </w:rPr>
        <w:t xml:space="preserve">Kellogg, K. C., Valentine, M. A., &amp; Christin, A. (2020). Algorithms at work: The new contested terrain of control. Academy of Management Annals, 14(1), 366–410.</w:t>
      </w:r>
    </w:p>
    <w:p>
      <w:pPr>
        <w:spacing w:after="60" w:line="264"/>
        <w:ind w:left="480" w:hanging="480"/>
      </w:pPr>
      <w:r>
        <w:rPr>
          <w:rFonts w:ascii="Microsoft JhengHei" w:eastAsia="Microsoft JhengHei" w:hAnsi="Microsoft JhengHei"/>
          <w:b w:val="false"/>
          <w:bCs w:val="false"/>
          <w:sz w:val="19"/>
          <w:szCs w:val="19"/>
        </w:rPr>
        <w:t xml:space="preserve">Klijn, E.-H., &amp; Koppenjan, J. (2016). Governance networks in the public sector. Routledge.</w:t>
      </w:r>
    </w:p>
    <w:p>
      <w:pPr>
        <w:spacing w:after="60" w:line="264"/>
        <w:ind w:left="480" w:hanging="480"/>
      </w:pPr>
      <w:r>
        <w:rPr>
          <w:rFonts w:ascii="Microsoft JhengHei" w:eastAsia="Microsoft JhengHei" w:hAnsi="Microsoft JhengHei"/>
          <w:b w:val="false"/>
          <w:bCs w:val="false"/>
          <w:sz w:val="19"/>
          <w:szCs w:val="19"/>
        </w:rPr>
        <w:t xml:space="preserve">Pandey, S. K., &amp; Scott, P. G. (2002). Red tape: A review and assessment of concepts and measures. Journal of Public Administration Research and Theory, 12(4), 553–580.</w:t>
      </w:r>
    </w:p>
    <w:p>
      <w:pPr>
        <w:spacing w:after="60" w:line="264"/>
        <w:ind w:left="480" w:hanging="480"/>
      </w:pPr>
      <w:r>
        <w:rPr>
          <w:rFonts w:ascii="Microsoft JhengHei" w:eastAsia="Microsoft JhengHei" w:hAnsi="Microsoft JhengHei"/>
          <w:b w:val="false"/>
          <w:bCs w:val="false"/>
          <w:sz w:val="19"/>
          <w:szCs w:val="19"/>
        </w:rPr>
        <w:t xml:space="preserve">Pfeffer, J. (1981). Power in organizations. Pitman.</w:t>
      </w:r>
    </w:p>
    <w:p>
      <w:pPr>
        <w:spacing w:after="60" w:line="264"/>
        <w:ind w:left="480" w:hanging="480"/>
      </w:pPr>
      <w:r>
        <w:rPr>
          <w:rFonts w:ascii="Microsoft JhengHei" w:eastAsia="Microsoft JhengHei" w:hAnsi="Microsoft JhengHei"/>
          <w:b w:val="false"/>
          <w:bCs w:val="false"/>
          <w:sz w:val="19"/>
          <w:szCs w:val="19"/>
        </w:rPr>
        <w:t xml:space="preserve">Pfeffer, J., &amp; Salancik, G. R. (1978). The external control of organizations: A resource dependence perspective. Harper &amp; Row.</w:t>
      </w:r>
    </w:p>
    <w:p>
      <w:pPr>
        <w:spacing w:after="60" w:line="264"/>
        <w:ind w:left="480" w:hanging="480"/>
      </w:pPr>
      <w:r>
        <w:rPr>
          <w:rFonts w:ascii="Microsoft JhengHei" w:eastAsia="Microsoft JhengHei" w:hAnsi="Microsoft JhengHei"/>
          <w:b w:val="false"/>
          <w:bCs w:val="false"/>
          <w:sz w:val="19"/>
          <w:szCs w:val="19"/>
        </w:rPr>
        <w:t xml:space="preserve">Pollitt, C., &amp; Bouckaert, G. (2017). Public management reform: A comparative analysis – Into the age of austerity (4th ed.). Oxford University Press.</w:t>
      </w:r>
    </w:p>
    <w:p>
      <w:pPr>
        <w:spacing w:after="60" w:line="264"/>
        <w:ind w:left="480" w:hanging="480"/>
      </w:pPr>
      <w:r>
        <w:rPr>
          <w:rFonts w:ascii="Microsoft JhengHei" w:eastAsia="Microsoft JhengHei" w:hAnsi="Microsoft JhengHei"/>
          <w:b w:val="false"/>
          <w:bCs w:val="false"/>
          <w:sz w:val="19"/>
          <w:szCs w:val="19"/>
        </w:rPr>
        <w:t xml:space="preserve">Robinson, S. L., &amp; Bennett, R. J. (1995). A typology of deviant workplace behaviors: A multidimensional scaling study. Academy of Management Journal, 38(2), 555–572.</w:t>
      </w:r>
    </w:p>
    <w:p>
      <w:pPr>
        <w:spacing w:after="60" w:line="264"/>
        <w:ind w:left="480" w:hanging="480"/>
      </w:pPr>
      <w:r>
        <w:rPr>
          <w:rFonts w:ascii="Microsoft JhengHei" w:eastAsia="Microsoft JhengHei" w:hAnsi="Microsoft JhengHei"/>
          <w:b w:val="false"/>
          <w:bCs w:val="false"/>
          <w:sz w:val="19"/>
          <w:szCs w:val="19"/>
        </w:rPr>
        <w:t xml:space="preserve">Spector, P. E., Fox, S., Penney, L. M., Bruursema, K., Goh, A., &amp; Kessler, S. (2006). The dimensionality of counterproductivity: Are all counterproductive behaviors created equal? Journal of Vocational Behavior, 68(3), 446–460.</w:t>
      </w:r>
    </w:p>
    <w:p>
      <w:pPr>
        <w:spacing w:after="60" w:line="264"/>
        <w:ind w:left="480" w:hanging="480"/>
      </w:pPr>
      <w:r>
        <w:rPr>
          <w:rFonts w:ascii="Microsoft JhengHei" w:eastAsia="Microsoft JhengHei" w:hAnsi="Microsoft JhengHei"/>
          <w:b w:val="false"/>
          <w:bCs w:val="false"/>
          <w:sz w:val="19"/>
          <w:szCs w:val="19"/>
        </w:rPr>
        <w:t xml:space="preserve">Taylor, P. (2020). Short cuts. London Review of Books, 42(17). https://www.lrb.co.uk/the-paper/v42/n17/paul-taylor/short-cuts</w:t>
      </w:r>
    </w:p>
    <w:p>
      <w:pPr>
        <w:spacing w:after="60" w:line="264"/>
        <w:ind w:left="480" w:hanging="480"/>
      </w:pPr>
      <w:r>
        <w:rPr>
          <w:rFonts w:ascii="Microsoft JhengHei" w:eastAsia="Microsoft JhengHei" w:hAnsi="Microsoft JhengHei"/>
          <w:b w:val="false"/>
          <w:bCs w:val="false"/>
          <w:sz w:val="19"/>
          <w:szCs w:val="19"/>
        </w:rPr>
        <w:t xml:space="preserve">Tu, W. (2022). Unpacking the accountability cube and its relationship with blame avoidance. Public Management Review, 26(3), 653–675.</w:t>
      </w:r>
    </w:p>
    <w:p>
      <w:pPr>
        <w:spacing w:after="60" w:line="264"/>
        <w:ind w:left="480" w:hanging="480"/>
      </w:pPr>
      <w:r>
        <w:rPr>
          <w:rFonts w:ascii="Microsoft JhengHei" w:eastAsia="Microsoft JhengHei" w:hAnsi="Microsoft JhengHei"/>
          <w:b w:val="false"/>
          <w:bCs w:val="false"/>
          <w:sz w:val="19"/>
          <w:szCs w:val="19"/>
        </w:rPr>
        <w:t xml:space="preserve">Tu, W., &amp; Gong, T. (2021). Bureaucratic shirking in China: Is sanction-based accountability a cure? The China Quarterly, 249, 1–22.</w:t>
      </w:r>
    </w:p>
    <w:p>
      <w:pPr>
        <w:spacing w:after="60" w:line="264"/>
        <w:ind w:left="480" w:hanging="480"/>
      </w:pPr>
      <w:r>
        <w:rPr>
          <w:rFonts w:ascii="Microsoft JhengHei" w:eastAsia="Microsoft JhengHei" w:hAnsi="Microsoft JhengHei"/>
          <w:b w:val="false"/>
          <w:bCs w:val="false"/>
          <w:sz w:val="19"/>
          <w:szCs w:val="19"/>
        </w:rPr>
        <w:t xml:space="preserve">Umphress, E. E., &amp; Bingham, J. B. (2011). When employees do bad things for good reasons: Examining unethical pro-organizational behaviors. Organization Science, 22(3), 621–640.</w:t>
      </w:r>
    </w:p>
    <w:p>
      <w:pPr>
        <w:spacing w:after="60" w:line="264"/>
        <w:ind w:left="480" w:hanging="480"/>
      </w:pPr>
      <w:r>
        <w:rPr>
          <w:rFonts w:ascii="Microsoft JhengHei" w:eastAsia="Microsoft JhengHei" w:hAnsi="Microsoft JhengHei"/>
          <w:b w:val="false"/>
          <w:bCs w:val="false"/>
          <w:sz w:val="19"/>
          <w:szCs w:val="19"/>
        </w:rPr>
        <w:t xml:space="preserve">Weaver, R. K. (1986). The politics of blame avoidance. Journal of Public Policy, 6(4), 371–398.</w:t>
      </w:r>
    </w:p>
    <w:p>
      <w:pPr>
        <w:spacing w:after="60" w:line="264"/>
        <w:ind w:left="480" w:hanging="480"/>
      </w:pPr>
      <w:r>
        <w:rPr>
          <w:rFonts w:ascii="Microsoft JhengHei" w:eastAsia="Microsoft JhengHei" w:hAnsi="Microsoft JhengHei"/>
          <w:b w:val="false"/>
          <w:bCs w:val="false"/>
          <w:sz w:val="19"/>
          <w:szCs w:val="19"/>
        </w:rPr>
        <w:t xml:space="preserve">Wilson, J. Q. (1989). Bureaucracy: What government agencies do and why they do it. Basic Books.</w:t>
      </w:r>
    </w:p>
    <w:p>
      <w:pPr>
        <w:spacing w:after="60" w:line="264"/>
        <w:ind w:left="480" w:hanging="480"/>
      </w:pPr>
      <w:r>
        <w:rPr>
          <w:rFonts w:ascii="Microsoft JhengHei" w:eastAsia="Microsoft JhengHei" w:hAnsi="Microsoft JhengHei"/>
          <w:b w:val="false"/>
          <w:bCs w:val="false"/>
          <w:sz w:val="19"/>
          <w:szCs w:val="19"/>
        </w:rPr>
        <w:t xml:space="preserve">盧建旭（2026a）。公共組織中的負面組織行為：框架與判定規則（AI治理研究系列工作論文 WP070）。Zenodo. https://doi.org/10.5281/zenodo.23321204</w:t>
      </w:r>
    </w:p>
    <w:p>
      <w:pPr>
        <w:spacing w:after="60" w:line="264"/>
        <w:ind w:left="480" w:hanging="480"/>
      </w:pPr>
      <w:r>
        <w:rPr>
          <w:rFonts w:ascii="Microsoft JhengHei" w:eastAsia="Microsoft JhengHei" w:hAnsi="Microsoft JhengHei"/>
          <w:b w:val="false"/>
          <w:bCs w:val="false"/>
          <w:sz w:val="19"/>
          <w:szCs w:val="19"/>
        </w:rPr>
        <w:t xml:space="preserve">盧建旭（2026b）。公共組織中的反生產力行為：違紀、洩密與CWB量表的公共組織適用性（AI治理研究系列工作論文 WP071）。Zenodo. https://doi.org/10.5281/zenodo.23321715</w:t>
      </w:r>
    </w:p>
    <w:p>
      <w:pPr>
        <w:spacing w:after="60" w:line="264"/>
        <w:ind w:left="480" w:hanging="480"/>
      </w:pPr>
      <w:r>
        <w:rPr>
          <w:rFonts w:ascii="Microsoft JhengHei" w:eastAsia="Microsoft JhengHei" w:hAnsi="Microsoft JhengHei"/>
          <w:b w:val="false"/>
          <w:bCs w:val="false"/>
          <w:sz w:val="19"/>
          <w:szCs w:val="19"/>
        </w:rPr>
        <w:t xml:space="preserve">盧建旭（2026c）。公共組織中的謠言與耳語政治：非正式溝通的制度可見性與判定框架應用（AI治理研究系列工作論文 WP072）。Zenodo. https://doi.org/10.5281/zenodo.23321813</w:t>
      </w:r>
    </w:p>
    <w:p>
      <w:pPr>
        <w:spacing w:after="60" w:line="264"/>
        <w:ind w:left="480" w:hanging="480"/>
      </w:pPr>
      <w:r>
        <w:rPr>
          <w:rFonts w:ascii="Microsoft JhengHei" w:eastAsia="Microsoft JhengHei" w:hAnsi="Microsoft JhengHei"/>
          <w:b w:val="false"/>
          <w:bCs w:val="false"/>
          <w:sz w:val="19"/>
          <w:szCs w:val="19"/>
        </w:rPr>
        <w:t xml:space="preserve">盧建旭（2026d）。公共組織中的派系與本位主義：台日中央官僚體制的制度誘因與行為機制比較（AI治理研究系列工作論文 WP073）。Zenodo. https://doi.org/10.5281/zenodo.23321897</w:t>
      </w:r>
    </w:p>
    <w:p>
      <w:pPr>
        <w:spacing w:after="60" w:line="264"/>
        <w:ind w:left="480" w:hanging="480"/>
      </w:pPr>
      <w:r>
        <w:rPr>
          <w:rFonts w:ascii="Microsoft JhengHei" w:eastAsia="Microsoft JhengHei" w:hAnsi="Microsoft JhengHei"/>
          <w:b w:val="false"/>
          <w:bCs w:val="false"/>
          <w:sz w:val="19"/>
          <w:szCs w:val="19"/>
        </w:rPr>
        <w:t xml:space="preserve">盧建旭（2026e）。公共組織中的組織改革抵抗：台日改革歷程的制度誘因與判定框架應用（AI治理研究系列工作論文 WP074）。Zenodo. https://doi.org/10.5281/zenodo.23321992</w:t>
      </w:r>
    </w:p>
    <w:p>
      <w:pPr>
        <w:spacing w:after="60" w:line="264"/>
        <w:ind w:left="480" w:hanging="480"/>
      </w:pPr>
      <w:r>
        <w:rPr>
          <w:rFonts w:ascii="Microsoft JhengHei" w:eastAsia="Microsoft JhengHei" w:hAnsi="Microsoft JhengHei"/>
          <w:b w:val="false"/>
          <w:bCs w:val="false"/>
          <w:sz w:val="19"/>
          <w:szCs w:val="19"/>
        </w:rPr>
        <w:t xml:space="preserve">盧建旭（2026f）。公共組織中的責任規避與推諉：課責設計的誘因與系列綜合歸因（AI治理研究系列工作論文 WP075）。Zenodo. https://doi.org/10.5281/zenodo.23330406</w:t>
      </w:r>
    </w:p>
    <w:sectPr>
      <w:pgSz w:w="12240" w:h="15840" w:orient="portrait"/>
      <w:pgMar w:top="1440" w:right="1800" w:bottom="1440" w:left="18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JhengHei" w:cs="Microsoft JhengHei" w:eastAsia="Microsoft JhengHei" w:hAnsi="Microsoft JhengHe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outlineLvl w:val="0"/>
    </w:pPr>
    <w:rPr>
      <w:rFonts w:ascii="Microsoft JhengHei" w:cs="Microsoft JhengHei" w:eastAsia="Microsoft JhengHei" w:hAnsi="Microsoft JhengHei"/>
      <w:b/>
      <w:bCs/>
      <w:color w:val="1A365D"/>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3a70e7b70ddc96b33730e60cd44d162cc020fd6.png"/><Relationship Id="rId8" Type="http://schemas.openxmlformats.org/officeDocument/2006/relationships/image" Target="media/5a995a1305a895e181da5356a9102ef52b2a180c.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2026-10-20T09:24:38.208Z</dcterms:created>
  <dcterms:modified xsi:type="dcterms:W3CDTF">2026-10-20T09:24:38.213Z</dcterms:modified>
</cp:coreProperties>
</file>

<file path=docProps/custom.xml><?xml version="1.0" encoding="utf-8"?>
<Properties xmlns="http://schemas.openxmlformats.org/officeDocument/2006/custom-properties" xmlns:vt="http://schemas.openxmlformats.org/officeDocument/2006/docPropsVTypes"/>
</file>