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400"/>
        <w:jc w:val="center"/>
      </w:pPr>
      <w:r>
        <w:rPr>
          <w:rFonts w:ascii="微軟正黑體" w:cs="微軟正黑體" w:eastAsia="微軟正黑體" w:hAnsi="微軟正黑體"/>
          <w:b/>
          <w:bCs/>
          <w:sz w:val="44"/>
          <w:szCs w:val="44"/>
        </w:rPr>
        <w:t>行政學教科書</w:t>
      </w:r>
    </w:p>
    <w:p>
      <w:pPr>
        <w:spacing w:after="60"/>
        <w:jc w:val="center"/>
      </w:pPr>
      <w:r>
        <w:rPr>
          <w:rFonts w:ascii="微軟正黑體" w:cs="微軟正黑體" w:eastAsia="微軟正黑體" w:hAnsi="微軟正黑體"/>
          <w:b/>
          <w:bCs/>
          <w:color w:val="444444"/>
          <w:sz w:val="28"/>
          <w:szCs w:val="28"/>
        </w:rPr>
        <w:t xml:space="preserve">第二十五章　AI鑲嵌式公共行政:25座標的動態應用與權力移轉指標操作化</w:t>
      </w:r>
    </w:p>
    <w:p>
      <w:pPr>
        <w:spacing w:after="400"/>
        <w:jc w:val="center"/>
      </w:pPr>
      <w:r>
        <w:rPr>
          <w:rFonts w:ascii="微軟正黑體" w:cs="微軟正黑體" w:eastAsia="微軟正黑體" w:hAnsi="微軟正黑體"/>
          <w:i/>
          <w:iCs/>
          <w:color w:val="777777"/>
          <w:sz w:val="22"/>
          <w:szCs w:val="22"/>
        </w:rPr>
        <w:t xml:space="preserve">——全書分析架構的整合與方法論深化</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本章在25座標的位置</w:t>
            </w:r>
          </w:p>
          <w:p>
            <w:pPr>
              <w:spacing w:line="340"/>
              <w:jc w:val="both"/>
            </w:pPr>
            <w:r>
              <w:rPr>
                <w:rFonts w:ascii="微軟正黑體" w:cs="微軟正黑體" w:eastAsia="微軟正黑體" w:hAnsi="微軟正黑體"/>
                <w:sz w:val="21"/>
                <w:szCs w:val="21"/>
              </w:rPr>
              <w:t xml:space="preserve">本章是全書的「方法論回歸點」——不再聚焦公共行政某一特定領域,而是回到分析工具本身,系統性地深化25治理座標、三種權力移轉、三項結構效應、四條治理鏈與七項治理審計之間的操作化關係。作為全書第四部(跨層整合、四鏈、七審、壓力測試、理論重構)的開篇,本章定位跨越所有五層五單位——它不屬於25座標中的任何單一格位,而是說明這套座標系統本身如何運作、如何被操作化為可測量的指標。本章主要對應的不是單一治理鏈或單一審計,而是四鏈七審的整體方法論基礎。</w:t>
            </w:r>
          </w:p>
        </w:tc>
      </w:tr>
    </w:tbl>
    <w:p>
      <w:pPr>
        <w:spacing w:after="200"/>
      </w:pPr>
    </w:p>
    <w:p>
      <w:pPr>
        <w:spacing w:after="180" w:before="360"/>
      </w:pPr>
      <w:r>
        <w:rPr>
          <w:rFonts w:ascii="微軟正黑體" w:cs="微軟正黑體" w:eastAsia="微軟正黑體" w:hAnsi="微軟正黑體"/>
          <w:b/>
          <w:bCs/>
          <w:color w:val="1F4E79"/>
          <w:sz w:val="26"/>
          <w:szCs w:val="26"/>
        </w:rPr>
        <w:t xml:space="preserve">學習目標</w:t>
      </w:r>
    </w:p>
    <w:p>
      <w:pPr>
        <w:pStyle w:val="ListParagraph"/>
        <w:numPr>
          <w:ilvl w:val="0"/>
          <w:numId w:val="2"/>
        </w:numPr>
        <w:spacing w:after="120" w:line="340"/>
      </w:pPr>
      <w:r>
        <w:rPr>
          <w:rFonts w:ascii="微軟正黑體" w:cs="微軟正黑體" w:eastAsia="微軟正黑體" w:hAnsi="微軟正黑體"/>
          <w:sz w:val="22"/>
          <w:szCs w:val="22"/>
        </w:rPr>
        <w:t xml:space="preserve">能複習並深化25治理座標(5層次×5單位)之座標邏輯,理解其作為「定位系統」而非「計分系統」之設計原則。</w:t>
      </w:r>
    </w:p>
    <w:p>
      <w:pPr>
        <w:pStyle w:val="ListParagraph"/>
        <w:numPr>
          <w:ilvl w:val="0"/>
          <w:numId w:val="2"/>
        </w:numPr>
        <w:spacing w:after="120" w:line="340"/>
      </w:pPr>
      <w:r>
        <w:rPr>
          <w:rFonts w:ascii="微軟正黑體" w:cs="微軟正黑體" w:eastAsia="微軟正黑體" w:hAnsi="微軟正黑體"/>
          <w:sz w:val="22"/>
          <w:szCs w:val="22"/>
        </w:rPr>
        <w:t xml:space="preserve">能區辨三種行政權力功能性移轉(P1情境建構權、P2行政裁量權、P3公權力影響力)之定義,並掌握其操作化指標。</w:t>
      </w:r>
    </w:p>
    <w:p>
      <w:pPr>
        <w:pStyle w:val="ListParagraph"/>
        <w:numPr>
          <w:ilvl w:val="0"/>
          <w:numId w:val="2"/>
        </w:numPr>
        <w:spacing w:after="120" w:line="340"/>
      </w:pPr>
      <w:r>
        <w:rPr>
          <w:rFonts w:ascii="微軟正黑體" w:cs="微軟正黑體" w:eastAsia="微軟正黑體" w:hAnsi="微軟正黑體"/>
          <w:sz w:val="22"/>
          <w:szCs w:val="22"/>
        </w:rPr>
        <w:t xml:space="preserve">能區辨三項結構效應(跨格移動、邊界消解、權威重構)與三種權力移轉之因果關係——移轉回答「透過什麼機制」,結構效應回答「造成什麼變化」。</w:t>
      </w:r>
    </w:p>
    <w:p>
      <w:pPr>
        <w:pStyle w:val="ListParagraph"/>
        <w:numPr>
          <w:ilvl w:val="0"/>
          <w:numId w:val="2"/>
        </w:numPr>
        <w:spacing w:after="120" w:line="340"/>
      </w:pPr>
      <w:r>
        <w:rPr>
          <w:rFonts w:ascii="微軟正黑體" w:cs="微軟正黑體" w:eastAsia="微軟正黑體" w:hAnsi="微軟正黑體"/>
          <w:sz w:val="22"/>
          <w:szCs w:val="22"/>
        </w:rPr>
        <w:t xml:space="preserve">能運用四條治理鏈(情境建構鏈、權威鏈、理由鏈、責任鏈)與七項治理審計,建構一份可操作的AI治理稽核表。</w:t>
      </w:r>
    </w:p>
    <w:p>
      <w:pPr>
        <w:pStyle w:val="ListParagraph"/>
        <w:numPr>
          <w:ilvl w:val="0"/>
          <w:numId w:val="2"/>
        </w:numPr>
        <w:spacing w:after="120" w:line="340"/>
      </w:pPr>
      <w:r>
        <w:rPr>
          <w:rFonts w:ascii="微軟正黑體" w:cs="微軟正黑體" w:eastAsia="微軟正黑體" w:hAnsi="微軟正黑體"/>
          <w:sz w:val="22"/>
          <w:szCs w:val="22"/>
        </w:rPr>
        <w:t xml:space="preserve">能以本書第一章至第二十四章之案例為素材,示範25座標的「跨格移動」如何在真實治理情境中發生。</w:t>
      </w:r>
    </w:p>
    <w:p>
      <w:pPr>
        <w:pStyle w:val="ListParagraph"/>
        <w:numPr>
          <w:ilvl w:val="0"/>
          <w:numId w:val="2"/>
        </w:numPr>
        <w:spacing w:after="120" w:line="340"/>
      </w:pPr>
      <w:r>
        <w:rPr>
          <w:rFonts w:ascii="微軟正黑體" w:cs="微軟正黑體" w:eastAsia="微軟正黑體" w:hAnsi="微軟正黑體"/>
          <w:sz w:val="22"/>
          <w:szCs w:val="22"/>
        </w:rPr>
        <w:t xml:space="preserve">能運用P1-P2-P3操作化指標,分析國際與國內AI治理案例中權力讓渡的具體程度。</w:t>
      </w:r>
    </w:p>
    <w:p>
      <w:pPr>
        <w:spacing w:after="180" w:before="360"/>
      </w:pPr>
      <w:r>
        <w:rPr>
          <w:rFonts w:ascii="微軟正黑體" w:cs="微軟正黑體" w:eastAsia="微軟正黑體" w:hAnsi="微軟正黑體"/>
          <w:b/>
          <w:bCs/>
          <w:color w:val="1F4E79"/>
          <w:sz w:val="26"/>
          <w:szCs w:val="26"/>
        </w:rPr>
        <w:t xml:space="preserve">開場與定位</w:t>
      </w:r>
    </w:p>
    <w:p>
      <w:pPr>
        <w:spacing w:after="240" w:line="340"/>
        <w:ind w:left="576" w:right="576"/>
      </w:pPr>
      <w:r>
        <w:rPr>
          <w:rFonts w:ascii="微軟正黑體" w:cs="微軟正黑體" w:eastAsia="微軟正黑體" w:hAnsi="微軟正黑體"/>
          <w:i/>
          <w:iCs/>
          <w:sz w:val="21"/>
          <w:szCs w:val="21"/>
        </w:rPr>
        <w:t xml:space="preserve">「不識廬山真面目,只緣身在此山中。」——蘇軾《題西林壁》</w:t>
      </w:r>
    </w:p>
    <w:p>
      <w:pPr>
        <w:spacing w:after="200" w:line="360"/>
        <w:ind w:firstLine="431"/>
        <w:jc w:val="both"/>
      </w:pPr>
      <w:r>
        <w:rPr>
          <w:rFonts w:ascii="微軟正黑體" w:cs="微軟正黑體" w:eastAsia="微軟正黑體" w:hAnsi="微軟正黑體"/>
          <w:sz w:val="22"/>
          <w:szCs w:val="22"/>
        </w:rPr>
        <w:t xml:space="preserve">前二十四章,我們分別站在行政學的二十四個不同山頭上——組織、人事、財務、績效、溝通——每一章都在自己的位置上,誠實地報告AI如何改寫了那個位置的風景。但蘇軾提醒我們一件事:身在此山中的人,永遠看不清整座山的真實面貌。本章的任務,正是走出每一個山頭,回到那張可以同時看見二十五個位置的地圖上——重新檢視25治理座標、三種權力移轉、三項結構效應、四條治理鏈與七項治理審計,這套從第一章就開始使用、卻始終未曾被完整攤開解釋的分析工具本身。</w:t>
      </w:r>
    </w:p>
    <w:p>
      <w:pPr>
        <w:spacing w:after="200" w:line="360"/>
        <w:ind w:firstLine="431"/>
        <w:jc w:val="both"/>
      </w:pPr>
      <w:r>
        <w:rPr>
          <w:rFonts w:ascii="微軟正黑體" w:cs="微軟正黑體" w:eastAsia="微軟正黑體" w:hAnsi="微軟正黑體"/>
          <w:sz w:val="22"/>
          <w:szCs w:val="22"/>
        </w:rPr>
        <w:t xml:space="preserve">這不是走回頭路,而是全書結構刻意的安排:前二十四章示範了這套工具「如何被使用」,本章則說明這套工具「為什麼這樣設計」與「如何被操作化為可測量的指標」。從本章開始,全書進入第四部——跨層整合、四鏈、七審、壓力測試與理論重構,不再逐一巡視行政學的各個領域,而是回頭追問:我們用來丈量AI鑲嵌程度的這把尺,本身夠不夠精準?</w:t>
      </w:r>
    </w:p>
    <w:p>
      <w:pPr>
        <w:spacing w:after="180" w:before="360"/>
      </w:pPr>
      <w:r>
        <w:rPr>
          <w:rFonts w:ascii="微軟正黑體" w:cs="微軟正黑體" w:eastAsia="微軟正黑體" w:hAnsi="微軟正黑體"/>
          <w:b/>
          <w:bCs/>
          <w:color w:val="1F4E79"/>
          <w:sz w:val="26"/>
          <w:szCs w:val="26"/>
        </w:rPr>
        <w:t xml:space="preserve">本章概念架構</w:t>
      </w:r>
    </w:p>
    <w:p>
      <w:pPr>
        <w:spacing w:after="200" w:line="360"/>
        <w:ind w:firstLine="431"/>
        <w:jc w:val="both"/>
      </w:pPr>
      <w:r>
        <w:rPr>
          <w:rFonts w:ascii="微軟正黑體" w:cs="微軟正黑體" w:eastAsia="微軟正黑體" w:hAnsi="微軟正黑體"/>
          <w:sz w:val="22"/>
          <w:szCs w:val="22"/>
        </w:rPr>
        <w:t xml:space="preserve">本章可分為三個相互銜接的分析層次:</w:t>
      </w:r>
    </w:p>
    <w:p>
      <w:pPr>
        <w:pStyle w:val="ListParagraph"/>
        <w:numPr>
          <w:ilvl w:val="0"/>
          <w:numId w:val="2"/>
        </w:numPr>
        <w:spacing w:after="120" w:line="340"/>
      </w:pPr>
      <w:r>
        <w:rPr>
          <w:rFonts w:ascii="微軟正黑體" w:cs="微軟正黑體" w:eastAsia="微軟正黑體" w:hAnsi="微軟正黑體"/>
          <w:sz w:val="22"/>
          <w:szCs w:val="22"/>
        </w:rPr>
        <w:t xml:space="preserve">25座標的座標邏輯:五分析層次(哲學與價值、制度分工、政策體系、組織設計、管理運作)×五分析單位(個人、團體、組織、社會、國際),作為定位系統而非計分系統。</w:t>
      </w:r>
    </w:p>
    <w:p>
      <w:pPr>
        <w:pStyle w:val="ListParagraph"/>
        <w:numPr>
          <w:ilvl w:val="0"/>
          <w:numId w:val="2"/>
        </w:numPr>
        <w:spacing w:after="120" w:line="340"/>
      </w:pPr>
      <w:r>
        <w:rPr>
          <w:rFonts w:ascii="微軟正黑體" w:cs="微軟正黑體" w:eastAsia="微軟正黑體" w:hAnsi="微軟正黑體"/>
          <w:sz w:val="22"/>
          <w:szCs w:val="22"/>
        </w:rPr>
        <w:t xml:space="preserve">三種權力移轉的操作化:P1情境建構權(問題可見性、標籤決定權、特徵選擇權)、P2行政裁量權(建議接受率、人類覆寫率、覆寫理由書面化程度、裁量日誌完整性)、P3公權力影響力(自動執行程度、人民權利影響評估、外部救濟管道)。</w:t>
      </w:r>
    </w:p>
    <w:p>
      <w:pPr>
        <w:pStyle w:val="ListParagraph"/>
        <w:numPr>
          <w:ilvl w:val="0"/>
          <w:numId w:val="2"/>
        </w:numPr>
        <w:spacing w:after="120" w:line="340"/>
      </w:pPr>
      <w:r>
        <w:rPr>
          <w:rFonts w:ascii="微軟正黑體" w:cs="微軟正黑體" w:eastAsia="微軟正黑體" w:hAnsi="微軟正黑體"/>
          <w:sz w:val="22"/>
          <w:szCs w:val="22"/>
        </w:rPr>
        <w:t xml:space="preserve">三項結構效應與四鏈七審的整合應用:跨格移動、邊界消解、權威重構如何在真實案例中被觀察,並以四鏈七審形成可操作的稽核表。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本章分析流程</w:t>
            </w:r>
          </w:p>
          <w:p>
            <w:pPr>
              <w:spacing w:line="340"/>
              <w:jc w:val="both"/>
            </w:pPr>
            <w:r>
              <w:rPr>
                <w:rFonts w:ascii="微軟正黑體" w:cs="微軟正黑體" w:eastAsia="微軟正黑體" w:hAnsi="微軟正黑體"/>
                <w:sz w:val="21"/>
                <w:szCs w:val="21"/>
              </w:rPr>
              <w:t xml:space="preserve">25座標的座標邏輯回顧　→　三種權力移轉的定義與操作化指標　→　三項結構效應:移轉之後發生了什麼　→　四鏈七審整合為可操作稽核表　→　AI治理專節:指標化之治理挑戰與工具箱　→　案例:COMPAS與戶政身分證換發之P1-P2-P3操作化練習　→　銜接第二十六章四條治理鏈方法論深化</w:t>
            </w:r>
          </w:p>
        </w:tc>
      </w:tr>
    </w:tbl>
    <w:p>
      <w:pPr>
        <w:spacing w:after="200" w:line="360"/>
        <w:ind w:firstLine="431"/>
        <w:jc w:val="both"/>
      </w:pPr>
      <w:r>
        <w:rPr>
          <w:rFonts w:ascii="微軟正黑體" w:cs="微軟正黑體" w:eastAsia="微軟正黑體" w:hAnsi="微軟正黑體"/>
          <w:sz w:val="22"/>
          <w:szCs w:val="22"/>
        </w:rPr>
        <w:t xml:space="preserve">這個架構顯示,本章的任務不是提出新的行政學領域知識,而是把過去二十四章反覆使用、卻始終停留在「直覺應用」層次的分析工具,轉化為有明確操作程序、可被檢驗、可被教學複製的方法論。唯有如此,25-3-3-4-7架構才能真正成為一套可傳承的分析語言,而不只是這本教科書作者個人的思考習慣。</w:t>
      </w:r>
    </w:p>
    <w:p>
      <w:pPr>
        <w:spacing w:after="180" w:before="360"/>
      </w:pPr>
      <w:r>
        <w:rPr>
          <w:rFonts w:ascii="微軟正黑體" w:cs="微軟正黑體" w:eastAsia="微軟正黑體" w:hAnsi="微軟正黑體"/>
          <w:b/>
          <w:bCs/>
          <w:color w:val="1F4E79"/>
          <w:sz w:val="26"/>
          <w:szCs w:val="26"/>
        </w:rPr>
        <w:t xml:space="preserve">第一節　25座標:定位系統而非計分系統</w:t>
      </w:r>
    </w:p>
    <w:p>
      <w:pPr>
        <w:spacing w:after="140" w:before="260"/>
      </w:pPr>
      <w:r>
        <w:rPr>
          <w:rFonts w:ascii="微軟正黑體" w:cs="微軟正黑體" w:eastAsia="微軟正黑體" w:hAnsi="微軟正黑體"/>
          <w:b/>
          <w:bCs/>
          <w:color w:val="2E5C8A"/>
          <w:sz w:val="23"/>
          <w:szCs w:val="23"/>
        </w:rPr>
        <w:t xml:space="preserve">一、五分析層次與五分析單位的座標邏輯</w:t>
      </w:r>
    </w:p>
    <w:p>
      <w:pPr>
        <w:spacing w:after="200" w:line="360"/>
        <w:ind w:firstLine="431"/>
        <w:jc w:val="both"/>
      </w:pPr>
      <w:r>
        <w:rPr>
          <w:rFonts w:ascii="微軟正黑體" w:cs="微軟正黑體" w:eastAsia="微軟正黑體" w:hAnsi="微軟正黑體"/>
          <w:sz w:val="22"/>
          <w:szCs w:val="22"/>
        </w:rPr>
        <w:t xml:space="preserve">25治理座標由兩軸交織而成。垂直軸為五分析層次,由抽象到具體排列:第一層哲學與價值,回答「為何而治理」,處理公共性、正當性、倫理等最根本的價值信念;第二層制度分工,回答「由誰治理、如何分工」,處理政府、市場、第三部門之間的制度安排;第三層政策體系,回答「用什麼工具治理」,處理政策問題界定、方案形成、執行與評估之全過程;第四層組織設計,回答「與誰一起治理」,處理組織內部結構與治理邏輯;第五層管理運作,回答「如何在日常中治理」,處理策略、人事、財務、績效、電子化政府、溝通與危機等具體管理功能。水平軸為五分析單位,標示治理影響範圍之大小:個人、團體、組織、社會、國際。兩軸交叉形成5×5=25個治理座標,此架構源於全鍾燮(Jun, 1986)之水平五分析單位與盧建旭(1995)之垂直五分析層次,並經2026年版整合更新,將單位軸之「組織間」修訂為「國際」,以呼應AI治理之跨國性質。</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200"/>
        <w:gridCol w:w="40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層次</w:t>
            </w:r>
          </w:p>
        </w:tc>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回答的核心問題</w:t>
            </w:r>
          </w:p>
        </w:tc>
        <w:tc>
          <w:tcPr>
            <w:tcW w:type="dxa" w:w="4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本書對應章節示範</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第一層 哲學與價值</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為何而治理:最抽象之價值信念</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第1-6章:公共性、正當性、行政倫理</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第二層 制度分工</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由誰治理、如何分工:政府市場第三部門</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第7-9章:行政環境、政府與市場、治理典範</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第三層 政策體系</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用什麼工具治理:政策全過程</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第10-14章:政策制定、執行、評估</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第四層 組織設計</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與誰一起治理:組織內部結構</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第15-17章:組織特性、我國行政組織、組織設計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第五層 管理運作</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如何在日常中治理:具體管理功能</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第18-24章:人事、財務、績效、電子化、溝通危機</w:t>
            </w:r>
          </w:p>
        </w:tc>
      </w:tr>
    </w:tbl>
    <w:p>
      <w:pPr>
        <w:spacing w:after="280" w:before="120"/>
        <w:jc w:val="center"/>
      </w:pPr>
      <w:r>
        <w:rPr>
          <w:rFonts w:ascii="微軟正黑體" w:cs="微軟正黑體" w:eastAsia="微軟正黑體" w:hAnsi="微軟正黑體"/>
          <w:i/>
          <w:iCs/>
          <w:color w:val="555555"/>
          <w:sz w:val="18"/>
          <w:szCs w:val="18"/>
        </w:rPr>
        <w:t xml:space="preserve">表25-1　25座標五分析層次與本書章節對照</w:t>
      </w:r>
    </w:p>
    <w:p>
      <w:pPr>
        <w:jc w:val="center"/>
      </w:pPr>
      <w:r>
        <w:drawing>
          <wp:inline xmlns:a="http://schemas.openxmlformats.org/drawingml/2006/main" xmlns:pic="http://schemas.openxmlformats.org/drawingml/2006/picture">
            <wp:extent cx="5760720" cy="3240405"/>
            <wp:docPr id="1" name="Picture 1"/>
            <wp:cNvGraphicFramePr>
              <a:graphicFrameLocks noChangeAspect="1"/>
            </wp:cNvGraphicFramePr>
            <a:graphic>
              <a:graphicData uri="http://schemas.openxmlformats.org/drawingml/2006/picture">
                <pic:pic>
                  <pic:nvPicPr>
                    <pic:cNvPr id="0" name="ch25_diagram1.png"/>
                    <pic:cNvPicPr/>
                  </pic:nvPicPr>
                  <pic:blipFill>
                    <a:blip r:embed="rId6"/>
                    <a:stretch>
                      <a:fillRect/>
                    </a:stretch>
                  </pic:blipFill>
                  <pic:spPr>
                    <a:xfrm>
                      <a:off x="0" y="0"/>
                      <a:ext cx="5760720" cy="3240405"/>
                    </a:xfrm>
                    <a:prstGeom prst="rect"/>
                  </pic:spPr>
                </pic:pic>
              </a:graphicData>
            </a:graphic>
          </wp:inline>
        </w:drawing>
      </w:r>
    </w:p>
    <w:p>
      <w:pPr>
        <w:spacing w:after="140" w:before="260"/>
      </w:pPr>
      <w:r>
        <w:rPr>
          <w:rFonts w:ascii="微軟正黑體" w:cs="微軟正黑體" w:eastAsia="微軟正黑體" w:hAnsi="微軟正黑體"/>
          <w:b/>
          <w:bCs/>
          <w:color w:val="2E5C8A"/>
          <w:sz w:val="23"/>
          <w:szCs w:val="23"/>
        </w:rPr>
        <w:t xml:space="preserve">二、25座標的三項設計原則</w:t>
      </w:r>
    </w:p>
    <w:p>
      <w:pPr>
        <w:spacing w:after="200" w:line="360"/>
        <w:ind w:firstLine="431"/>
        <w:jc w:val="both"/>
      </w:pPr>
      <w:r>
        <w:rPr>
          <w:rFonts w:ascii="微軟正黑體" w:cs="微軟正黑體" w:eastAsia="微軟正黑體" w:hAnsi="微軟正黑體"/>
          <w:sz w:val="22"/>
          <w:szCs w:val="22"/>
        </w:rPr>
        <w:t xml:space="preserve">25座標之設計遵循三項原則。其一為定位而非計分:25座標用以標定AI介入公共行政的起始格位與延伸格位,本身不計分、亦不直接構成風險分數——它回答「AI在哪裡」,而不是「AI有多危險」,後者須留給後續之權力移轉指標與治理審計判斷。其二為跨章節共同語言:25座標取代原本各章各自定義、彼此不一致之分類方式,使全書自第一章起即統一協議,讀者無須在每章重新學習一套新的分析邏輯。其三為動態而非靜態:同一治理議題可能同時出現在多個格位,且隨AI技術演進在格位間移動——這正是本章第三節「跨格移動」結構效應所要深入說明的現象。</w:t>
      </w:r>
    </w:p>
    <w:p>
      <w:pPr>
        <w:spacing w:after="180" w:before="360"/>
      </w:pPr>
      <w:r>
        <w:rPr>
          <w:rFonts w:ascii="微軟正黑體" w:cs="微軟正黑體" w:eastAsia="微軟正黑體" w:hAnsi="微軟正黑體"/>
          <w:b/>
          <w:bCs/>
          <w:color w:val="1F4E79"/>
          <w:sz w:val="26"/>
          <w:szCs w:val="26"/>
        </w:rPr>
        <w:t xml:space="preserve">第二節　三種行政權力的功能性移轉:定義與操作化</w:t>
      </w:r>
    </w:p>
    <w:p>
      <w:pPr>
        <w:spacing w:after="200" w:line="360"/>
        <w:ind w:firstLine="431"/>
        <w:jc w:val="both"/>
      </w:pPr>
      <w:r>
        <w:rPr>
          <w:rFonts w:ascii="微軟正黑體" w:cs="微軟正黑體" w:eastAsia="微軟正黑體" w:hAnsi="微軟正黑體"/>
          <w:sz w:val="22"/>
          <w:szCs w:val="22"/>
        </w:rPr>
        <w:t xml:space="preserve">25座標定位「AI在哪裡」,三種行政權力的功能性移轉則進一步追問「AI拿走了什麼」。三者不必然依序發生,同一系統可能高度介入P1卻低度介入P3,教學上,學生應學會在任何AI治理案例中,先問這三個權力現在在誰手上。</w:t>
      </w:r>
    </w:p>
    <w:p>
      <w:pPr>
        <w:spacing w:after="140" w:before="260"/>
      </w:pPr>
      <w:r>
        <w:rPr>
          <w:rFonts w:ascii="微軟正黑體" w:cs="微軟正黑體" w:eastAsia="微軟正黑體" w:hAnsi="微軟正黑體"/>
          <w:b/>
          <w:bCs/>
          <w:color w:val="2E5C8A"/>
          <w:sz w:val="23"/>
          <w:szCs w:val="23"/>
        </w:rPr>
        <w:t xml:space="preserve">一、P1情境建構與事實認定權移轉</w:t>
      </w:r>
    </w:p>
    <w:p>
      <w:pPr>
        <w:spacing w:after="200" w:line="360"/>
        <w:ind w:firstLine="431"/>
        <w:jc w:val="both"/>
      </w:pPr>
      <w:r>
        <w:rPr>
          <w:rFonts w:ascii="微軟正黑體" w:cs="微軟正黑體" w:eastAsia="微軟正黑體" w:hAnsi="微軟正黑體"/>
          <w:sz w:val="22"/>
          <w:szCs w:val="22"/>
        </w:rPr>
        <w:t xml:space="preserve">P1指哪些資料被視為事實、哪些群體成為目標、哪些分類與閾值構成後續判斷起點之權力移轉。其操作化指標包括:問題可見性,即多少潛在需求被資料化——未被資料化的需求,在AI系統眼中根本不存在;標籤決定權,即誰決定標籤定義——例如「高風險」「疑似不符」等標籤之定義權掌握在系統設計者手中,而非受影響的當事人;特徵選擇權,即哪些變項被納入模型——特徵選擇本身即隱含價值判斷,卻經常被包裝為純技術決定。</w:t>
      </w:r>
    </w:p>
    <w:p>
      <w:pPr>
        <w:spacing w:after="140" w:before="260"/>
      </w:pPr>
      <w:r>
        <w:rPr>
          <w:rFonts w:ascii="微軟正黑體" w:cs="微軟正黑體" w:eastAsia="微軟正黑體" w:hAnsi="微軟正黑體"/>
          <w:b/>
          <w:bCs/>
          <w:color w:val="2E5C8A"/>
          <w:sz w:val="23"/>
          <w:szCs w:val="23"/>
        </w:rPr>
        <w:t xml:space="preserve">二、P2行政裁量與價值判斷權移轉</w:t>
      </w:r>
    </w:p>
    <w:p>
      <w:pPr>
        <w:spacing w:after="200" w:line="360"/>
        <w:ind w:firstLine="431"/>
        <w:jc w:val="both"/>
      </w:pPr>
      <w:r>
        <w:rPr>
          <w:rFonts w:ascii="微軟正黑體" w:cs="微軟正黑體" w:eastAsia="微軟正黑體" w:hAnsi="微軟正黑體"/>
          <w:sz w:val="22"/>
          <w:szCs w:val="22"/>
        </w:rPr>
        <w:t xml:space="preserve">P2指哪些選項被推薦、排序或排除,效率、公平、風險與個案正義如何被衡量之權力移轉。其操作化指標包括:建議接受率,即人類實際採納AI建議之比例;人類覆寫率,即人類實際推翻AI建議之比例;覆寫理由書面化程度,即人類覆寫決定是否留下可稽核之書面理由——若覆寫僅是口頭決定而無紀錄,裁量權讓渡之程度便難以事後檢驗;裁量日誌完整性,即整體裁量過程之紀錄是否完整、可追溯。</w:t>
      </w:r>
    </w:p>
    <w:p>
      <w:pPr>
        <w:spacing w:after="140" w:before="260"/>
      </w:pPr>
      <w:r>
        <w:rPr>
          <w:rFonts w:ascii="微軟正黑體" w:cs="微軟正黑體" w:eastAsia="微軟正黑體" w:hAnsi="微軟正黑體"/>
          <w:b/>
          <w:bCs/>
          <w:color w:val="2E5C8A"/>
          <w:sz w:val="23"/>
          <w:szCs w:val="23"/>
        </w:rPr>
        <w:t xml:space="preserve">三、P3公權力決定之實質影響力移轉</w:t>
      </w:r>
    </w:p>
    <w:p>
      <w:pPr>
        <w:spacing w:after="200" w:line="360"/>
        <w:ind w:firstLine="431"/>
        <w:jc w:val="both"/>
      </w:pPr>
      <w:r>
        <w:rPr>
          <w:rFonts w:ascii="微軟正黑體" w:cs="微軟正黑體" w:eastAsia="微軟正黑體" w:hAnsi="微軟正黑體"/>
          <w:sz w:val="22"/>
          <w:szCs w:val="22"/>
        </w:rPr>
        <w:t xml:space="preserve">P3指技術輸出是否直接或近似直接觸發給付、調查、裁罰、債務或其他法律與資源效果之權力移轉。其操作化指標包括:自動執行程度,即系統輸出是否無須人類介入即產生法律效果;人民權利影響評估是否完成,即機關於導入系統前是否已就其對人民權利之衝擊進行系統性評估;是否有外部救濟管道,即受影響民眾能否透過申訴、訴願或訴訟等途徑挑戰系統決定。</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200"/>
        <w:gridCol w:w="4026"/>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權力類型</w:t>
            </w:r>
          </w:p>
        </w:tc>
        <w:tc>
          <w:tcPr>
            <w:tcW w:type="dxa" w:w="32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核心問題</w:t>
            </w:r>
          </w:p>
        </w:tc>
        <w:tc>
          <w:tcPr>
            <w:tcW w:type="dxa" w:w="4026"/>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操作化指標</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P1情境建構權</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哪些資料被視為事實、哪些群體成為目標</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問題可見性、標籤決定權、特徵選擇權</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P2行政裁量權</w:t>
            </w:r>
          </w:p>
        </w:tc>
        <w:tc>
          <w:tcPr>
            <w:tcW w:type="dxa" w:w="32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哪些選項被推薦、排序或排除</w:t>
            </w:r>
          </w:p>
        </w:tc>
        <w:tc>
          <w:tcPr>
            <w:tcW w:type="dxa" w:w="4026"/>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建議接受率、人類覆寫率、覆寫理由書面化程度、裁量日誌完整性</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P3公權力影響力</w:t>
            </w:r>
          </w:p>
        </w:tc>
        <w:tc>
          <w:tcPr>
            <w:tcW w:type="dxa" w:w="32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技術輸出是否直接觸發法律與資源效果</w:t>
            </w:r>
          </w:p>
        </w:tc>
        <w:tc>
          <w:tcPr>
            <w:tcW w:type="dxa" w:w="4026"/>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自動執行程度、權利影響評估是否完成、外部救濟管道是否存在</w:t>
            </w:r>
          </w:p>
        </w:tc>
      </w:tr>
    </w:tbl>
    <w:p>
      <w:pPr>
        <w:spacing w:after="280" w:before="120"/>
        <w:jc w:val="center"/>
      </w:pPr>
      <w:r>
        <w:rPr>
          <w:rFonts w:ascii="微軟正黑體" w:cs="微軟正黑體" w:eastAsia="微軟正黑體" w:hAnsi="微軟正黑體"/>
          <w:i/>
          <w:iCs/>
          <w:color w:val="555555"/>
          <w:sz w:val="18"/>
          <w:szCs w:val="18"/>
        </w:rPr>
        <w:t xml:space="preserve">表25-2　三種權力移轉之操作化指標一覽</w:t>
      </w:r>
    </w:p>
    <w:p>
      <w:pPr>
        <w:jc w:val="center"/>
      </w:pPr>
      <w:r>
        <w:drawing>
          <wp:inline xmlns:a="http://schemas.openxmlformats.org/drawingml/2006/main" xmlns:pic="http://schemas.openxmlformats.org/drawingml/2006/picture">
            <wp:extent cx="5760720" cy="3240405"/>
            <wp:docPr id="2" name="Picture 2"/>
            <wp:cNvGraphicFramePr>
              <a:graphicFrameLocks noChangeAspect="1"/>
            </wp:cNvGraphicFramePr>
            <a:graphic>
              <a:graphicData uri="http://schemas.openxmlformats.org/drawingml/2006/picture">
                <pic:pic>
                  <pic:nvPicPr>
                    <pic:cNvPr id="0" name="ch25_diagram2.png"/>
                    <pic:cNvPicPr/>
                  </pic:nvPicPr>
                  <pic:blipFill>
                    <a:blip r:embed="rId8"/>
                    <a:stretch>
                      <a:fillRect/>
                    </a:stretch>
                  </pic:blipFill>
                  <pic:spPr>
                    <a:xfrm>
                      <a:off x="0" y="0"/>
                      <a:ext cx="5760720" cy="3240405"/>
                    </a:xfrm>
                    <a:prstGeom prst="rect"/>
                  </pic:spPr>
                </pic:pic>
              </a:graphicData>
            </a:graphic>
          </wp:inline>
        </w:drawing>
      </w:r>
    </w:p>
    <w:p>
      <w:pPr>
        <w:spacing w:after="180" w:before="360"/>
      </w:pPr>
      <w:r>
        <w:rPr>
          <w:rFonts w:ascii="微軟正黑體" w:cs="微軟正黑體" w:eastAsia="微軟正黑體" w:hAnsi="微軟正黑體"/>
          <w:b/>
          <w:bCs/>
          <w:color w:val="1F4E79"/>
          <w:sz w:val="26"/>
          <w:szCs w:val="26"/>
        </w:rPr>
        <w:t xml:space="preserve">第三節　三項結構效應:移轉之後發生了什麼</w:t>
      </w:r>
    </w:p>
    <w:p>
      <w:pPr>
        <w:spacing w:after="200" w:line="360"/>
        <w:ind w:firstLine="431"/>
        <w:jc w:val="both"/>
      </w:pPr>
      <w:r>
        <w:rPr>
          <w:rFonts w:ascii="微軟正黑體" w:cs="微軟正黑體" w:eastAsia="微軟正黑體" w:hAnsi="微軟正黑體"/>
          <w:sz w:val="22"/>
          <w:szCs w:val="22"/>
        </w:rPr>
        <w:t xml:space="preserve">結構效應是權力移轉後被觀察到的制度結果,不與三種權力移轉混為一談:權力移轉回答「透過什麼機制」,結構效應回答「造成什麼變化」。</w:t>
      </w:r>
    </w:p>
    <w:p>
      <w:pPr>
        <w:spacing w:after="140" w:before="260"/>
      </w:pPr>
      <w:r>
        <w:rPr>
          <w:rFonts w:ascii="微軟正黑體" w:cs="微軟正黑體" w:eastAsia="微軟正黑體" w:hAnsi="微軟正黑體"/>
          <w:b/>
          <w:bCs/>
          <w:color w:val="2E5C8A"/>
          <w:sz w:val="23"/>
          <w:szCs w:val="23"/>
        </w:rPr>
        <w:t xml:space="preserve">一、跨格移動</w:t>
      </w:r>
    </w:p>
    <w:p>
      <w:pPr>
        <w:spacing w:after="200" w:line="360"/>
        <w:ind w:firstLine="431"/>
        <w:jc w:val="both"/>
      </w:pPr>
      <w:r>
        <w:rPr>
          <w:rFonts w:ascii="微軟正黑體" w:cs="微軟正黑體" w:eastAsia="微軟正黑體" w:hAnsi="微軟正黑體"/>
          <w:sz w:val="22"/>
          <w:szCs w:val="22"/>
        </w:rPr>
        <w:t xml:space="preserve">跨格移動指AI由管理運作層的個案處理,向政策體系、制度分工、社會或國際單位擴張之現象。以本書第十三章之自動化家庭篩選工具(AFST)為例,該系統原本只是個人單位之風險評分工具,卻逐漸影響整個兒童福利政策體系之資源分配邏輯——這正是跨格移動由第五層管理運作向第三層政策體系擴張之典型軌跡。</w:t>
      </w:r>
    </w:p>
    <w:p>
      <w:pPr>
        <w:spacing w:after="140" w:before="260"/>
      </w:pPr>
      <w:r>
        <w:rPr>
          <w:rFonts w:ascii="微軟正黑體" w:cs="微軟正黑體" w:eastAsia="微軟正黑體" w:hAnsi="微軟正黑體"/>
          <w:b/>
          <w:bCs/>
          <w:color w:val="2E5C8A"/>
          <w:sz w:val="23"/>
          <w:szCs w:val="23"/>
        </w:rPr>
        <w:t xml:space="preserve">二、邊界消解</w:t>
      </w:r>
    </w:p>
    <w:p>
      <w:pPr>
        <w:spacing w:after="200" w:line="360"/>
        <w:ind w:firstLine="431"/>
        <w:jc w:val="both"/>
      </w:pPr>
      <w:r>
        <w:rPr>
          <w:rFonts w:ascii="微軟正黑體" w:cs="微軟正黑體" w:eastAsia="微軟正黑體" w:hAnsi="微軟正黑體"/>
          <w:sz w:val="22"/>
          <w:szCs w:val="22"/>
        </w:rPr>
        <w:t xml:space="preserve">邊界消解指人的判斷、技術規則、組織程序與政策形成難以清楚區分之現象。以本書第二十四章之AI輿情儀表板為例,當危機溝通決策高度仰賴演算法輿情分析,已很難清楚區分某項回應究竟是首長的價值判斷,抑或是演算法建議的直接轉述——管理運作層次的操作規則與哲學價值層次的判斷責任,邊界因而模糊。</w:t>
      </w:r>
    </w:p>
    <w:p>
      <w:pPr>
        <w:spacing w:after="140" w:before="260"/>
      </w:pPr>
      <w:r>
        <w:rPr>
          <w:rFonts w:ascii="微軟正黑體" w:cs="微軟正黑體" w:eastAsia="微軟正黑體" w:hAnsi="微軟正黑體"/>
          <w:b/>
          <w:bCs/>
          <w:color w:val="2E5C8A"/>
          <w:sz w:val="23"/>
          <w:szCs w:val="23"/>
        </w:rPr>
        <w:t xml:space="preserve">三、權威重構</w:t>
      </w:r>
    </w:p>
    <w:p>
      <w:pPr>
        <w:spacing w:after="200" w:line="360"/>
        <w:ind w:firstLine="431"/>
        <w:jc w:val="both"/>
      </w:pPr>
      <w:r>
        <w:rPr>
          <w:rFonts w:ascii="微軟正黑體" w:cs="微軟正黑體" w:eastAsia="微軟正黑體" w:hAnsi="微軟正黑體"/>
          <w:sz w:val="22"/>
          <w:szCs w:val="22"/>
        </w:rPr>
        <w:t xml:space="preserve">權威重構指法定決定者與實際影響結果的模型、資料人員、供應商或系統整合者不再重合之現象。以本書第二十三章之IRS選案演算法為例,法律上具備選案權力者為稅務稽核人員,但實質決定「誰被稽查」之權力,卻落在演算法模型設計團隊手中——法定權威與實質權威的分離,正是權威重構的核心特徵。</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413"/>
        <w:gridCol w:w="40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結構效應</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定義</w:t>
            </w:r>
          </w:p>
        </w:tc>
        <w:tc>
          <w:tcPr>
            <w:tcW w:type="dxa" w:w="40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本書案例實例</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跨格移動</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AI由管理運作層之個案處理,向政策體系、制度分工、社會或國際單位擴張</w:t>
            </w:r>
          </w:p>
        </w:tc>
        <w:tc>
          <w:tcPr>
            <w:tcW w:type="dxa" w:w="4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第十三章AFST由個人單位風險評分,擴散至整個兒童福利政策體系之資源分配邏輯</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邊界消解</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人的判斷、技術規則、組織程序與政策形成難以清楚區分</w:t>
            </w:r>
          </w:p>
        </w:tc>
        <w:tc>
          <w:tcPr>
            <w:tcW w:type="dxa" w:w="40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第二十四章AI輿情儀表板使危機溝通決策難以區分究竟是首長判斷抑或演算法建議</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權威重構</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法定決定者與實際影響結果之模型、資料人員或系統整合者不再重合</w:t>
            </w:r>
          </w:p>
        </w:tc>
        <w:tc>
          <w:tcPr>
            <w:tcW w:type="dxa" w:w="40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第二十三章IRS選案演算法之實質選案權力,落在模型設計團隊而非個別稽核員</w:t>
            </w:r>
          </w:p>
        </w:tc>
      </w:tr>
    </w:tbl>
    <w:p>
      <w:pPr>
        <w:spacing w:after="280" w:before="120"/>
        <w:jc w:val="center"/>
      </w:pPr>
      <w:r>
        <w:rPr>
          <w:rFonts w:ascii="微軟正黑體" w:cs="微軟正黑體" w:eastAsia="微軟正黑體" w:hAnsi="微軟正黑體"/>
          <w:i/>
          <w:iCs/>
          <w:color w:val="555555"/>
          <w:sz w:val="18"/>
          <w:szCs w:val="18"/>
        </w:rPr>
        <w:t xml:space="preserve">表25-3　三項結構效應之定義與本書案例實例</w:t>
      </w:r>
    </w:p>
    <w:p>
      <w:pPr>
        <w:jc w:val="center"/>
      </w:pPr>
      <w:r>
        <w:drawing>
          <wp:inline xmlns:a="http://schemas.openxmlformats.org/drawingml/2006/main" xmlns:pic="http://schemas.openxmlformats.org/drawingml/2006/picture">
            <wp:extent cx="5760720" cy="3240405"/>
            <wp:docPr id="3" name="Picture 3"/>
            <wp:cNvGraphicFramePr>
              <a:graphicFrameLocks noChangeAspect="1"/>
            </wp:cNvGraphicFramePr>
            <a:graphic>
              <a:graphicData uri="http://schemas.openxmlformats.org/drawingml/2006/picture">
                <pic:pic>
                  <pic:nvPicPr>
                    <pic:cNvPr id="0" name="ch25_diagram3.png"/>
                    <pic:cNvPicPr/>
                  </pic:nvPicPr>
                  <pic:blipFill>
                    <a:blip r:embed="rId9"/>
                    <a:stretch>
                      <a:fillRect/>
                    </a:stretch>
                  </pic:blipFill>
                  <pic:spPr>
                    <a:xfrm>
                      <a:off x="0" y="0"/>
                      <a:ext cx="5760720" cy="3240405"/>
                    </a:xfrm>
                    <a:prstGeom prst="rect"/>
                  </pic:spPr>
                </pic:pic>
              </a:graphicData>
            </a:graphic>
          </wp:inline>
        </w:drawing>
      </w:r>
    </w:p>
    <w:p>
      <w:pPr>
        <w:spacing w:after="180" w:before="360"/>
      </w:pPr>
      <w:r>
        <w:rPr>
          <w:rFonts w:ascii="微軟正黑體" w:cs="微軟正黑體" w:eastAsia="微軟正黑體" w:hAnsi="微軟正黑體"/>
          <w:b/>
          <w:bCs/>
          <w:color w:val="1F4E79"/>
          <w:sz w:val="26"/>
          <w:szCs w:val="26"/>
        </w:rPr>
        <w:t xml:space="preserve">第四節　四鏈七審的整合:從概念到可操作稽核表</w:t>
      </w:r>
    </w:p>
    <w:p>
      <w:pPr>
        <w:spacing w:after="140" w:before="260"/>
      </w:pPr>
      <w:r>
        <w:rPr>
          <w:rFonts w:ascii="微軟正黑體" w:cs="微軟正黑體" w:eastAsia="微軟正黑體" w:hAnsi="微軟正黑體"/>
          <w:b/>
          <w:bCs/>
          <w:color w:val="2E5C8A"/>
          <w:sz w:val="23"/>
          <w:szCs w:val="23"/>
        </w:rPr>
        <w:t xml:space="preserve">一、四條治理鏈回顧與相互關係</w:t>
      </w:r>
    </w:p>
    <w:p>
      <w:pPr>
        <w:spacing w:after="200" w:line="360"/>
        <w:ind w:firstLine="431"/>
        <w:jc w:val="both"/>
      </w:pPr>
      <w:r>
        <w:rPr>
          <w:rFonts w:ascii="微軟正黑體" w:cs="微軟正黑體" w:eastAsia="微軟正黑體" w:hAnsi="微軟正黑體"/>
          <w:sz w:val="22"/>
          <w:szCs w:val="22"/>
        </w:rPr>
        <w:t xml:space="preserve">四條治理鏈分別為:情境建構鏈,追問誰決定哪些資料、變項與問題被納入或排除;權威鏈,追問決策正當性來自法律授權、行政裁量或演算法技術權威;理由鏈,追問決策理由能否被追溯與說明;責任鏈,追問錯誤或損害發生時責任歸屬何處。情境建構鏈具邏輯上的前置地位,P1暴露愈高,該鏈愈需要接受民主檢視,但這不表示情境建構鏈可以取代後三鏈——一個系統即便資料來源完全透明,仍可能在權威、理由與責任層面存在缺陷。</w:t>
      </w:r>
    </w:p>
    <w:p>
      <w:pPr>
        <w:spacing w:after="140" w:before="260"/>
      </w:pPr>
      <w:r>
        <w:rPr>
          <w:rFonts w:ascii="微軟正黑體" w:cs="微軟正黑體" w:eastAsia="微軟正黑體" w:hAnsi="微軟正黑體"/>
          <w:b/>
          <w:bCs/>
          <w:color w:val="2E5C8A"/>
          <w:sz w:val="23"/>
          <w:szCs w:val="23"/>
        </w:rPr>
        <w:t xml:space="preserve">二、七項治理審計回顧</w:t>
      </w:r>
    </w:p>
    <w:p>
      <w:pPr>
        <w:spacing w:after="200" w:line="360"/>
        <w:ind w:firstLine="431"/>
        <w:jc w:val="both"/>
      </w:pPr>
      <w:r>
        <w:rPr>
          <w:rFonts w:ascii="微軟正黑體" w:cs="微軟正黑體" w:eastAsia="微軟正黑體" w:hAnsi="微軟正黑體"/>
          <w:sz w:val="22"/>
          <w:szCs w:val="22"/>
        </w:rPr>
        <w:t xml:space="preserve">七項治理審計分別為:資料代表性審計、理由說明審計、責任歸屬審計、隱私與資安審計、裁量邊界審計、組織能力審計、民主課責審計。七項審計用於查核四鏈各環節所需之證據,並非四鏈的替代品,也不與座標或權力移轉逐項對應計分——同一項審計經常同時服務於多條治理鏈,例如資料代表性審計既是情境建構鏈的核心查核工具,也與理由鏈之解釋品質密切相關。</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613"/>
        <w:gridCol w:w="36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治理鏈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主要對應審計</w:t>
            </w:r>
          </w:p>
        </w:tc>
        <w:tc>
          <w:tcPr>
            <w:tcW w:type="dxa" w:w="36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其他相關審計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情境建構鏈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資料代表性審計、隱私與資安審計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裁量邊界審計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權威鏈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責任歸屬審計、民主課責審計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組織能力審計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理由說明審計、裁量邊界審計</w:t>
            </w:r>
          </w:p>
        </w:tc>
        <w:tc>
          <w:tcPr>
            <w:tcW w:type="dxa" w:w="36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資料代表性審計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責任歸屬審計、組織能力審計</w:t>
            </w:r>
          </w:p>
        </w:tc>
        <w:tc>
          <w:tcPr>
            <w:tcW w:type="dxa" w:w="36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7"/>
                <w:szCs w:val="17"/>
              </w:rPr>
              <w:t xml:space="preserve">民主課責審計</w:t>
            </w:r>
          </w:p>
        </w:tc>
      </w:tr>
    </w:tbl>
    <w:p>
      <w:pPr>
        <w:spacing w:after="280" w:before="120"/>
        <w:jc w:val="center"/>
      </w:pPr>
      <w:r>
        <w:rPr>
          <w:rFonts w:ascii="微軟正黑體" w:cs="微軟正黑體" w:eastAsia="微軟正黑體" w:hAnsi="微軟正黑體"/>
          <w:i/>
          <w:iCs/>
          <w:color w:val="555555"/>
          <w:sz w:val="18"/>
          <w:szCs w:val="18"/>
        </w:rPr>
        <w:t xml:space="preserve">表25-4　四條治理鏈與七項治理審計對照矩陣</w:t>
      </w:r>
    </w:p>
    <w:p>
      <w:pPr>
        <w:spacing w:after="180" w:before="360"/>
      </w:pPr>
      <w:r>
        <w:rPr>
          <w:rFonts w:ascii="微軟正黑體" w:cs="微軟正黑體" w:eastAsia="微軟正黑體" w:hAnsi="微軟正黑體"/>
          <w:b/>
          <w:bCs/>
          <w:color w:val="1F4E79"/>
          <w:sz w:val="26"/>
          <w:szCs w:val="26"/>
        </w:rPr>
        <w:t xml:space="preserve">第五節　AI治理專節:指標化的治理挑戰與工具箱</w:t>
      </w:r>
    </w:p>
    <w:p>
      <w:pPr>
        <w:spacing w:after="200" w:line="360"/>
        <w:ind w:firstLine="431"/>
        <w:jc w:val="both"/>
      </w:pPr>
      <w:r>
        <w:rPr>
          <w:rFonts w:ascii="微軟正黑體" w:cs="微軟正黑體" w:eastAsia="微軟正黑體" w:hAnsi="微軟正黑體"/>
          <w:sz w:val="22"/>
          <w:szCs w:val="22"/>
        </w:rPr>
        <w:t xml:space="preserve">將P1-P2-P3與四鏈七審轉化為具體指標,本身也帶來新的治理挑戰。其一,操作化可能製造「假精確」(False Precision)之錯覺——例如「人類覆寫率」若只計算表面覆寫次數,而不追問覆寫是否基於實質審查抑或形式簽核,反而會掩蓋P2的真實讓渡程度,讓一份看似嚴謹的數據報告成為卸責的工具。其二,25座標若被誤用為計分工具,可能被治理者用來規避責任,例如宣稱「我們的系統只介入P1,不涉及P3」而規避外部監督,卻忽略跨格移動使今日的P1可能就是明日的P3。</w:t>
      </w:r>
    </w:p>
    <w:p>
      <w:pPr>
        <w:spacing w:after="200" w:line="360"/>
        <w:ind w:firstLine="431"/>
        <w:jc w:val="both"/>
      </w:pPr>
      <w:r>
        <w:rPr>
          <w:rFonts w:ascii="微軟正黑體" w:cs="微軟正黑體" w:eastAsia="微軟正黑體" w:hAnsi="微軟正黑體"/>
          <w:sz w:val="22"/>
          <w:szCs w:val="22"/>
        </w:rPr>
        <w:t xml:space="preserve">理論回應方面,操作化指標須搭配質性審查而非僅量化計分:每項指標皆應搭配「證據來源」與「覆核頻率」欄位,形成動態而非一次性的稽核紀錄,避免指標一經填報便束之高閣。此外,25座標的跨格移動特性要求稽核機制本身也須具備跨機關協調能力,而非固守單一權責機關視角——一個原本只涉及個人單位資料保護的系統,若已跨格移動至社會單位之政策形成層次,原本的個資保護稽核機關便不再足以獨自承擔監督責任。</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800"/>
        <w:gridCol w:w="3813"/>
        <w:gridCol w:w="3413"/>
      </w:tblGrid>
      <w:tr>
        <w:trPr>
          <w:tblHeader/>
        </w:trPr>
        <w:tc>
          <w:tcPr>
            <w:tcW w:type="dxa" w:w="18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工具</w:t>
            </w:r>
          </w:p>
        </w:tc>
        <w:tc>
          <w:tcPr>
            <w:tcW w:type="dxa" w:w="38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功能</w:t>
            </w:r>
          </w:p>
        </w:tc>
        <w:tc>
          <w:tcPr>
            <w:tcW w:type="dxa" w:w="34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適用權力類型或治理鏈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裁量日誌(Discretion Log)</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記錄每次人類覆寫AI建議之理由與依據</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P2行政裁量權、理由鏈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權利影響評估(Rights Impact Assessment)</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導入自動化系統前評估對人民權利之衝擊程度</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P3公權力影響力、責任鏈</w:t>
            </w:r>
          </w:p>
        </w:tc>
      </w:tr>
      <w:tr>
        <w:tc>
          <w:tcPr>
            <w:tcW w:type="dxa" w:w="18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資料代表性檢核表</w:t>
            </w:r>
          </w:p>
        </w:tc>
        <w:tc>
          <w:tcPr>
            <w:tcW w:type="dxa" w:w="38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檢視訓練資料是否涵蓋所有受影響群體</w:t>
            </w:r>
          </w:p>
        </w:tc>
        <w:tc>
          <w:tcPr>
            <w:tcW w:type="dxa" w:w="34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P1情境建構權、情境建構鏈</w:t>
            </w:r>
          </w:p>
        </w:tc>
      </w:tr>
      <w:tr>
        <w:tc>
          <w:tcPr>
            <w:tcW w:type="dxa" w:w="18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外部救濟管道地圖</w:t>
            </w:r>
          </w:p>
        </w:tc>
        <w:tc>
          <w:tcPr>
            <w:tcW w:type="dxa" w:w="38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盤點受影響民眾可用的申訴、訴願、訴訟途徑</w:t>
            </w:r>
          </w:p>
        </w:tc>
        <w:tc>
          <w:tcPr>
            <w:tcW w:type="dxa" w:w="34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P3公權力影響力、責任鏈</w:t>
            </w:r>
          </w:p>
        </w:tc>
      </w:tr>
    </w:tbl>
    <w:p>
      <w:pPr>
        <w:spacing w:after="280" w:before="120"/>
        <w:jc w:val="center"/>
      </w:pPr>
      <w:r>
        <w:rPr>
          <w:rFonts w:ascii="微軟正黑體" w:cs="微軟正黑體" w:eastAsia="微軟正黑體" w:hAnsi="微軟正黑體"/>
          <w:i/>
          <w:iCs/>
          <w:color w:val="555555"/>
          <w:sz w:val="18"/>
          <w:szCs w:val="18"/>
        </w:rPr>
        <w:t xml:space="preserve">表25-5　P1-P2-P3操作化治理工具箱</w:t>
      </w:r>
    </w:p>
    <w:p>
      <w:pPr>
        <w:spacing w:after="200" w:line="360"/>
        <w:ind w:firstLine="431"/>
        <w:jc w:val="both"/>
      </w:pPr>
      <w:r>
        <w:rPr>
          <w:rFonts w:ascii="微軟正黑體" w:cs="微軟正黑體" w:eastAsia="微軟正黑體" w:hAnsi="微軟正黑體"/>
          <w:sz w:val="22"/>
          <w:szCs w:val="22"/>
        </w:rPr>
        <w:t xml:space="preserve">台灣案例上,《人工智慧基本法》(2025年三讀通過)之風險分級與演算法登記簿制度設計,某種程度上正是25座標操作化的立法實踐:高風險系統須完成權利影響評估(對應P3操作化指標),並公開登記其目的、資料與監督方式(對應理由鏈與民主課責審計)。這顯示本章看似抽象的方法論,其實已逐步在我國法制中被具體化為可執行的行政作業程序,而非僅停留於學術討論。</w:t>
      </w:r>
    </w:p>
    <w:p>
      <w:pPr>
        <w:spacing w:after="180" w:before="360"/>
      </w:pPr>
      <w:r>
        <w:rPr>
          <w:rFonts w:ascii="微軟正黑體" w:cs="微軟正黑體" w:eastAsia="微軟正黑體" w:hAnsi="微軟正黑體"/>
          <w:b/>
          <w:bCs/>
          <w:color w:val="1F4E79"/>
          <w:sz w:val="26"/>
          <w:szCs w:val="26"/>
        </w:rPr>
        <w:t xml:space="preserve">四鏈追蹤＋七項審計應用</w:t>
      </w:r>
    </w:p>
    <w:p>
      <w:pPr>
        <w:spacing w:after="200" w:line="360"/>
        <w:ind w:firstLine="431"/>
        <w:jc w:val="both"/>
      </w:pPr>
      <w:r>
        <w:rPr>
          <w:rFonts w:ascii="微軟正黑體" w:cs="微軟正黑體" w:eastAsia="微軟正黑體" w:hAnsi="微軟正黑體"/>
          <w:sz w:val="22"/>
          <w:szCs w:val="22"/>
        </w:rPr>
        <w:t xml:space="preserve">本章之四鏈七審應用,即為前述表25-4之對照矩陣本身——本章的特殊之處在於,四鏈七審在此不是應用於某一具體治理議題,而是應用於「如何應用四鏈七審」這件事本身。讀者可將表25-4與表25-5結合,形成一份通用之AI治理稽核底稿,供後續任何章節或任何真實案例套用。</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FFF3CD" w:sz="2"/>
              <w:left w:val="single" w:color="C9971A" w:sz="24"/>
              <w:bottom w:val="single" w:color="FFF3CD" w:sz="2"/>
              <w:right w:val="single" w:color="FFF3CD" w:sz="2"/>
            </w:tcBorders>
            <w:shd w:fill="FFF3CD" w:val="clear"/>
            <w:tcMar>
              <w:top w:type="dxa" w:w="160"/>
              <w:left w:type="dxa" w:w="220"/>
              <w:bottom w:type="dxa" w:w="160"/>
              <w:right w:type="dxa" w:w="220"/>
            </w:tcMar>
          </w:tcPr>
          <w:p>
            <w:pPr>
              <w:spacing w:after="100"/>
            </w:pPr>
            <w:r>
              <w:rPr>
                <w:rFonts w:ascii="微軟正黑體" w:cs="微軟正黑體" w:eastAsia="微軟正黑體" w:hAnsi="微軟正黑體"/>
                <w:b/>
                <w:bCs/>
                <w:color w:val="C9971A"/>
                <w:sz w:val="22"/>
                <w:szCs w:val="22"/>
              </w:rPr>
              <w:t xml:space="preserve">白話說明</w:t>
            </w:r>
          </w:p>
          <w:p>
            <w:pPr>
              <w:spacing w:line="340"/>
              <w:jc w:val="both"/>
            </w:pPr>
            <w:r>
              <w:rPr>
                <w:rFonts w:ascii="微軟正黑體" w:cs="微軟正黑體" w:eastAsia="微軟正黑體" w:hAnsi="微軟正黑體"/>
                <w:sz w:val="21"/>
                <w:szCs w:val="21"/>
              </w:rPr>
              <w:t xml:space="preserve">25座標像是一張地圖,權力移轉指標像是量尺,四鏈七審則像是驗收清單。地圖告訴你「案發地點」,量尺告訴你「拿走了多少」,驗收清單告訴你「該補齊哪些文件」——三者合起來,才是一套完整的治理工具,少了任何一項,分析都只是半成品。</w:t>
            </w:r>
          </w:p>
        </w:tc>
      </w:tr>
    </w:tbl>
    <w:p>
      <w:pPr>
        <w:spacing w:after="180" w:before="360"/>
      </w:pPr>
      <w:r>
        <w:rPr>
          <w:rFonts w:ascii="微軟正黑體" w:cs="微軟正黑體" w:eastAsia="微軟正黑體" w:hAnsi="微軟正黑體"/>
          <w:b/>
          <w:bCs/>
          <w:color w:val="1F4E79"/>
          <w:sz w:val="26"/>
          <w:szCs w:val="26"/>
        </w:rPr>
        <w:t xml:space="preserve">案例與思考討論</w:t>
      </w:r>
    </w:p>
    <w:p>
      <w:pPr>
        <w:spacing w:after="140" w:before="260"/>
      </w:pPr>
      <w:r>
        <w:rPr>
          <w:rFonts w:ascii="微軟正黑體" w:cs="微軟正黑體" w:eastAsia="微軟正黑體" w:hAnsi="微軟正黑體"/>
          <w:b/>
          <w:bCs/>
          <w:color w:val="2E5C8A"/>
          <w:sz w:val="23"/>
          <w:szCs w:val="23"/>
        </w:rPr>
        <w:t xml:space="preserve">案例思考一(國際案例):COMPAS累犯風險評估工具——P1-P2-P3操作化的經典教材</w:t>
      </w:r>
    </w:p>
    <w:p>
      <w:pPr>
        <w:spacing w:after="200" w:line="360"/>
        <w:ind w:firstLine="431"/>
        <w:jc w:val="both"/>
      </w:pPr>
      <w:r>
        <w:rPr>
          <w:rFonts w:ascii="微軟正黑體" w:cs="微軟正黑體" w:eastAsia="微軟正黑體" w:hAnsi="微軟正黑體"/>
          <w:sz w:val="22"/>
          <w:szCs w:val="22"/>
        </w:rPr>
        <w:t xml:space="preserve">COMPAS(Correctional Offender Management Profiling for Alternative Sanctions)是美國多州法院用於評估被告再犯風險之演算法工具,自1990年代末期起廣泛用於保釋、量刑與假釋決定之參考。2016年,調查報導媒體ProPublica發表「Machine Bias」調查,分析佛羅里達州逾七千筆COMPAS評分紀錄後發現:黑人被告被誤判為「高再犯風險」但實際未再犯之比例(偽陽性率)約為白人被告之兩倍(約45%對23%),而白人被告則更常被誤判為「低風險」但實際再犯,顯示系統性之種族落差。同年,威斯康辛州最高法院於State v. Loomis案作出判決,雖未禁止法院使用COMPAS,但要求法官不得將其作為量刑之唯一或決定性依據,並須於判決中告知被告演算法之限制與不確定性;然而,COMPAS之演算法邏輯因受商業機密保護而未完全公開,使被告難以就評分本身提出實質挑戰。此案例是演算法課責文獻中最常被引用之教材,因其完整示範了P1-P2-P3三種權力移轉如何在單一系統中同時發生且程度不一。</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713"/>
        <w:gridCol w:w="37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面向</w:t>
            </w:r>
          </w:p>
        </w:tc>
        <w:tc>
          <w:tcPr>
            <w:tcW w:type="dxa" w:w="37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事件內容</w:t>
            </w:r>
          </w:p>
        </w:tc>
        <w:tc>
          <w:tcPr>
            <w:tcW w:type="dxa" w:w="37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P1-P2-P3操作化分析</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P1情境建構</w:t>
            </w:r>
          </w:p>
        </w:tc>
        <w:tc>
          <w:tcPr>
            <w:tcW w:type="dxa" w:w="3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COMPAS訓練資料以歷史逮捕與再犯紀錄為標籤,而歷史逮捕率本身即反映警政資源分配不均</w:t>
            </w:r>
          </w:p>
        </w:tc>
        <w:tc>
          <w:tcPr>
            <w:tcW w:type="dxa" w:w="3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對應P1指標:標籤決定權集中於開發商,特徵選擇權未受外部審查</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P2行政裁量</w:t>
            </w:r>
          </w:p>
        </w:tc>
        <w:tc>
          <w:tcPr>
            <w:tcW w:type="dxa" w:w="37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ProPublica調查發現黑人被告偽陽性率約為白人被告兩倍;法官在多大程度上覆寫此建議,決定偏誤是否被放大或修正</w:t>
            </w:r>
          </w:p>
        </w:tc>
        <w:tc>
          <w:tcPr>
            <w:tcW w:type="dxa" w:w="37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對應P2指標:人類覆寫率與覆寫理由書面化程度,是判斷裁量權是否實質保留於法官手中的關鍵</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P3公權力影響力</w:t>
            </w:r>
          </w:p>
        </w:tc>
        <w:tc>
          <w:tcPr>
            <w:tcW w:type="dxa" w:w="3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State v. Loomis(2016)判決允許COMPAS作為量刑參考因素之一,但不得作為唯一依據,並須告知被告演算法之限制</w:t>
            </w:r>
          </w:p>
        </w:tc>
        <w:tc>
          <w:tcPr>
            <w:tcW w:type="dxa" w:w="3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對應P3指標:自動執行程度未達完全自動化,但外部救濟管道因演算法商業機密保護而受限</w:t>
            </w:r>
          </w:p>
        </w:tc>
      </w:tr>
    </w:tbl>
    <w:p>
      <w:pPr>
        <w:spacing w:after="280" w:before="120"/>
        <w:jc w:val="center"/>
      </w:pPr>
      <w:r>
        <w:rPr>
          <w:rFonts w:ascii="微軟正黑體" w:cs="微軟正黑體" w:eastAsia="微軟正黑體" w:hAnsi="微軟正黑體"/>
          <w:i/>
          <w:iCs/>
          <w:color w:val="555555"/>
          <w:sz w:val="18"/>
          <w:szCs w:val="18"/>
        </w:rPr>
        <w:t xml:space="preserve">表25-6　COMPAS累犯風險評估工具之P1-P2-P3操作化分析</w:t>
      </w:r>
    </w:p>
    <w:p>
      <w:pPr>
        <w:spacing w:after="140" w:before="260"/>
      </w:pPr>
      <w:r>
        <w:rPr>
          <w:rFonts w:ascii="微軟正黑體" w:cs="微軟正黑體" w:eastAsia="微軟正黑體" w:hAnsi="微軟正黑體"/>
          <w:b/>
          <w:bCs/>
          <w:color w:val="2E5C8A"/>
          <w:sz w:val="23"/>
          <w:szCs w:val="23"/>
        </w:rPr>
        <w:t xml:space="preserve">案例思考二(國內方法論練習):戶政身分證換發人臉比對流程——P1-P2-P3操作化練習</w:t>
      </w:r>
    </w:p>
    <w:p>
      <w:pPr>
        <w:spacing w:after="200" w:line="360"/>
        <w:ind w:firstLine="431"/>
        <w:jc w:val="both"/>
      </w:pPr>
      <w:r>
        <w:rPr>
          <w:rFonts w:ascii="微軟正黑體" w:cs="微軟正黑體" w:eastAsia="微軟正黑體" w:hAnsi="微軟正黑體"/>
          <w:sz w:val="22"/>
          <w:szCs w:val="22"/>
        </w:rPr>
        <w:t xml:space="preserve">本案例為方法論操作示範,而非特定機關已公開技術細節之調查報導,提醒讀者留意二者之區別。我國內政部戶政司公開營運「國民身分證真偽辨識」與「國民身分證快速辨識」等資料查驗服務,一般公開資訊顯示,民眾申請身分證領補換時,承辦作業涉及人像資料之比對查驗。本章借用此一般公開已知之公共服務情境,示範如何為此類流程設計P1-P2-P3操作化指標——重點在於訓練學生「如何提問」,而非斷言特定機關之內部技術細節。</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1600"/>
        <w:gridCol w:w="3713"/>
        <w:gridCol w:w="3713"/>
      </w:tblGrid>
      <w:tr>
        <w:trPr>
          <w:tblHeader/>
        </w:trPr>
        <w:tc>
          <w:tcPr>
            <w:tcW w:type="dxa" w:w="1600"/>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權力類型</w:t>
            </w:r>
          </w:p>
        </w:tc>
        <w:tc>
          <w:tcPr>
            <w:tcW w:type="dxa" w:w="37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情境化提問</w:t>
            </w:r>
          </w:p>
        </w:tc>
        <w:tc>
          <w:tcPr>
            <w:tcW w:type="dxa" w:w="3713"/>
            <w:shd w:fill="1F4E79" w:val="clear"/>
            <w:tcMar>
              <w:top w:type="dxa" w:w="80"/>
              <w:left w:type="dxa" w:w="100"/>
              <w:bottom w:type="dxa" w:w="80"/>
              <w:right w:type="dxa" w:w="100"/>
            </w:tcMar>
            <w:vAlign w:val="center"/>
          </w:tcPr>
          <w:p>
            <w:pPr>
              <w:jc w:val="center"/>
            </w:pPr>
            <w:r>
              <w:rPr>
                <w:rFonts w:ascii="微軟正黑體" w:cs="微軟正黑體" w:eastAsia="微軟正黑體" w:hAnsi="微軟正黑體"/>
                <w:b/>
                <w:bCs/>
                <w:color w:val="FFFFFF"/>
                <w:sz w:val="19"/>
                <w:szCs w:val="19"/>
              </w:rPr>
              <w:t xml:space="preserve">可能的操作化指標</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P1情境建構</w:t>
            </w:r>
          </w:p>
        </w:tc>
        <w:tc>
          <w:tcPr>
            <w:tcW w:type="dxa" w:w="3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身分證換發之人像比對,以何種資料庫作為比對基準?哪些臉部特徵差異(如年齡增長、外觀變化)會被標記為「疑似不符」?</w:t>
            </w:r>
          </w:p>
        </w:tc>
        <w:tc>
          <w:tcPr>
            <w:tcW w:type="dxa" w:w="3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比對資料庫涵蓋率、特徵選擇之技術文件是否公開、疑似不符案件之人工複審比例</w:t>
            </w:r>
          </w:p>
        </w:tc>
      </w:tr>
      <w:tr>
        <w:tc>
          <w:tcPr>
            <w:tcW w:type="dxa" w:w="1600"/>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P2行政裁量</w:t>
            </w:r>
          </w:p>
        </w:tc>
        <w:tc>
          <w:tcPr>
            <w:tcW w:type="dxa" w:w="37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當比對結果標記「疑似不符」,承辦人員是否有充分資訊與時間進行實質審查,或僅是形式簽核系統建議?</w:t>
            </w:r>
          </w:p>
        </w:tc>
        <w:tc>
          <w:tcPr>
            <w:tcW w:type="dxa" w:w="3713"/>
            <w:shd w:fill="F2F6FA"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承辦人員覆寫系統建議之比例、覆寫理由記錄之完整程度、平均審查時間</w:t>
            </w:r>
          </w:p>
        </w:tc>
      </w:tr>
      <w:tr>
        <w:tc>
          <w:tcPr>
            <w:tcW w:type="dxa" w:w="1600"/>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P3公權力影響力</w:t>
            </w:r>
          </w:p>
        </w:tc>
        <w:tc>
          <w:tcPr>
            <w:tcW w:type="dxa" w:w="3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若比對不通過,民眾換發身分證之申請是否即受影響?是否有即時申訴或人工複核管道?</w:t>
            </w:r>
          </w:p>
        </w:tc>
        <w:tc>
          <w:tcPr>
            <w:tcW w:type="dxa" w:w="3713"/>
            <w:shd w:fill="FFFFFF" w:val="clear"/>
            <w:tcMar>
              <w:top w:type="dxa" w:w="80"/>
              <w:left w:type="dxa" w:w="100"/>
              <w:bottom w:type="dxa" w:w="80"/>
              <w:right w:type="dxa" w:w="100"/>
            </w:tcMar>
            <w:vAlign w:val="center"/>
          </w:tcPr>
          <w:p>
            <w:pPr>
              <w:spacing w:after="40"/>
            </w:pPr>
            <w:r>
              <w:rPr>
                <w:rFonts w:ascii="微軟正黑體" w:cs="微軟正黑體" w:eastAsia="微軟正黑體" w:hAnsi="微軟正黑體"/>
                <w:sz w:val="16"/>
                <w:szCs w:val="16"/>
              </w:rPr>
              <w:t xml:space="preserve">自動退件或延辦比例、申訴管道之公開程度與平均處理時效</w:t>
            </w:r>
          </w:p>
        </w:tc>
      </w:tr>
    </w:tbl>
    <w:p>
      <w:pPr>
        <w:spacing w:after="280" w:before="120"/>
        <w:jc w:val="center"/>
      </w:pPr>
      <w:r>
        <w:rPr>
          <w:rFonts w:ascii="微軟正黑體" w:cs="微軟正黑體" w:eastAsia="微軟正黑體" w:hAnsi="微軟正黑體"/>
          <w:i/>
          <w:iCs/>
          <w:color w:val="555555"/>
          <w:sz w:val="18"/>
          <w:szCs w:val="18"/>
        </w:rPr>
        <w:t xml:space="preserve">表25-7　戶政身分證換發人臉比對流程之P1-P2-P3操作化練習</w:t>
      </w:r>
    </w:p>
    <w:p>
      <w:pPr>
        <w:spacing w:after="140" w:before="260"/>
      </w:pPr>
      <w:r>
        <w:rPr>
          <w:rFonts w:ascii="微軟正黑體" w:cs="微軟正黑體" w:eastAsia="微軟正黑體" w:hAnsi="微軟正黑體"/>
          <w:b/>
          <w:bCs/>
          <w:color w:val="2E5C8A"/>
          <w:sz w:val="23"/>
          <w:szCs w:val="23"/>
        </w:rPr>
        <w:t xml:space="preserve">案例思考三:「一把尺量不出所有東西」——25座標的自我限制</w:t>
      </w:r>
    </w:p>
    <w:p>
      <w:pPr>
        <w:spacing w:after="200" w:line="360"/>
        <w:ind w:firstLine="431"/>
        <w:jc w:val="both"/>
      </w:pPr>
      <w:r>
        <w:rPr>
          <w:rFonts w:ascii="微軟正黑體" w:cs="微軟正黑體" w:eastAsia="微軟正黑體" w:hAnsi="微軟正黑體"/>
          <w:sz w:val="22"/>
          <w:szCs w:val="22"/>
        </w:rPr>
        <w:t xml:space="preserve">學習本章方法論之後,學生也應理解25座標本身的侷限:它擅長定位「AI介入了哪裡」,卻不擅長回答「這樣的介入是否正當」——正當性判斷仍須回到第一層哲學與價值層次之規範性討論,呼應本書第一章至第六章對公共性與行政倫理的論述。這則提醒呼應本章開場「不識廬山真面目」的比喻:地圖再精確,也不能取代親自走進山中的價值判斷;工具愈精密,使用者愈需要謙遜。</w:t>
      </w:r>
    </w:p>
    <w:p>
      <w:pPr>
        <w:spacing w:after="140" w:before="260"/>
      </w:pPr>
      <w:r>
        <w:rPr>
          <w:rFonts w:ascii="微軟正黑體" w:cs="微軟正黑體" w:eastAsia="微軟正黑體" w:hAnsi="微軟正黑體"/>
          <w:b/>
          <w:bCs/>
          <w:color w:val="2E5C8A"/>
          <w:sz w:val="23"/>
          <w:szCs w:val="23"/>
        </w:rPr>
        <w:t xml:space="preserve">延伸思考</w:t>
      </w:r>
    </w:p>
    <w:p>
      <w:pPr>
        <w:spacing w:after="160" w:line="340"/>
        <w:ind w:left="431" w:hanging="431"/>
      </w:pPr>
      <w:r>
        <w:rPr>
          <w:rFonts w:ascii="微軟正黑體" w:cs="微軟正黑體" w:eastAsia="微軟正黑體" w:hAnsi="微軟正黑體"/>
          <w:sz w:val="22"/>
          <w:szCs w:val="22"/>
        </w:rPr>
        <w:t xml:space="preserve">一、基礎:請以COMPAS案例或戶政身分證換發案例,完整填寫P1-P2-P3三種權力移轉之操作化指標表,並指出資料蒐集上最困難的一項指標。</w:t>
      </w:r>
    </w:p>
    <w:p>
      <w:pPr>
        <w:spacing w:after="160" w:line="340"/>
        <w:ind w:left="431" w:hanging="431"/>
      </w:pPr>
      <w:r>
        <w:rPr>
          <w:rFonts w:ascii="微軟正黑體" w:cs="微軟正黑體" w:eastAsia="微軟正黑體" w:hAnsi="微軟正黑體"/>
          <w:sz w:val="22"/>
          <w:szCs w:val="22"/>
        </w:rPr>
        <w:t xml:space="preserve">二、進階:承上題,指出此案例最可能發生「跨格移動」的路徑(從哪一層次/單位移動至哪一層次/單位),並說明邊界消解或權威重構何者更明顯。</w:t>
      </w:r>
    </w:p>
    <w:p>
      <w:pPr>
        <w:spacing w:after="160" w:line="340"/>
        <w:ind w:left="431" w:hanging="431"/>
      </w:pPr>
      <w:r>
        <w:rPr>
          <w:rFonts w:ascii="微軟正黑體" w:cs="微軟正黑體" w:eastAsia="微軟正黑體" w:hAnsi="微軟正黑體"/>
          <w:sz w:val="22"/>
          <w:szCs w:val="22"/>
        </w:rPr>
        <w:t xml:space="preserve">三、實作:請為你熟悉的一個機關,設計一份包含四鏈七審之可操作稽核表,並具體標明每一項審計之證據來源與覆核頻率。</w:t>
      </w:r>
    </w:p>
    <w:p>
      <w:pPr>
        <w:spacing w:after="160" w:line="340"/>
        <w:ind w:left="431" w:hanging="431"/>
      </w:pPr>
      <w:r>
        <w:rPr>
          <w:rFonts w:ascii="微軟正黑體" w:cs="微軟正黑體" w:eastAsia="微軟正黑體" w:hAnsi="微軟正黑體"/>
          <w:sz w:val="22"/>
          <w:szCs w:val="22"/>
        </w:rPr>
        <w:t xml:space="preserve">四、前瞻:本章建立了P1-P2-P3操作化指標之方法論。請以前瞻句格式(例如「本章建立了……,下一部分將……」),寫出本章應如何銜接下一章第二十六章「四條治理鏈方法論深化:以健保AI審查為例」之討論。</w:t>
      </w:r>
    </w:p>
    <w:p>
      <w:pPr/>
      <w:r>
        <w:rPr>
          <w:rFonts w:ascii="微軟正黑體" w:hAnsi="微軟正黑體" w:eastAsia="微軟正黑體" w:cs="微軟正黑體"/>
          <w:b/>
          <w:color w:val="2E5C8A"/>
          <w:sz w:val="23"/>
        </w:rPr>
        <w:t>對台灣政府貢獻度與顯著性</w:t>
      </w:r>
    </w:p>
    <w:p>
      <w:pPr/>
      <w:r>
        <w:rPr>
          <w:rFonts w:ascii="微軟正黑體" w:hAnsi="微軟正黑體" w:eastAsia="微軟正黑體" w:cs="微軟正黑體"/>
          <w:sz w:val="22"/>
        </w:rPr>
        <w:t>本章將25座標與P1-P2-P3指標操作化，直接支援《人工智慧基本法》風險評估義務與國家AI戰略特別委員會的跨部會協調。機關可據此設計「權利影響評估」與「裁量日誌」範本。顯著性：高——提供從抽象原則到可測量指標的轉換語言。</w:t>
      </w:r>
    </w:p>
    <w:p>
      <w:pPr/>
      <w:r>
        <w:rPr>
          <w:rFonts w:ascii="微軟正黑體" w:hAnsi="微軟正黑體" w:eastAsia="微軟正黑體" w:cs="微軟正黑體"/>
          <w:b/>
          <w:color w:val="2E5C8A"/>
          <w:sz w:val="23"/>
        </w:rPr>
        <w:t>與傳統行政學的對比與差異</w:t>
      </w:r>
    </w:p>
    <w:p>
      <w:pPr/>
      <w:r>
        <w:rPr>
          <w:rFonts w:ascii="微軟正黑體" w:hAnsi="微軟正黑體" w:eastAsia="微軟正黑體" w:cs="微軟正黑體"/>
          <w:sz w:val="22"/>
        </w:rPr>
        <w:t>傳統行政學多以組織或政策為分析單位，強調法定權威與層級節制；本章強制以五層×五單位定位「AI在哪裡」，並以三種功能性權力移轉追問「AI拿走了什麼」。差異核心：從「誰有權決定」進一步追問「誰建構了決定的前提、理由能否被人民理解」。</w:t>
      </w:r>
    </w:p>
    <w:p>
      <w:pPr>
        <w:spacing w:after="180" w:before="360"/>
      </w:pPr>
      <w:r>
        <w:rPr>
          <w:rFonts w:ascii="微軟正黑體" w:cs="微軟正黑體" w:eastAsia="微軟正黑體" w:hAnsi="微軟正黑體"/>
          <w:b/>
          <w:bCs/>
          <w:color w:val="1F4E79"/>
          <w:sz w:val="26"/>
          <w:szCs w:val="26"/>
        </w:rPr>
        <w:t xml:space="preserve">本章小結</w:t>
      </w:r>
    </w:p>
    <w:p>
      <w:pPr>
        <w:spacing w:after="200" w:line="360"/>
        <w:ind w:firstLine="431"/>
        <w:jc w:val="both"/>
      </w:pPr>
      <w:r>
        <w:rPr>
          <w:rFonts w:ascii="微軟正黑體" w:cs="微軟正黑體" w:eastAsia="微軟正黑體" w:hAnsi="微軟正黑體"/>
          <w:sz w:val="22"/>
          <w:szCs w:val="22"/>
        </w:rPr>
        <w:t xml:space="preserve">本章回到全書分析架構的原點,系統性地深化25治理座標、三種權力移轉、三項結構效應、四條治理鏈與七項治理審計之間的操作化關係。25座標由五分析層次(哲學與價值、制度分工、政策體系、組織設計、管理運作)與五分析單位(個人、團體、組織、社會、國際)交織而成,是一套定位系統而非計分系統,其設計目的在於讓全書各章擁有共同語言,而非成為另一套風險評分工具。</w:t>
      </w:r>
    </w:p>
    <w:p>
      <w:pPr>
        <w:spacing w:after="200" w:line="360"/>
        <w:ind w:firstLine="431"/>
        <w:jc w:val="both"/>
      </w:pPr>
      <w:r>
        <w:rPr>
          <w:rFonts w:ascii="微軟正黑體" w:cs="微軟正黑體" w:eastAsia="微軟正黑體" w:hAnsi="微軟正黑體"/>
          <w:sz w:val="22"/>
          <w:szCs w:val="22"/>
        </w:rPr>
        <w:t xml:space="preserve">三種權力移轉——P1情境建構權、P2行政裁量權、P3公權力影響力——透過本章提出之操作化指標(問題可見性、標籤決定權、特徵選擇權;建議接受率、人類覆寫率、覆寫理由書面化程度、裁量日誌完整性;自動執行程度、權利影響評估、外部救濟管道),得以從抽象概念轉化為可測量、可稽核的具體證據。三項結構效應——跨格移動、邊界消解、權威重構——則說明權力移轉之後,制度層面實際發生了什麼變化,二者合觀,才能完整回答「AI鑲嵌了什麼、又改變了什麼」。COMPAS案例顯示,操作化指標若缺乏質性審查配套,容易淪為「假精確」;而任何一套分析工具,終究無法取代第一層哲學與價值層次的規範性判斷——這正是本章送給讀者的最後提醒。</w:t>
      </w:r>
    </w:p>
    <w:p>
      <w:pPr>
        <w:spacing w:after="240" w:line="340"/>
        <w:ind w:left="576" w:right="576"/>
      </w:pPr>
      <w:r>
        <w:rPr>
          <w:rFonts w:ascii="微軟正黑體" w:cs="微軟正黑體" w:eastAsia="微軟正黑體" w:hAnsi="微軟正黑體"/>
          <w:i/>
          <w:iCs/>
          <w:sz w:val="21"/>
          <w:szCs w:val="21"/>
        </w:rPr>
        <w:t xml:space="preserve">「不識廬山真面目,只緣身在此山中」——本章所做的,不是離開這座山,而是給讀者一張更精確的地圖,好讓下一次站上任何一個山頭時,都能同時記得整座山的模樣。</w:t>
      </w:r>
    </w:p>
    <w:p>
      <w:pPr>
        <w:spacing w:after="180" w:before="360"/>
      </w:pPr>
      <w:r>
        <w:rPr>
          <w:rFonts w:ascii="微軟正黑體" w:cs="微軟正黑體" w:eastAsia="微軟正黑體" w:hAnsi="微軟正黑體"/>
          <w:b/>
          <w:bCs/>
          <w:color w:val="1F4E79"/>
          <w:sz w:val="26"/>
          <w:szCs w:val="26"/>
        </w:rPr>
        <w:t xml:space="preserve">關鍵詞彙</w:t>
      </w:r>
    </w:p>
    <w:p>
      <w:pPr>
        <w:spacing w:after="160" w:line="340"/>
      </w:pPr>
      <w:r>
        <w:rPr>
          <w:rFonts w:ascii="微軟正黑體" w:cs="微軟正黑體" w:eastAsia="微軟正黑體" w:hAnsi="微軟正黑體"/>
          <w:b/>
          <w:bCs/>
          <w:sz w:val="22"/>
          <w:szCs w:val="22"/>
        </w:rPr>
        <w:t xml:space="preserve">25治理座標　</w:t>
      </w:r>
      <w:r>
        <w:rPr>
          <w:rFonts w:ascii="微軟正黑體" w:cs="微軟正黑體" w:eastAsia="微軟正黑體" w:hAnsi="微軟正黑體"/>
          <w:sz w:val="22"/>
          <w:szCs w:val="22"/>
        </w:rPr>
        <w:t xml:space="preserve">五分析層次×五分析單位交織而成之定位系統,用以標定AI介入公共行政之格位。</w:t>
      </w:r>
    </w:p>
    <w:p>
      <w:pPr>
        <w:spacing w:after="160" w:line="340"/>
      </w:pPr>
      <w:r>
        <w:rPr>
          <w:rFonts w:ascii="微軟正黑體" w:cs="微軟正黑體" w:eastAsia="微軟正黑體" w:hAnsi="微軟正黑體"/>
          <w:b/>
          <w:bCs/>
          <w:sz w:val="22"/>
          <w:szCs w:val="22"/>
        </w:rPr>
        <w:t xml:space="preserve">五分析層次　</w:t>
      </w:r>
      <w:r>
        <w:rPr>
          <w:rFonts w:ascii="微軟正黑體" w:cs="微軟正黑體" w:eastAsia="微軟正黑體" w:hAnsi="微軟正黑體"/>
          <w:sz w:val="22"/>
          <w:szCs w:val="22"/>
        </w:rPr>
        <w:t xml:space="preserve">哲學與價值、制度分工、政策體系、組織設計、管理運作,由抽象至具體排序。</w:t>
      </w:r>
    </w:p>
    <w:p>
      <w:pPr>
        <w:spacing w:after="160" w:line="340"/>
      </w:pPr>
      <w:r>
        <w:rPr>
          <w:rFonts w:ascii="微軟正黑體" w:cs="微軟正黑體" w:eastAsia="微軟正黑體" w:hAnsi="微軟正黑體"/>
          <w:b/>
          <w:bCs/>
          <w:sz w:val="22"/>
          <w:szCs w:val="22"/>
        </w:rPr>
        <w:t xml:space="preserve">五分析單位　</w:t>
      </w:r>
      <w:r>
        <w:rPr>
          <w:rFonts w:ascii="微軟正黑體" w:cs="微軟正黑體" w:eastAsia="微軟正黑體" w:hAnsi="微軟正黑體"/>
          <w:sz w:val="22"/>
          <w:szCs w:val="22"/>
        </w:rPr>
        <w:t xml:space="preserve">個人、團體、組織、社會、國際,標示治理之影響範圍。</w:t>
      </w:r>
    </w:p>
    <w:p>
      <w:pPr>
        <w:spacing w:after="160" w:line="340"/>
      </w:pPr>
      <w:r>
        <w:rPr>
          <w:rFonts w:ascii="微軟正黑體" w:cs="微軟正黑體" w:eastAsia="微軟正黑體" w:hAnsi="微軟正黑體"/>
          <w:b/>
          <w:bCs/>
          <w:sz w:val="22"/>
          <w:szCs w:val="22"/>
        </w:rPr>
        <w:t xml:space="preserve">P1情境建構與事實認定權移轉　</w:t>
      </w:r>
      <w:r>
        <w:rPr>
          <w:rFonts w:ascii="微軟正黑體" w:cs="微軟正黑體" w:eastAsia="微軟正黑體" w:hAnsi="微軟正黑體"/>
          <w:sz w:val="22"/>
          <w:szCs w:val="22"/>
        </w:rPr>
        <w:t xml:space="preserve">哪些資料被視為事實、哪些群體成為目標之權力移轉。</w:t>
      </w:r>
    </w:p>
    <w:p>
      <w:pPr>
        <w:spacing w:after="160" w:line="340"/>
      </w:pPr>
      <w:r>
        <w:rPr>
          <w:rFonts w:ascii="微軟正黑體" w:cs="微軟正黑體" w:eastAsia="微軟正黑體" w:hAnsi="微軟正黑體"/>
          <w:b/>
          <w:bCs/>
          <w:sz w:val="22"/>
          <w:szCs w:val="22"/>
        </w:rPr>
        <w:t xml:space="preserve">P2行政裁量與價值判斷權移轉　</w:t>
      </w:r>
      <w:r>
        <w:rPr>
          <w:rFonts w:ascii="微軟正黑體" w:cs="微軟正黑體" w:eastAsia="微軟正黑體" w:hAnsi="微軟正黑體"/>
          <w:sz w:val="22"/>
          <w:szCs w:val="22"/>
        </w:rPr>
        <w:t xml:space="preserve">哪些選項被推薦、排序或排除之權力移轉。</w:t>
      </w:r>
    </w:p>
    <w:p>
      <w:pPr>
        <w:spacing w:after="160" w:line="340"/>
      </w:pPr>
      <w:r>
        <w:rPr>
          <w:rFonts w:ascii="微軟正黑體" w:cs="微軟正黑體" w:eastAsia="微軟正黑體" w:hAnsi="微軟正黑體"/>
          <w:b/>
          <w:bCs/>
          <w:sz w:val="22"/>
          <w:szCs w:val="22"/>
        </w:rPr>
        <w:t xml:space="preserve">P3公權力決定之實質影響力移轉　</w:t>
      </w:r>
      <w:r>
        <w:rPr>
          <w:rFonts w:ascii="微軟正黑體" w:cs="微軟正黑體" w:eastAsia="微軟正黑體" w:hAnsi="微軟正黑體"/>
          <w:sz w:val="22"/>
          <w:szCs w:val="22"/>
        </w:rPr>
        <w:t xml:space="preserve">技術輸出是否直接觸發給付、調查、裁罰等法律效果之權力移轉。</w:t>
      </w:r>
    </w:p>
    <w:p>
      <w:pPr>
        <w:spacing w:after="160" w:line="340"/>
      </w:pPr>
      <w:r>
        <w:rPr>
          <w:rFonts w:ascii="微軟正黑體" w:cs="微軟正黑體" w:eastAsia="微軟正黑體" w:hAnsi="微軟正黑體"/>
          <w:b/>
          <w:bCs/>
          <w:sz w:val="22"/>
          <w:szCs w:val="22"/>
        </w:rPr>
        <w:t xml:space="preserve">問題可見性　</w:t>
      </w:r>
      <w:r>
        <w:rPr>
          <w:rFonts w:ascii="微軟正黑體" w:cs="微軟正黑體" w:eastAsia="微軟正黑體" w:hAnsi="微軟正黑體"/>
          <w:sz w:val="22"/>
          <w:szCs w:val="22"/>
        </w:rPr>
        <w:t xml:space="preserve">P1操作化指標之一,指多少潛在需求被資料化。</w:t>
      </w:r>
    </w:p>
    <w:p>
      <w:pPr>
        <w:spacing w:after="160" w:line="340"/>
      </w:pPr>
      <w:r>
        <w:rPr>
          <w:rFonts w:ascii="微軟正黑體" w:cs="微軟正黑體" w:eastAsia="微軟正黑體" w:hAnsi="微軟正黑體"/>
          <w:b/>
          <w:bCs/>
          <w:sz w:val="22"/>
          <w:szCs w:val="22"/>
        </w:rPr>
        <w:t xml:space="preserve">標籤決定權　</w:t>
      </w:r>
      <w:r>
        <w:rPr>
          <w:rFonts w:ascii="微軟正黑體" w:cs="微軟正黑體" w:eastAsia="微軟正黑體" w:hAnsi="微軟正黑體"/>
          <w:sz w:val="22"/>
          <w:szCs w:val="22"/>
        </w:rPr>
        <w:t xml:space="preserve">P1操作化指標之一,指誰決定標籤定義。</w:t>
      </w:r>
    </w:p>
    <w:p>
      <w:pPr>
        <w:spacing w:after="160" w:line="340"/>
      </w:pPr>
      <w:r>
        <w:rPr>
          <w:rFonts w:ascii="微軟正黑體" w:cs="微軟正黑體" w:eastAsia="微軟正黑體" w:hAnsi="微軟正黑體"/>
          <w:b/>
          <w:bCs/>
          <w:sz w:val="22"/>
          <w:szCs w:val="22"/>
        </w:rPr>
        <w:t xml:space="preserve">人類覆寫率　</w:t>
      </w:r>
      <w:r>
        <w:rPr>
          <w:rFonts w:ascii="微軟正黑體" w:cs="微軟正黑體" w:eastAsia="微軟正黑體" w:hAnsi="微軟正黑體"/>
          <w:sz w:val="22"/>
          <w:szCs w:val="22"/>
        </w:rPr>
        <w:t xml:space="preserve">P2操作化指標之一,指人類實際推翻AI建議之比例。</w:t>
      </w:r>
    </w:p>
    <w:p>
      <w:pPr>
        <w:spacing w:after="160" w:line="340"/>
      </w:pPr>
      <w:r>
        <w:rPr>
          <w:rFonts w:ascii="微軟正黑體" w:cs="微軟正黑體" w:eastAsia="微軟正黑體" w:hAnsi="微軟正黑體"/>
          <w:b/>
          <w:bCs/>
          <w:sz w:val="22"/>
          <w:szCs w:val="22"/>
        </w:rPr>
        <w:t xml:space="preserve">裁量日誌(Discretion Log)　</w:t>
      </w:r>
      <w:r>
        <w:rPr>
          <w:rFonts w:ascii="微軟正黑體" w:cs="微軟正黑體" w:eastAsia="微軟正黑體" w:hAnsi="微軟正黑體"/>
          <w:sz w:val="22"/>
          <w:szCs w:val="22"/>
        </w:rPr>
        <w:t xml:space="preserve">記錄人類覆寫AI建議之理由與依據的稽核工具。</w:t>
      </w:r>
    </w:p>
    <w:p>
      <w:pPr>
        <w:spacing w:after="160" w:line="340"/>
      </w:pPr>
      <w:r>
        <w:rPr>
          <w:rFonts w:ascii="微軟正黑體" w:cs="微軟正黑體" w:eastAsia="微軟正黑體" w:hAnsi="微軟正黑體"/>
          <w:b/>
          <w:bCs/>
          <w:sz w:val="22"/>
          <w:szCs w:val="22"/>
        </w:rPr>
        <w:t xml:space="preserve">跨格移動　</w:t>
      </w:r>
      <w:r>
        <w:rPr>
          <w:rFonts w:ascii="微軟正黑體" w:cs="微軟正黑體" w:eastAsia="微軟正黑體" w:hAnsi="微軟正黑體"/>
          <w:sz w:val="22"/>
          <w:szCs w:val="22"/>
        </w:rPr>
        <w:t xml:space="preserve">AI由某一層次單位向其他層次單位擴張之結構效應。</w:t>
      </w:r>
    </w:p>
    <w:p>
      <w:pPr>
        <w:spacing w:after="160" w:line="340"/>
      </w:pPr>
      <w:r>
        <w:rPr>
          <w:rFonts w:ascii="微軟正黑體" w:cs="微軟正黑體" w:eastAsia="微軟正黑體" w:hAnsi="微軟正黑體"/>
          <w:b/>
          <w:bCs/>
          <w:sz w:val="22"/>
          <w:szCs w:val="22"/>
        </w:rPr>
        <w:t xml:space="preserve">邊界消解　</w:t>
      </w:r>
      <w:r>
        <w:rPr>
          <w:rFonts w:ascii="微軟正黑體" w:cs="微軟正黑體" w:eastAsia="微軟正黑體" w:hAnsi="微軟正黑體"/>
          <w:sz w:val="22"/>
          <w:szCs w:val="22"/>
        </w:rPr>
        <w:t xml:space="preserve">人的判斷、技術規則、組織程序與政策形成難以清楚區分之結構效應。</w:t>
      </w:r>
    </w:p>
    <w:p>
      <w:pPr>
        <w:spacing w:after="160" w:line="340"/>
      </w:pPr>
      <w:r>
        <w:rPr>
          <w:rFonts w:ascii="微軟正黑體" w:cs="微軟正黑體" w:eastAsia="微軟正黑體" w:hAnsi="微軟正黑體"/>
          <w:b/>
          <w:bCs/>
          <w:sz w:val="22"/>
          <w:szCs w:val="22"/>
        </w:rPr>
        <w:t xml:space="preserve">權威重構　</w:t>
      </w:r>
      <w:r>
        <w:rPr>
          <w:rFonts w:ascii="微軟正黑體" w:cs="微軟正黑體" w:eastAsia="微軟正黑體" w:hAnsi="微軟正黑體"/>
          <w:sz w:val="22"/>
          <w:szCs w:val="22"/>
        </w:rPr>
        <w:t xml:space="preserve">法定決定者與實際影響結果者不再重合之結構效應。</w:t>
      </w:r>
    </w:p>
    <w:p>
      <w:pPr>
        <w:spacing w:after="160" w:line="340"/>
      </w:pPr>
      <w:r>
        <w:rPr>
          <w:rFonts w:ascii="微軟正黑體" w:cs="微軟正黑體" w:eastAsia="微軟正黑體" w:hAnsi="微軟正黑體"/>
          <w:b/>
          <w:bCs/>
          <w:sz w:val="22"/>
          <w:szCs w:val="22"/>
        </w:rPr>
        <w:t xml:space="preserve">情境建構鏈　</w:t>
      </w:r>
      <w:r>
        <w:rPr>
          <w:rFonts w:ascii="微軟正黑體" w:cs="微軟正黑體" w:eastAsia="微軟正黑體" w:hAnsi="微軟正黑體"/>
          <w:sz w:val="22"/>
          <w:szCs w:val="22"/>
        </w:rPr>
        <w:t xml:space="preserve">誰決定哪些資料、變項與問題被納入或排除之治理鏈。</w:t>
      </w:r>
    </w:p>
    <w:p>
      <w:pPr>
        <w:spacing w:after="160" w:line="340"/>
      </w:pPr>
      <w:r>
        <w:rPr>
          <w:rFonts w:ascii="微軟正黑體" w:cs="微軟正黑體" w:eastAsia="微軟正黑體" w:hAnsi="微軟正黑體"/>
          <w:b/>
          <w:bCs/>
          <w:sz w:val="22"/>
          <w:szCs w:val="22"/>
        </w:rPr>
        <w:t xml:space="preserve">權威鏈　</w:t>
      </w:r>
      <w:r>
        <w:rPr>
          <w:rFonts w:ascii="微軟正黑體" w:cs="微軟正黑體" w:eastAsia="微軟正黑體" w:hAnsi="微軟正黑體"/>
          <w:sz w:val="22"/>
          <w:szCs w:val="22"/>
        </w:rPr>
        <w:t xml:space="preserve">決策正當性來自法律授權、行政裁量或演算法技術權威之治理鏈。</w:t>
      </w:r>
    </w:p>
    <w:p>
      <w:pPr>
        <w:spacing w:after="160" w:line="340"/>
      </w:pPr>
      <w:r>
        <w:rPr>
          <w:rFonts w:ascii="微軟正黑體" w:cs="微軟正黑體" w:eastAsia="微軟正黑體" w:hAnsi="微軟正黑體"/>
          <w:b/>
          <w:bCs/>
          <w:sz w:val="22"/>
          <w:szCs w:val="22"/>
        </w:rPr>
        <w:t xml:space="preserve">理由鏈　</w:t>
      </w:r>
      <w:r>
        <w:rPr>
          <w:rFonts w:ascii="微軟正黑體" w:cs="微軟正黑體" w:eastAsia="微軟正黑體" w:hAnsi="微軟正黑體"/>
          <w:sz w:val="22"/>
          <w:szCs w:val="22"/>
        </w:rPr>
        <w:t xml:space="preserve">決策理由能否被追溯與說明之治理鏈。</w:t>
      </w:r>
    </w:p>
    <w:p>
      <w:pPr>
        <w:spacing w:after="160" w:line="340"/>
      </w:pPr>
      <w:r>
        <w:rPr>
          <w:rFonts w:ascii="微軟正黑體" w:cs="微軟正黑體" w:eastAsia="微軟正黑體" w:hAnsi="微軟正黑體"/>
          <w:b/>
          <w:bCs/>
          <w:sz w:val="22"/>
          <w:szCs w:val="22"/>
        </w:rPr>
        <w:t xml:space="preserve">責任鏈　</w:t>
      </w:r>
      <w:r>
        <w:rPr>
          <w:rFonts w:ascii="微軟正黑體" w:cs="微軟正黑體" w:eastAsia="微軟正黑體" w:hAnsi="微軟正黑體"/>
          <w:sz w:val="22"/>
          <w:szCs w:val="22"/>
        </w:rPr>
        <w:t xml:space="preserve">錯誤或損害發生時責任歸屬何處之治理鏈。</w:t>
      </w:r>
    </w:p>
    <w:p>
      <w:pPr>
        <w:spacing w:after="160" w:line="340"/>
      </w:pPr>
      <w:r>
        <w:rPr>
          <w:rFonts w:ascii="微軟正黑體" w:cs="微軟正黑體" w:eastAsia="微軟正黑體" w:hAnsi="微軟正黑體"/>
          <w:b/>
          <w:bCs/>
          <w:sz w:val="22"/>
          <w:szCs w:val="22"/>
        </w:rPr>
        <w:t xml:space="preserve">資料代表性審計　</w:t>
      </w:r>
      <w:r>
        <w:rPr>
          <w:rFonts w:ascii="微軟正黑體" w:cs="微軟正黑體" w:eastAsia="微軟正黑體" w:hAnsi="微軟正黑體"/>
          <w:sz w:val="22"/>
          <w:szCs w:val="22"/>
        </w:rPr>
        <w:t xml:space="preserve">檢視訓練資料是否涵蓋所有受影響群體之審計。</w:t>
      </w:r>
    </w:p>
    <w:p>
      <w:pPr>
        <w:spacing w:after="160" w:line="340"/>
      </w:pPr>
      <w:r>
        <w:rPr>
          <w:rFonts w:ascii="微軟正黑體" w:cs="微軟正黑體" w:eastAsia="微軟正黑體" w:hAnsi="微軟正黑體"/>
          <w:b/>
          <w:bCs/>
          <w:sz w:val="22"/>
          <w:szCs w:val="22"/>
        </w:rPr>
        <w:t xml:space="preserve">民主課責審計　</w:t>
      </w:r>
      <w:r>
        <w:rPr>
          <w:rFonts w:ascii="微軟正黑體" w:cs="微軟正黑體" w:eastAsia="微軟正黑體" w:hAnsi="微軟正黑體"/>
          <w:sz w:val="22"/>
          <w:szCs w:val="22"/>
        </w:rPr>
        <w:t xml:space="preserve">檢視外部監督與救濟機制是否充分之審計。</w:t>
      </w:r>
    </w:p>
    <w:p>
      <w:pPr>
        <w:spacing w:after="160" w:line="340"/>
      </w:pPr>
      <w:r>
        <w:rPr>
          <w:rFonts w:ascii="微軟正黑體" w:cs="微軟正黑體" w:eastAsia="微軟正黑體" w:hAnsi="微軟正黑體"/>
          <w:b/>
          <w:bCs/>
          <w:sz w:val="22"/>
          <w:szCs w:val="22"/>
        </w:rPr>
        <w:t xml:space="preserve">假精確(False Precision)　</w:t>
      </w:r>
      <w:r>
        <w:rPr>
          <w:rFonts w:ascii="微軟正黑體" w:cs="微軟正黑體" w:eastAsia="微軟正黑體" w:hAnsi="微軟正黑體"/>
          <w:sz w:val="22"/>
          <w:szCs w:val="22"/>
        </w:rPr>
        <w:t xml:space="preserve">指標量化過程中,因忽略質性脈絡而產生的虛假客觀感。</w:t>
      </w:r>
    </w:p>
    <w:p>
      <w:pPr>
        <w:spacing w:after="160" w:line="340"/>
      </w:pPr>
      <w:r>
        <w:rPr>
          <w:rFonts w:ascii="微軟正黑體" w:cs="微軟正黑體" w:eastAsia="微軟正黑體" w:hAnsi="微軟正黑體"/>
          <w:b/>
          <w:bCs/>
          <w:sz w:val="22"/>
          <w:szCs w:val="22"/>
        </w:rPr>
        <w:t xml:space="preserve">權利影響評估(Rights Impact Assessment)　</w:t>
      </w:r>
      <w:r>
        <w:rPr>
          <w:rFonts w:ascii="微軟正黑體" w:cs="微軟正黑體" w:eastAsia="微軟正黑體" w:hAnsi="微軟正黑體"/>
          <w:sz w:val="22"/>
          <w:szCs w:val="22"/>
        </w:rPr>
        <w:t xml:space="preserve">導入自動化系統前評估其對人民權利衝擊程度之機制。</w:t>
      </w:r>
    </w:p>
    <w:p>
      <w:pPr>
        <w:spacing w:after="180" w:before="360"/>
      </w:pPr>
      <w:r>
        <w:rPr>
          <w:rFonts w:ascii="微軟正黑體" w:cs="微軟正黑體" w:eastAsia="微軟正黑體" w:hAnsi="微軟正黑體"/>
          <w:b/>
          <w:bCs/>
          <w:color w:val="1F4E79"/>
          <w:sz w:val="26"/>
          <w:szCs w:val="26"/>
        </w:rPr>
        <w:t xml:space="preserve">思考與討論</w:t>
      </w:r>
    </w:p>
    <w:p>
      <w:pPr>
        <w:spacing w:after="200" w:line="360"/>
        <w:ind w:firstLine="431"/>
        <w:jc w:val="both"/>
      </w:pPr>
      <w:r>
        <w:rPr>
          <w:rFonts w:ascii="微軟正黑體" w:cs="微軟正黑體" w:eastAsia="微軟正黑體" w:hAnsi="微軟正黑體"/>
          <w:sz w:val="22"/>
          <w:szCs w:val="22"/>
        </w:rPr>
        <w:t xml:space="preserve">1. 請說明為何25座標被設計為「定位系統」而非「計分系統」?若將25座標誤用為計分工具,可能產生哪些治理風險?</w:t>
      </w:r>
    </w:p>
    <w:p>
      <w:pPr>
        <w:spacing w:after="200" w:line="360"/>
        <w:ind w:firstLine="431"/>
        <w:jc w:val="both"/>
      </w:pPr>
      <w:r>
        <w:rPr>
          <w:rFonts w:ascii="微軟正黑體" w:cs="微軟正黑體" w:eastAsia="微軟正黑體" w:hAnsi="微軟正黑體"/>
          <w:sz w:val="22"/>
          <w:szCs w:val="22"/>
        </w:rPr>
        <w:t xml:space="preserve">2. 請比較P1、P2、P3三種權力移轉之操作化指標,何者最容易被機關以形式化方式應付(如僅記錄表面數據而無實質意涵)?應如何設計指標以避免此問題?</w:t>
      </w:r>
    </w:p>
    <w:p>
      <w:pPr>
        <w:spacing w:after="200" w:line="360"/>
        <w:ind w:firstLine="431"/>
        <w:jc w:val="both"/>
      </w:pPr>
      <w:r>
        <w:rPr>
          <w:rFonts w:ascii="微軟正黑體" w:cs="微軟正黑體" w:eastAsia="微軟正黑體" w:hAnsi="微軟正黑體"/>
          <w:sz w:val="22"/>
          <w:szCs w:val="22"/>
        </w:rPr>
        <w:t xml:space="preserve">3. 跨格移動、邊界消解與權威重構三項結構效應,何者最難以事先預測?請以本書前二十四章中你印象最深刻的一個案例為例說明。</w:t>
      </w:r>
    </w:p>
    <w:p>
      <w:pPr>
        <w:spacing w:after="200" w:line="360"/>
        <w:ind w:firstLine="431"/>
        <w:jc w:val="both"/>
      </w:pPr>
      <w:r>
        <w:rPr>
          <w:rFonts w:ascii="微軟正黑體" w:cs="微軟正黑體" w:eastAsia="微軟正黑體" w:hAnsi="微軟正黑體"/>
          <w:sz w:val="22"/>
          <w:szCs w:val="22"/>
        </w:rPr>
        <w:t xml:space="preserve">4. 情境建構鏈具有「邏輯上的前置地位」,但本章強調其不能取代後三鏈。請具體說明:一個系統若情境建構鏈完全透明,是否就代表整體治理無虞?為什麼?</w:t>
      </w:r>
    </w:p>
    <w:p>
      <w:pPr>
        <w:spacing w:after="200" w:line="360"/>
        <w:ind w:firstLine="431"/>
        <w:jc w:val="both"/>
      </w:pPr>
      <w:r>
        <w:rPr>
          <w:rFonts w:ascii="微軟正黑體" w:cs="微軟正黑體" w:eastAsia="微軟正黑體" w:hAnsi="微軟正黑體"/>
          <w:sz w:val="22"/>
          <w:szCs w:val="22"/>
        </w:rPr>
        <w:t xml:space="preserve">5. 請以COMPAS案例為例,設計一套結合裁量日誌、權利影響評估與外部救濟管道地圖之綜合治理工具組合,並說明三者如何互補而非重疊。</w:t>
      </w:r>
    </w:p>
    <w:p>
      <w:pPr>
        <w:spacing w:after="180" w:before="360"/>
      </w:pPr>
      <w:r>
        <w:rPr>
          <w:rFonts w:ascii="微軟正黑體" w:cs="微軟正黑體" w:eastAsia="微軟正黑體" w:hAnsi="微軟正黑體"/>
          <w:b/>
          <w:bCs/>
          <w:color w:val="1F4E79"/>
          <w:sz w:val="26"/>
          <w:szCs w:val="26"/>
        </w:rPr>
        <w:t xml:space="preserve">教學補充教材</w:t>
      </w:r>
    </w:p>
    <w:p>
      <w:pPr>
        <w:spacing w:after="140" w:before="260"/>
      </w:pPr>
      <w:r>
        <w:rPr>
          <w:rFonts w:ascii="微軟正黑體" w:cs="微軟正黑體" w:eastAsia="微軟正黑體" w:hAnsi="微軟正黑體"/>
          <w:b/>
          <w:bCs/>
          <w:color w:val="2E5C8A"/>
          <w:sz w:val="23"/>
          <w:szCs w:val="23"/>
        </w:rPr>
        <w:t xml:space="preserve">一、教學提示</w:t>
      </w:r>
    </w:p>
    <w:p>
      <w:pPr>
        <w:pStyle w:val="ListParagraph"/>
        <w:numPr>
          <w:ilvl w:val="0"/>
          <w:numId w:val="2"/>
        </w:numPr>
        <w:spacing w:after="120" w:line="340"/>
      </w:pPr>
      <w:r>
        <w:rPr>
          <w:rFonts w:ascii="微軟正黑體" w:cs="微軟正黑體" w:eastAsia="微軟正黑體" w:hAnsi="微軟正黑體"/>
          <w:sz w:val="22"/>
          <w:szCs w:val="22"/>
        </w:rPr>
        <w:t xml:space="preserve">本章是全書方法論的「回頭課」,建議先請學生重新翻閱前二十四章中任一已讀章節的「本章在25座標的位置」段落,再進入本章之操作化指標講解,建立具體感受而非抽象記憶。</w:t>
      </w:r>
    </w:p>
    <w:p>
      <w:pPr>
        <w:pStyle w:val="ListParagraph"/>
        <w:numPr>
          <w:ilvl w:val="0"/>
          <w:numId w:val="2"/>
        </w:numPr>
        <w:spacing w:after="120" w:line="340"/>
      </w:pPr>
      <w:r>
        <w:rPr>
          <w:rFonts w:ascii="微軟正黑體" w:cs="微軟正黑體" w:eastAsia="微軟正黑體" w:hAnsi="微軟正黑體"/>
          <w:sz w:val="22"/>
          <w:szCs w:val="22"/>
        </w:rPr>
        <w:t xml:space="preserve">COMPAS案例是演算法課責文獻中最常被引用的教材,建議搭配ProPublica原始調查報導之視覺化圖表(假陽性率對照),加深學生對P2覆寫率意涵之理解。</w:t>
      </w:r>
    </w:p>
    <w:p>
      <w:pPr>
        <w:pStyle w:val="ListParagraph"/>
        <w:numPr>
          <w:ilvl w:val="0"/>
          <w:numId w:val="2"/>
        </w:numPr>
        <w:spacing w:after="120" w:line="340"/>
      </w:pPr>
      <w:r>
        <w:rPr>
          <w:rFonts w:ascii="微軟正黑體" w:cs="微軟正黑體" w:eastAsia="微軟正黑體" w:hAnsi="微軟正黑體"/>
          <w:sz w:val="22"/>
          <w:szCs w:val="22"/>
        </w:rPr>
        <w:t xml:space="preserve">戶政案例為方法論操作練習而非調查報導,教師應明確向學生說明此區別,訓練學生區辨「有堅實證據支持之案例分析」與「方法論示範性思考練習」之不同,此本身即是一種學術誠信與資料代表性審計素養之訓練。</w:t>
      </w:r>
    </w:p>
    <w:p>
      <w:pPr>
        <w:pStyle w:val="ListParagraph"/>
        <w:numPr>
          <w:ilvl w:val="0"/>
          <w:numId w:val="2"/>
        </w:numPr>
        <w:spacing w:after="120" w:line="340"/>
      </w:pPr>
      <w:r>
        <w:rPr>
          <w:rFonts w:ascii="微軟正黑體" w:cs="微軟正黑體" w:eastAsia="微軟正黑體" w:hAnsi="微軟正黑體"/>
          <w:sz w:val="22"/>
          <w:szCs w:val="22"/>
        </w:rPr>
        <w:t xml:space="preserve">本章「假精確」概念可與統計課程之測量效度概念連結,建議邀請量化方法課程教師共同授課或安排跨課程討論。</w:t>
      </w:r>
    </w:p>
    <w:p>
      <w:pPr>
        <w:spacing w:after="140" w:before="260"/>
      </w:pPr>
      <w:r>
        <w:rPr>
          <w:rFonts w:ascii="微軟正黑體" w:cs="微軟正黑體" w:eastAsia="微軟正黑體" w:hAnsi="微軟正黑體"/>
          <w:b/>
          <w:bCs/>
          <w:color w:val="2E5C8A"/>
          <w:sz w:val="23"/>
          <w:szCs w:val="23"/>
        </w:rPr>
        <w:t xml:space="preserve">二、常見考點</w:t>
      </w:r>
    </w:p>
    <w:p>
      <w:pPr>
        <w:pStyle w:val="ListParagraph"/>
        <w:numPr>
          <w:ilvl w:val="0"/>
          <w:numId w:val="2"/>
        </w:numPr>
        <w:spacing w:after="120" w:line="340"/>
      </w:pPr>
      <w:r>
        <w:rPr>
          <w:rFonts w:ascii="微軟正黑體" w:cs="微軟正黑體" w:eastAsia="微軟正黑體" w:hAnsi="微軟正黑體"/>
          <w:sz w:val="22"/>
          <w:szCs w:val="22"/>
        </w:rPr>
        <w:t xml:space="preserve">25座標之五分析層次與五分析單位的具體內容與排列邏輯。</w:t>
      </w:r>
    </w:p>
    <w:p>
      <w:pPr>
        <w:pStyle w:val="ListParagraph"/>
        <w:numPr>
          <w:ilvl w:val="0"/>
          <w:numId w:val="2"/>
        </w:numPr>
        <w:spacing w:after="120" w:line="340"/>
      </w:pPr>
      <w:r>
        <w:rPr>
          <w:rFonts w:ascii="微軟正黑體" w:cs="微軟正黑體" w:eastAsia="微軟正黑體" w:hAnsi="微軟正黑體"/>
          <w:sz w:val="22"/>
          <w:szCs w:val="22"/>
        </w:rPr>
        <w:t xml:space="preserve">P1、P2、P3三種權力移轉之定義區辨,以及三者不必然依序發生之原則。</w:t>
      </w:r>
    </w:p>
    <w:p>
      <w:pPr>
        <w:pStyle w:val="ListParagraph"/>
        <w:numPr>
          <w:ilvl w:val="0"/>
          <w:numId w:val="2"/>
        </w:numPr>
        <w:spacing w:after="120" w:line="340"/>
      </w:pPr>
      <w:r>
        <w:rPr>
          <w:rFonts w:ascii="微軟正黑體" w:cs="微軟正黑體" w:eastAsia="微軟正黑體" w:hAnsi="微軟正黑體"/>
          <w:sz w:val="22"/>
          <w:szCs w:val="22"/>
        </w:rPr>
        <w:t xml:space="preserve">三項結構效應(跨格移動、邊界消解、權威重構)與三種權力移轉之因果關係區辨。</w:t>
      </w:r>
    </w:p>
    <w:p>
      <w:pPr>
        <w:pStyle w:val="ListParagraph"/>
        <w:numPr>
          <w:ilvl w:val="0"/>
          <w:numId w:val="2"/>
        </w:numPr>
        <w:spacing w:after="120" w:line="340"/>
      </w:pPr>
      <w:r>
        <w:rPr>
          <w:rFonts w:ascii="微軟正黑體" w:cs="微軟正黑體" w:eastAsia="微軟正黑體" w:hAnsi="微軟正黑體"/>
          <w:sz w:val="22"/>
          <w:szCs w:val="22"/>
        </w:rPr>
        <w:t xml:space="preserve">四條治理鏈之內容與情境建構鏈的「邏輯前置地位」意涵。</w:t>
      </w:r>
    </w:p>
    <w:p>
      <w:pPr>
        <w:pStyle w:val="ListParagraph"/>
        <w:numPr>
          <w:ilvl w:val="0"/>
          <w:numId w:val="2"/>
        </w:numPr>
        <w:spacing w:after="120" w:line="340"/>
      </w:pPr>
      <w:r>
        <w:rPr>
          <w:rFonts w:ascii="微軟正黑體" w:cs="微軟正黑體" w:eastAsia="微軟正黑體" w:hAnsi="微軟正黑體"/>
          <w:sz w:val="22"/>
          <w:szCs w:val="22"/>
        </w:rPr>
        <w:t xml:space="preserve">七項治理審計之內容,以及其與四鏈、座標、權力移轉之間「不逐項對應計分」的設計原則。</w:t>
      </w:r>
    </w:p>
    <w:p>
      <w:pPr>
        <w:pStyle w:val="ListParagraph"/>
        <w:numPr>
          <w:ilvl w:val="0"/>
          <w:numId w:val="2"/>
        </w:numPr>
        <w:spacing w:after="120" w:line="340"/>
      </w:pPr>
      <w:r>
        <w:rPr>
          <w:rFonts w:ascii="微軟正黑體" w:cs="微軟正黑體" w:eastAsia="微軟正黑體" w:hAnsi="微軟正黑體"/>
          <w:sz w:val="22"/>
          <w:szCs w:val="22"/>
        </w:rPr>
        <w:t xml:space="preserve">COMPAS案例中State v. Loomis判決之法律意涵與對演算法課責之啟示。</w:t>
      </w:r>
    </w:p>
    <w:p>
      <w:pPr>
        <w:spacing w:after="140" w:before="260"/>
      </w:pPr>
      <w:r>
        <w:rPr>
          <w:rFonts w:ascii="微軟正黑體" w:cs="微軟正黑體" w:eastAsia="微軟正黑體" w:hAnsi="微軟正黑體"/>
          <w:b/>
          <w:bCs/>
          <w:color w:val="2E5C8A"/>
          <w:sz w:val="23"/>
          <w:szCs w:val="23"/>
        </w:rPr>
        <w:t xml:space="preserve">三、課堂活動建議</w:t>
      </w:r>
    </w:p>
    <w:p>
      <w:pPr>
        <w:pStyle w:val="ListParagraph"/>
        <w:numPr>
          <w:ilvl w:val="0"/>
          <w:numId w:val="2"/>
        </w:numPr>
        <w:spacing w:after="120" w:line="340"/>
      </w:pPr>
      <w:r>
        <w:rPr>
          <w:rFonts w:ascii="微軟正黑體" w:cs="微軟正黑體" w:eastAsia="微軟正黑體" w:hAnsi="微軟正黑體"/>
          <w:sz w:val="22"/>
          <w:szCs w:val="22"/>
        </w:rPr>
        <w:t xml:space="preserve">回顧拼圖:將本書前二十四章的章名製成卡片,請學生分組將每一章對應到25座標矩陣中的正確格位,並討論是否有章節橫跨多個格位。</w:t>
      </w:r>
    </w:p>
    <w:p>
      <w:pPr>
        <w:pStyle w:val="ListParagraph"/>
        <w:numPr>
          <w:ilvl w:val="0"/>
          <w:numId w:val="2"/>
        </w:numPr>
        <w:spacing w:after="120" w:line="340"/>
      </w:pPr>
      <w:r>
        <w:rPr>
          <w:rFonts w:ascii="微軟正黑體" w:cs="微軟正黑體" w:eastAsia="微軟正黑體" w:hAnsi="微軟正黑體"/>
          <w:sz w:val="22"/>
          <w:szCs w:val="22"/>
        </w:rPr>
        <w:t xml:space="preserve">案例研討:以COMPAS案例為本,請學生分組分別扮演開發商、法官、被告辯護律師與監察機關,針對P1-P2-P3操作化指標展開角色扮演辯論。</w:t>
      </w:r>
    </w:p>
    <w:p>
      <w:pPr>
        <w:pStyle w:val="ListParagraph"/>
        <w:numPr>
          <w:ilvl w:val="0"/>
          <w:numId w:val="2"/>
        </w:numPr>
        <w:spacing w:after="120" w:line="340"/>
      </w:pPr>
      <w:r>
        <w:rPr>
          <w:rFonts w:ascii="微軟正黑體" w:cs="微軟正黑體" w:eastAsia="微軟正黑體" w:hAnsi="微軟正黑體"/>
          <w:sz w:val="22"/>
          <w:szCs w:val="22"/>
        </w:rPr>
        <w:t xml:space="preserve">指標設計工作坊:請學生為戶政身分證換發案例,實際草擬一份包含證據來源與覆核頻率欄位的裁量日誌範本。</w:t>
      </w:r>
    </w:p>
    <w:p>
      <w:pPr>
        <w:spacing w:after="140" w:before="260"/>
      </w:pPr>
      <w:r>
        <w:rPr>
          <w:rFonts w:ascii="微軟正黑體" w:cs="微軟正黑體" w:eastAsia="微軟正黑體" w:hAnsi="微軟正黑體"/>
          <w:b/>
          <w:bCs/>
          <w:color w:val="2E5C8A"/>
          <w:sz w:val="23"/>
          <w:szCs w:val="23"/>
        </w:rPr>
        <w:t xml:space="preserve">四、思考與討論教學指引</w:t>
      </w:r>
    </w:p>
    <w:p>
      <w:pPr>
        <w:spacing w:after="200" w:line="360"/>
        <w:ind w:firstLine="431"/>
        <w:jc w:val="both"/>
      </w:pPr>
      <w:r>
        <w:rPr>
          <w:rFonts w:ascii="微軟正黑體" w:cs="微軟正黑體" w:eastAsia="微軟正黑體" w:hAnsi="微軟正黑體"/>
          <w:sz w:val="22"/>
          <w:szCs w:val="22"/>
        </w:rPr>
        <w:t xml:space="preserve">問題一指引:可提示學生思考「計分系統」隱含的風險在於誘使機關以「總分過關」的心態規避實質審查,而定位系統的價值在於強迫使用者具體回答「哪裡」而非僅回答「多少」。</w:t>
      </w:r>
    </w:p>
    <w:p>
      <w:pPr>
        <w:spacing w:after="200" w:line="360"/>
        <w:ind w:firstLine="431"/>
        <w:jc w:val="both"/>
      </w:pPr>
      <w:r>
        <w:rPr>
          <w:rFonts w:ascii="微軟正黑體" w:cs="微軟正黑體" w:eastAsia="微軟正黑體" w:hAnsi="微軟正黑體"/>
          <w:sz w:val="22"/>
          <w:szCs w:val="22"/>
        </w:rPr>
        <w:t xml:space="preserve">問題二指引:可引導學生聚焦P2之「人類覆寫率」——若覆寫僅是形式簽核,數字再高也無實質意義,須搭配「覆寫理由書面化程度」交叉檢視。</w:t>
      </w:r>
    </w:p>
    <w:p>
      <w:pPr>
        <w:spacing w:after="200" w:line="360"/>
        <w:ind w:firstLine="431"/>
        <w:jc w:val="both"/>
      </w:pPr>
      <w:r>
        <w:rPr>
          <w:rFonts w:ascii="微軟正黑體" w:cs="微軟正黑體" w:eastAsia="微軟正黑體" w:hAnsi="微軟正黑體"/>
          <w:sz w:val="22"/>
          <w:szCs w:val="22"/>
        </w:rPr>
        <w:t xml:space="preserve">問題三指引:可提示學生回顧本書案例中屬於技術快速演進類型的案例(如生成式AI相關章節),通常跨格移動速度較難預測。</w:t>
      </w:r>
    </w:p>
    <w:p>
      <w:pPr>
        <w:spacing w:after="200" w:line="360"/>
        <w:ind w:firstLine="431"/>
        <w:jc w:val="both"/>
      </w:pPr>
      <w:r>
        <w:rPr>
          <w:rFonts w:ascii="微軟正黑體" w:cs="微軟正黑體" w:eastAsia="微軟正黑體" w:hAnsi="微軟正黑體"/>
          <w:sz w:val="22"/>
          <w:szCs w:val="22"/>
        </w:rPr>
        <w:t xml:space="preserve">問題四指引:可強調情境建構鏈透明化只回答了「用了什麼資料」,並未回答「這些資料背後的判斷是否正當、責任是否清楚」,須與其餘三鏈合觀。</w:t>
      </w:r>
    </w:p>
    <w:p>
      <w:pPr>
        <w:spacing w:after="200" w:line="360"/>
        <w:ind w:firstLine="431"/>
        <w:jc w:val="both"/>
      </w:pPr>
      <w:r>
        <w:rPr>
          <w:rFonts w:ascii="微軟正黑體" w:cs="微軟正黑體" w:eastAsia="微軟正黑體" w:hAnsi="微軟正黑體"/>
          <w:sz w:val="22"/>
          <w:szCs w:val="22"/>
        </w:rPr>
        <w:t xml:space="preserve">問題五指引:可要求學生具體說明裁量日誌回應理由鏈、權利影響評估回應責任鏈、外部救濟管道地圖回應權威鏈與責任鏈之交集,三者分工互補而非疊床架屋。</w:t>
      </w:r>
    </w:p>
    <w:p>
      <w:pPr>
        <w:spacing w:after="180" w:before="360"/>
      </w:pPr>
      <w:r>
        <w:rPr>
          <w:rFonts w:ascii="微軟正黑體" w:cs="微軟正黑體" w:eastAsia="微軟正黑體" w:hAnsi="微軟正黑體"/>
          <w:b/>
          <w:bCs/>
          <w:color w:val="1F4E79"/>
          <w:sz w:val="26"/>
          <w:szCs w:val="26"/>
        </w:rPr>
        <w:t xml:space="preserve">延伸閱讀與參考文獻</w:t>
      </w:r>
    </w:p>
    <w:p>
      <w:pPr>
        <w:spacing w:after="240" w:line="340"/>
        <w:ind w:left="576" w:right="576"/>
      </w:pPr>
      <w:r>
        <w:rPr>
          <w:rFonts w:ascii="微軟正黑體" w:cs="微軟正黑體" w:eastAsia="微軟正黑體" w:hAnsi="微軟正黑體"/>
          <w:i/>
          <w:iCs/>
          <w:sz w:val="21"/>
          <w:szCs w:val="21"/>
        </w:rPr>
        <w:t xml:space="preserve">以下文獻資訊依編寫時之公開版本整理,部分機關文件與國際案例之最新進展,建議讀者於正式引用前逐筆查證最新版本。</w:t>
      </w:r>
    </w:p>
    <w:p>
      <w:pPr>
        <w:spacing w:after="200" w:line="360"/>
        <w:ind w:firstLine="431"/>
        <w:jc w:val="both"/>
      </w:pPr>
      <w:r>
        <w:rPr>
          <w:rFonts w:ascii="微軟正黑體" w:cs="微軟正黑體" w:eastAsia="微軟正黑體" w:hAnsi="微軟正黑體"/>
          <w:sz w:val="22"/>
          <w:szCs w:val="22"/>
        </w:rPr>
        <w:t xml:space="preserve">盧建旭(1995)。公共行政的分析層次。中國行政評論。(經典理論基礎)</w:t>
      </w:r>
    </w:p>
    <w:p>
      <w:pPr>
        <w:spacing w:after="200" w:line="360"/>
        <w:ind w:firstLine="431"/>
        <w:jc w:val="both"/>
      </w:pPr>
      <w:r>
        <w:rPr>
          <w:rFonts w:ascii="微軟正黑體" w:cs="微軟正黑體" w:eastAsia="微軟正黑體" w:hAnsi="微軟正黑體"/>
          <w:sz w:val="22"/>
          <w:szCs w:val="22"/>
        </w:rPr>
        <w:t xml:space="preserve">張潤書(2021)。行政學。台北:三民。</w:t>
      </w:r>
    </w:p>
    <w:p>
      <w:pPr>
        <w:spacing w:after="200" w:line="360"/>
        <w:ind w:firstLine="431"/>
        <w:jc w:val="both"/>
      </w:pPr>
      <w:r>
        <w:rPr>
          <w:rFonts w:ascii="微軟正黑體" w:cs="微軟正黑體" w:eastAsia="微軟正黑體" w:hAnsi="微軟正黑體"/>
          <w:sz w:val="22"/>
          <w:szCs w:val="22"/>
        </w:rPr>
        <w:t xml:space="preserve">數位發展部(2024)。行政院及所屬機關使用生成式AI參考指引。台北:數位發展部。</w:t>
      </w:r>
    </w:p>
    <w:p>
      <w:pPr>
        <w:spacing w:after="200" w:line="360"/>
        <w:ind w:firstLine="431"/>
        <w:jc w:val="both"/>
      </w:pPr>
      <w:r>
        <w:rPr>
          <w:rFonts w:ascii="微軟正黑體" w:cs="微軟正黑體" w:eastAsia="微軟正黑體" w:hAnsi="微軟正黑體"/>
          <w:sz w:val="22"/>
          <w:szCs w:val="22"/>
        </w:rPr>
        <w:t xml:space="preserve">立法院(2025)。人工智慧基本法三讀通過條文。台北:立法院。</w:t>
      </w:r>
    </w:p>
    <w:p>
      <w:pPr>
        <w:spacing w:after="200" w:line="360"/>
        <w:ind w:firstLine="431"/>
        <w:jc w:val="both"/>
      </w:pPr>
      <w:r>
        <w:rPr>
          <w:rFonts w:ascii="微軟正黑體" w:cs="微軟正黑體" w:eastAsia="微軟正黑體" w:hAnsi="微軟正黑體"/>
          <w:sz w:val="22"/>
          <w:szCs w:val="22"/>
        </w:rPr>
        <w:t xml:space="preserve">內政部戶政司(2024)。國民身分證領補換資料查驗作業說明。台北:內政部。</w:t>
      </w:r>
    </w:p>
    <w:p>
      <w:pPr>
        <w:spacing w:after="200" w:line="360"/>
        <w:ind w:firstLine="431"/>
        <w:jc w:val="both"/>
      </w:pPr>
      <w:r>
        <w:rPr>
          <w:rFonts w:ascii="微軟正黑體" w:cs="微軟正黑體" w:eastAsia="微軟正黑體" w:hAnsi="微軟正黑體"/>
          <w:sz w:val="22"/>
          <w:szCs w:val="22"/>
        </w:rPr>
        <w:t xml:space="preserve">Jun, J. S. (1986). Public Administration: Design and Problem Solving.</w:t>
      </w:r>
    </w:p>
    <w:p>
      <w:pPr>
        <w:spacing w:after="200" w:line="360"/>
        <w:ind w:firstLine="431"/>
        <w:jc w:val="both"/>
      </w:pPr>
      <w:r>
        <w:rPr>
          <w:rFonts w:ascii="微軟正黑體" w:cs="微軟正黑體" w:eastAsia="微軟正黑體" w:hAnsi="微軟正黑體"/>
          <w:sz w:val="22"/>
          <w:szCs w:val="22"/>
        </w:rPr>
        <w:t xml:space="preserve">Angwin, J., Larson, J., Mattu, S., &amp; Kirchner, L. (2016). Machine bias. ProPublica.</w:t>
      </w:r>
    </w:p>
    <w:p>
      <w:pPr>
        <w:spacing w:after="200" w:line="360"/>
        <w:ind w:firstLine="431"/>
        <w:jc w:val="both"/>
      </w:pPr>
      <w:r>
        <w:rPr>
          <w:rFonts w:ascii="微軟正黑體" w:cs="微軟正黑體" w:eastAsia="微軟正黑體" w:hAnsi="微軟正黑體"/>
          <w:sz w:val="22"/>
          <w:szCs w:val="22"/>
        </w:rPr>
        <w:t xml:space="preserve">Larson, J., Mattu, S., Kirchner, L., &amp; Angwin, J. (2016). How we analyzed the COMPAS recidivism algorithm. ProPublica.</w:t>
      </w:r>
    </w:p>
    <w:p>
      <w:pPr>
        <w:spacing w:after="200" w:line="360"/>
        <w:ind w:firstLine="431"/>
        <w:jc w:val="both"/>
      </w:pPr>
      <w:r>
        <w:rPr>
          <w:rFonts w:ascii="微軟正黑體" w:cs="微軟正黑體" w:eastAsia="微軟正黑體" w:hAnsi="微軟正黑體"/>
          <w:sz w:val="22"/>
          <w:szCs w:val="22"/>
        </w:rPr>
        <w:t xml:space="preserve">State v. Loomis, 881 N.W.2d 749 (Wis. 2016).</w:t>
      </w:r>
    </w:p>
    <w:p>
      <w:pPr>
        <w:spacing w:after="200" w:line="360"/>
        <w:ind w:firstLine="431"/>
        <w:jc w:val="both"/>
      </w:pPr>
      <w:r>
        <w:rPr>
          <w:rFonts w:ascii="微軟正黑體" w:cs="微軟正黑體" w:eastAsia="微軟正黑體" w:hAnsi="微軟正黑體"/>
          <w:sz w:val="22"/>
          <w:szCs w:val="22"/>
        </w:rPr>
        <w:t xml:space="preserve">Danaher, J. (2016). The threat of algocracy: Reality, resistance and accommodation. Philosophy &amp; Technology, 29(3), 245-268.</w:t>
      </w:r>
    </w:p>
    <w:p>
      <w:pPr>
        <w:spacing w:after="200" w:line="360"/>
        <w:ind w:firstLine="431"/>
        <w:jc w:val="both"/>
      </w:pPr>
      <w:r>
        <w:rPr>
          <w:rFonts w:ascii="微軟正黑體" w:cs="微軟正黑體" w:eastAsia="微軟正黑體" w:hAnsi="微軟正黑體"/>
          <w:sz w:val="22"/>
          <w:szCs w:val="22"/>
        </w:rPr>
        <w:t xml:space="preserve">Santoni de Sio, F., &amp; van den Hoven, J. (2018). Meaningful human control over autonomous systems. Frontiers in Robotics and AI, 5, Article 15.</w:t>
      </w:r>
    </w:p>
    <w:p>
      <w:pPr>
        <w:spacing w:after="200" w:line="360"/>
        <w:ind w:firstLine="431"/>
        <w:jc w:val="both"/>
      </w:pPr>
      <w:r>
        <w:rPr>
          <w:rFonts w:ascii="微軟正黑體" w:cs="微軟正黑體" w:eastAsia="微軟正黑體" w:hAnsi="微軟正黑體"/>
          <w:sz w:val="22"/>
          <w:szCs w:val="22"/>
        </w:rPr>
        <w:t>Coglianese, C., &amp; Lehr, D. (2017). Regulating by robot: Administrative decision making in the machine-learning era. Georgetown Law Journal, 105, 1147-1224.</w:t>
      </w:r>
    </w:p>
    <w:p>
      <w:pPr>
        <w:spacing w:after="200" w:line="360"/>
        <w:ind w:firstLine="431"/>
        <w:jc w:val="both"/>
      </w:pPr>
      <w:r>
        <w:rPr>
          <w:rFonts w:ascii="微軟正黑體" w:cs="微軟正黑體" w:eastAsia="微軟正黑體" w:hAnsi="微軟正黑體"/>
          <w:sz w:val="22"/>
          <w:szCs w:val="22"/>
        </w:rPr>
        <w:t xml:space="preserve">Busuioc, M. (2021). Accountable artificial intelligence: Holding algorithms to account. Public Administration Review, 81(5), 825-836.</w:t>
      </w:r>
    </w:p>
    <w:p>
      <w:pPr>
        <w:spacing w:after="200" w:line="360"/>
        <w:ind w:firstLine="431"/>
        <w:jc w:val="both"/>
      </w:pPr>
      <w:r>
        <w:rPr>
          <w:rFonts w:ascii="微軟正黑體" w:cs="微軟正黑體" w:eastAsia="微軟正黑體" w:hAnsi="微軟正黑體"/>
          <w:sz w:val="22"/>
          <w:szCs w:val="22"/>
        </w:rPr>
        <w:t xml:space="preserve">Barocas, S., &amp; Selbst, A. D. (2016). Big data's disparate impact. California Law Review, 104(3), 671-732.</w:t>
      </w:r>
    </w:p>
    <w:p>
      <w:pPr>
        <w:spacing w:after="200" w:line="360"/>
        <w:ind w:firstLine="431"/>
        <w:jc w:val="both"/>
      </w:pPr>
      <w:r>
        <w:rPr>
          <w:rFonts w:ascii="微軟正黑體" w:cs="微軟正黑體" w:eastAsia="微軟正黑體" w:hAnsi="微軟正黑體"/>
          <w:sz w:val="22"/>
          <w:szCs w:val="22"/>
        </w:rPr>
        <w:t xml:space="preserve">National Institute of Standards and Technology (2023). Artificial Intelligence Risk Management Framework (AI RMF 1.0). NIST AI 100-1.</w:t>
      </w:r>
    </w:p>
    <w:p>
      <w:pPr>
        <w:spacing w:after="200" w:line="360"/>
        <w:ind w:firstLine="431"/>
        <w:jc w:val="both"/>
      </w:pPr>
      <w:r>
        <w:rPr>
          <w:rFonts w:ascii="微軟正黑體" w:cs="微軟正黑體" w:eastAsia="微軟正黑體" w:hAnsi="微軟正黑體"/>
          <w:sz w:val="22"/>
          <w:szCs w:val="22"/>
        </w:rPr>
        <w:t xml:space="preserve">Regulation (EU) 2024/1689 laying down harmonised rules on artificial intelligence (Artificial Intelligence Act).</w:t>
      </w:r>
    </w:p>
    <w:p>
      <w:pPr>
        <w:spacing w:after="200" w:line="360"/>
        <w:ind w:firstLine="431"/>
        <w:jc w:val="both"/>
      </w:pPr>
      <w:r>
        <w:rPr>
          <w:rFonts w:ascii="微軟正黑體" w:cs="微軟正黑體" w:eastAsia="微軟正黑體" w:hAnsi="微軟正黑體"/>
          <w:sz w:val="22"/>
          <w:szCs w:val="22"/>
        </w:rPr>
        <w:t xml:space="preserve">OECD (2019). Recommendation of the Council on Artificial Intelligence (OECD/LEGAL/0449).</w:t>
      </w:r>
    </w:p>
    <w:p>
      <w:pPr/>
      <w:r>
        <w:rPr>
          <w:rFonts w:ascii="微軟正黑體" w:hAnsi="微軟正黑體" w:eastAsia="微軟正黑體" w:cs="微軟正黑體"/>
          <w:sz w:val="22"/>
        </w:rPr>
        <w:t>Bovens, M., &amp; Zouridis, S. (2002). From street-level to system-level bureaucracies. Public Administration Review, 62(2), 174-184.</w:t>
      </w:r>
    </w:p>
    <w:p>
      <w:pPr>
        <w:spacing w:after="200"/>
      </w:pP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9026"/>
      </w:tblGrid>
      <w:tr>
        <w:tc>
          <w:tcPr>
            <w:tcW w:type="dxa" w:w="9026"/>
            <w:tcBorders>
              <w:top w:val="single" w:color="DCE6F5" w:sz="2"/>
              <w:left w:val="single" w:color="1F4E79" w:sz="24"/>
              <w:bottom w:val="single" w:color="DCE6F5" w:sz="2"/>
              <w:right w:val="single" w:color="DCE6F5" w:sz="2"/>
            </w:tcBorders>
            <w:shd w:fill="DCE6F5" w:val="clear"/>
            <w:tcMar>
              <w:top w:type="dxa" w:w="160"/>
              <w:left w:type="dxa" w:w="220"/>
              <w:bottom w:type="dxa" w:w="160"/>
              <w:right w:type="dxa" w:w="220"/>
            </w:tcMar>
          </w:tcPr>
          <w:p>
            <w:pPr>
              <w:spacing w:after="100"/>
            </w:pPr>
            <w:r>
              <w:rPr>
                <w:rFonts w:ascii="微軟正黑體" w:cs="微軟正黑體" w:eastAsia="微軟正黑體" w:hAnsi="微軟正黑體"/>
                <w:b/>
                <w:bCs/>
                <w:color w:val="1F4E79"/>
                <w:sz w:val="22"/>
                <w:szCs w:val="22"/>
              </w:rPr>
              <w:t xml:space="preserve">前瞻:通往第二十六章「四條治理鏈方法論深化:以健保AI審查為例」</w:t>
            </w:r>
          </w:p>
          <w:p>
            <w:pPr>
              <w:spacing w:line="340"/>
              <w:jc w:val="both"/>
            </w:pPr>
            <w:r>
              <w:rPr>
                <w:rFonts w:ascii="微軟正黑體" w:cs="微軟正黑體" w:eastAsia="微軟正黑體" w:hAnsi="微軟正黑體"/>
                <w:sz w:val="21"/>
                <w:szCs w:val="21"/>
              </w:rPr>
              <w:t xml:space="preserve">本章建立了25座標、三種權力移轉與其操作化指標的方法論基礎。下一章「四條治理鏈方法論深化」將聚焦本章四條治理鏈中的一條進行縱深挖掘,以我國全民健康保險AI輔助審查作為貫穿案例,示範如何將情境建構鏈、權威鏈、理由鏈、責任鏈四鏈逐一操作化為可稽核的具體證據鏈——若本章回答的是「這把尺要怎麼做」,下一章要回答的正是「用這把尺量一個真實案例,量出來的結果經得起檢驗嗎」。</w:t>
            </w:r>
          </w:p>
        </w:tc>
      </w:tr>
    </w:tbl>
    <w:sectPr>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8" w:hanging="288"/>
      </w:pPr>
    </w:lvl>
    <w:lvl w:ilvl="1" w15:tentative="1">
      <w:start w:val="1"/>
      <w:numFmt w:val="bullet"/>
      <w:lvlText w:val="◦"/>
      <w:lvlJc w:val="left"/>
      <w:pPr>
        <w:ind w:left="1080"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微軟正黑體" w:cs="微軟正黑體" w:eastAsia="微軟正黑體" w:hAnsi="微軟正黑體"/>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ntTable" Target="fontTable.xml"/><Relationship Id="rId6"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2026-08-31T11:27:44.105Z</dcterms:created>
  <dcterms:modified xsi:type="dcterms:W3CDTF">2026-08-31T11:27:44.105Z</dcterms:modified>
</cp:coreProperties>
</file>

<file path=docProps/custom.xml><?xml version="1.0" encoding="utf-8"?>
<Properties xmlns="http://schemas.openxmlformats.org/officeDocument/2006/custom-properties" xmlns:vt="http://schemas.openxmlformats.org/officeDocument/2006/docPropsVTypes"/>
</file>