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4"/>
          <w:szCs w:val="44"/>
        </w:rPr>
        <w:t>行政學教科書</w:t>
      </w:r>
    </w:p>
    <w:p>
      <w:pPr>
        <w:spacing w:after="60"/>
        <w:jc w:val="center"/>
      </w:pPr>
      <w:r>
        <w:rPr>
          <w:rFonts w:ascii="微軟正黑體" w:cs="微軟正黑體" w:eastAsia="微軟正黑體" w:hAnsi="微軟正黑體"/>
          <w:b/>
          <w:bCs/>
          <w:color w:val="444444"/>
          <w:sz w:val="30"/>
          <w:szCs w:val="30"/>
        </w:rPr>
        <w:t xml:space="preserve">第二十三章　財務管理與績效管理</w:t>
      </w:r>
    </w:p>
    <w:p>
      <w:pPr>
        <w:spacing w:after="400"/>
        <w:jc w:val="center"/>
      </w:pPr>
      <w:r>
        <w:rPr>
          <w:rFonts w:ascii="微軟正黑體" w:cs="微軟正黑體" w:eastAsia="微軟正黑體" w:hAnsi="微軟正黑體"/>
          <w:i/>
          <w:iCs/>
          <w:color w:val="777777"/>
          <w:sz w:val="22"/>
          <w:szCs w:val="22"/>
        </w:rPr>
        <w:t xml:space="preserve">——預算循環、公共資源治理與績效課責的人機共構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本章在25座標的位置</w:t>
            </w:r>
          </w:p>
          <w:p>
            <w:pPr>
              <w:spacing w:line="340"/>
              <w:jc w:val="both"/>
            </w:pPr>
            <w:r>
              <w:rPr>
                <w:rFonts w:ascii="微軟正黑體" w:cs="微軟正黑體" w:eastAsia="微軟正黑體" w:hAnsi="微軟正黑體"/>
                <w:sz w:val="21"/>
                <w:szCs w:val="21"/>
              </w:rPr>
              <w:t xml:space="preserve">本章合併官方版第19章「財務管理」與「績效管理」,定位於第五層「管理運作」×「機關」單位,涵蓋管理運作七大構面中的財務管理與績效論兩項機能。財務管理處理「資源從何而來、如何配置」,績效管理處理「資源轉化為何種公共價值、如何被證成」,二者共同構成公共資源治理的一體兩面——沒有可信的財務基礎,績效目標無所憑藉;沒有績效證成,財務配置便失去正當性依據。本章主要對應理由說明審計與隱私資安審計——AI輔助預算與績效判斷之依據能否連回可理解之事實與規範,防止黑箱扭曲資源配置與績效定義。</w:t>
            </w:r>
          </w:p>
        </w:tc>
      </w:tr>
    </w:tbl>
    <w:p>
      <w:pPr>
        <w:spacing w:after="200"/>
      </w:pPr>
    </w:p>
    <w:p>
      <w:pPr>
        <w:spacing w:after="180" w:before="360"/>
      </w:pPr>
      <w:r>
        <w:rPr>
          <w:rFonts w:ascii="微軟正黑體" w:cs="微軟正黑體" w:eastAsia="微軟正黑體" w:hAnsi="微軟正黑體"/>
          <w:b/>
          <w:bCs/>
          <w:color w:val="1F4E79"/>
          <w:sz w:val="26"/>
          <w:szCs w:val="26"/>
        </w:rPr>
        <w:t xml:space="preserve">學習目標</w:t>
      </w:r>
    </w:p>
    <w:p>
      <w:pPr>
        <w:pStyle w:val="ListParagraph"/>
        <w:numPr>
          <w:ilvl w:val="0"/>
          <w:numId w:val="2"/>
        </w:numPr>
        <w:spacing w:after="120" w:line="340"/>
      </w:pPr>
      <w:r>
        <w:rPr>
          <w:rFonts w:ascii="微軟正黑體" w:cs="微軟正黑體" w:eastAsia="微軟正黑體" w:hAnsi="微軟正黑體"/>
          <w:sz w:val="22"/>
          <w:szCs w:val="22"/>
        </w:rPr>
        <w:t xml:space="preserve">能理解財務行政的定義、特性、目的與四大制度,掌握預算原則與週期。</w:t>
      </w:r>
    </w:p>
    <w:p>
      <w:pPr>
        <w:pStyle w:val="ListParagraph"/>
        <w:numPr>
          <w:ilvl w:val="0"/>
          <w:numId w:val="2"/>
        </w:numPr>
        <w:spacing w:after="120" w:line="340"/>
      </w:pPr>
      <w:r>
        <w:rPr>
          <w:rFonts w:ascii="微軟正黑體" w:cs="微軟正黑體" w:eastAsia="微軟正黑體" w:hAnsi="微軟正黑體"/>
          <w:sz w:val="22"/>
          <w:szCs w:val="22"/>
        </w:rPr>
        <w:t xml:space="preserve">能說明政府收入與支出之分類及功能,並辨析預算制度七次演進之價值轉移。</w:t>
      </w:r>
    </w:p>
    <w:p>
      <w:pPr>
        <w:pStyle w:val="ListParagraph"/>
        <w:numPr>
          <w:ilvl w:val="0"/>
          <w:numId w:val="2"/>
        </w:numPr>
        <w:spacing w:after="120" w:line="340"/>
      </w:pPr>
      <w:r>
        <w:rPr>
          <w:rFonts w:ascii="微軟正黑體" w:cs="微軟正黑體" w:eastAsia="微軟正黑體" w:hAnsi="微軟正黑體"/>
          <w:sz w:val="22"/>
          <w:szCs w:val="22"/>
        </w:rPr>
        <w:t xml:space="preserve">能理解績效、績效管理之定義與3E+Q內涵,掌握SMART原則與績效指標之衡量陷阱。</w:t>
      </w:r>
    </w:p>
    <w:p>
      <w:pPr>
        <w:pStyle w:val="ListParagraph"/>
        <w:numPr>
          <w:ilvl w:val="0"/>
          <w:numId w:val="2"/>
        </w:numPr>
        <w:spacing w:after="120" w:line="340"/>
      </w:pPr>
      <w:r>
        <w:rPr>
          <w:rFonts w:ascii="微軟正黑體" w:cs="微軟正黑體" w:eastAsia="微軟正黑體" w:hAnsi="微軟正黑體"/>
          <w:sz w:val="22"/>
          <w:szCs w:val="22"/>
        </w:rPr>
        <w:t xml:space="preserve">能運用MBO、平衡計分卡、OKR、360度回饋等工具分析公部門績效管理實務。</w:t>
      </w:r>
    </w:p>
    <w:p>
      <w:pPr>
        <w:pStyle w:val="ListParagraph"/>
        <w:numPr>
          <w:ilvl w:val="0"/>
          <w:numId w:val="2"/>
        </w:numPr>
        <w:spacing w:after="120" w:line="340"/>
      </w:pPr>
      <w:r>
        <w:rPr>
          <w:rFonts w:ascii="微軟正黑體" w:cs="微軟正黑體" w:eastAsia="微軟正黑體" w:hAnsi="微軟正黑體"/>
          <w:sz w:val="22"/>
          <w:szCs w:val="22"/>
        </w:rPr>
        <w:t xml:space="preserve">能探討AI時代財務治理典範轉移——演算法預算、AI審計與主權算力成本治理。</w:t>
      </w:r>
    </w:p>
    <w:p>
      <w:pPr>
        <w:pStyle w:val="ListParagraph"/>
        <w:numPr>
          <w:ilvl w:val="0"/>
          <w:numId w:val="2"/>
        </w:numPr>
        <w:spacing w:after="120" w:line="340"/>
      </w:pPr>
      <w:r>
        <w:rPr>
          <w:rFonts w:ascii="微軟正黑體" w:cs="微軟正黑體" w:eastAsia="微軟正黑體" w:hAnsi="微軟正黑體"/>
          <w:sz w:val="22"/>
          <w:szCs w:val="22"/>
        </w:rPr>
        <w:t xml:space="preserve">能運用Busuioc演算法課責四要件,評估AI增強績效衡量之公平性與正當程序風險。</w:t>
      </w:r>
    </w:p>
    <w:p>
      <w:pPr>
        <w:pStyle w:val="ListParagraph"/>
        <w:numPr>
          <w:ilvl w:val="0"/>
          <w:numId w:val="2"/>
        </w:numPr>
        <w:spacing w:after="120" w:line="340"/>
      </w:pPr>
      <w:r>
        <w:rPr>
          <w:rFonts w:ascii="微軟正黑體" w:cs="微軟正黑體" w:eastAsia="微軟正黑體" w:hAnsi="微軟正黑體"/>
          <w:sz w:val="22"/>
          <w:szCs w:val="22"/>
        </w:rPr>
        <w:t xml:space="preserve">能整合財務與績效兩條治理鏈,以四鏈七審框架分析公共資源全生命週期之課責機制。</w:t>
      </w:r>
    </w:p>
    <w:p>
      <w:pPr>
        <w:spacing w:after="180" w:before="360"/>
      </w:pPr>
      <w:r>
        <w:rPr>
          <w:rFonts w:ascii="微軟正黑體" w:cs="微軟正黑體" w:eastAsia="微軟正黑體" w:hAnsi="微軟正黑體"/>
          <w:b/>
          <w:bCs/>
          <w:color w:val="1F4E79"/>
          <w:sz w:val="26"/>
          <w:szCs w:val="26"/>
        </w:rPr>
        <w:t xml:space="preserve">開場與定位</w:t>
      </w:r>
    </w:p>
    <w:p>
      <w:pPr>
        <w:spacing w:after="240" w:line="340"/>
        <w:ind w:left="576" w:right="576"/>
      </w:pPr>
      <w:r>
        <w:rPr>
          <w:rFonts w:ascii="微軟正黑體" w:cs="微軟正黑體" w:eastAsia="微軟正黑體" w:hAnsi="微軟正黑體"/>
          <w:i/>
          <w:iCs/>
          <w:sz w:val="21"/>
          <w:szCs w:val="21"/>
        </w:rPr>
        <w:t xml:space="preserve">「倉廩實而知禮節,衣食足而知榮辱。」——《管子·牧民》</w:t>
      </w:r>
    </w:p>
    <w:p>
      <w:pPr>
        <w:spacing w:after="200" w:line="360"/>
        <w:ind w:firstLine="431"/>
        <w:jc w:val="both"/>
      </w:pPr>
      <w:r>
        <w:rPr>
          <w:rFonts w:ascii="微軟正黑體" w:cs="微軟正黑體" w:eastAsia="微軟正黑體" w:hAnsi="微軟正黑體"/>
          <w:sz w:val="22"/>
          <w:szCs w:val="22"/>
        </w:rPr>
        <w:t xml:space="preserve">承第二十二章「人事管理」確立了「以何種人力資本去帶領」之後,本章追問下兩個緊密相扣的問題:這些人可以動用多少資源?這些資源又轉化出什麼樣的公共價值?管仲兩千七百年前的洞見已點出核心邏輯——財政充盈是治理的物質基礎,但充盈本身不是目的,充盈之後治理者是否還記得為何充盈,才是真正的考驗。</w:t>
      </w:r>
    </w:p>
    <w:p>
      <w:pPr>
        <w:spacing w:after="200" w:line="360"/>
        <w:ind w:firstLine="431"/>
        <w:jc w:val="both"/>
      </w:pPr>
      <w:r>
        <w:rPr>
          <w:rFonts w:ascii="微軟正黑體" w:cs="微軟正黑體" w:eastAsia="微軟正黑體" w:hAnsi="微軟正黑體"/>
          <w:sz w:val="22"/>
          <w:szCs w:val="22"/>
        </w:rPr>
        <w:t xml:space="preserve">本章因此合併討論兩個官方版原本分立、卻始終互為表裡的管理運作機能:財務管理回答「錢從哪裡來、如何被配置」,績效管理回答「這些錢創造了什麼、如何被誠實證成」。從預算籌編到決算審計,從績效指標設計到演算法課責,本章將依序建立財務與績效的傳統理論骨幹,再以AI治理專節說明:當演算法開始預測稅收、推薦優先支出、評分機關績效,「量入為出」與「用最少資源創造最大公共價值」這兩項古老誡命,是否依然能被誠實地看見與問責?</w:t>
      </w:r>
    </w:p>
    <w:p>
      <w:pPr>
        <w:spacing w:after="180" w:before="360"/>
      </w:pPr>
      <w:r>
        <w:rPr>
          <w:rFonts w:ascii="微軟正黑體" w:cs="微軟正黑體" w:eastAsia="微軟正黑體" w:hAnsi="微軟正黑體"/>
          <w:b/>
          <w:bCs/>
          <w:color w:val="1F4E79"/>
          <w:sz w:val="26"/>
          <w:szCs w:val="26"/>
        </w:rPr>
        <w:t xml:space="preserve">本章概念架構</w:t>
      </w:r>
    </w:p>
    <w:p>
      <w:pPr>
        <w:spacing w:after="200" w:line="360"/>
        <w:ind w:firstLine="431"/>
        <w:jc w:val="both"/>
      </w:pPr>
      <w:r>
        <w:rPr>
          <w:rFonts w:ascii="微軟正黑體" w:cs="微軟正黑體" w:eastAsia="微軟正黑體" w:hAnsi="微軟正黑體"/>
          <w:sz w:val="22"/>
          <w:szCs w:val="22"/>
        </w:rPr>
        <w:t xml:space="preserve">本章可分為三個相互銜接的分析層次:</w:t>
      </w:r>
    </w:p>
    <w:p>
      <w:pPr>
        <w:pStyle w:val="ListParagraph"/>
        <w:numPr>
          <w:ilvl w:val="0"/>
          <w:numId w:val="2"/>
        </w:numPr>
        <w:spacing w:after="120" w:line="340"/>
      </w:pPr>
      <w:r>
        <w:rPr>
          <w:rFonts w:ascii="微軟正黑體" w:cs="微軟正黑體" w:eastAsia="微軟正黑體" w:hAnsi="微軟正黑體"/>
          <w:sz w:val="22"/>
          <w:szCs w:val="22"/>
        </w:rPr>
        <w:t xml:space="preserve">財務管理骨幹:財務行政基本意涵、政府收入與支出、預算本質與原則、預算制度演進、預算週期(籌編、審議、執行、決算審計)。</w:t>
      </w:r>
    </w:p>
    <w:p>
      <w:pPr>
        <w:pStyle w:val="ListParagraph"/>
        <w:numPr>
          <w:ilvl w:val="0"/>
          <w:numId w:val="2"/>
        </w:numPr>
        <w:spacing w:after="120" w:line="340"/>
      </w:pPr>
      <w:r>
        <w:rPr>
          <w:rFonts w:ascii="微軟正黑體" w:cs="微軟正黑體" w:eastAsia="微軟正黑體" w:hAnsi="微軟正黑體"/>
          <w:sz w:val="22"/>
          <w:szCs w:val="22"/>
        </w:rPr>
        <w:t xml:space="preserve">績效管理骨幹:績效意涵與3E+Q、績效指標與SMART原則、績效管理工具(MBO、平衡計分卡、OKR、360度回饋)、績效管理流程與挑戰。</w:t>
      </w:r>
    </w:p>
    <w:p>
      <w:pPr>
        <w:pStyle w:val="ListParagraph"/>
        <w:numPr>
          <w:ilvl w:val="0"/>
          <w:numId w:val="2"/>
        </w:numPr>
        <w:spacing w:after="120" w:line="340"/>
      </w:pPr>
      <w:r>
        <w:rPr>
          <w:rFonts w:ascii="微軟正黑體" w:cs="微軟正黑體" w:eastAsia="微軟正黑體" w:hAnsi="微軟正黑體"/>
          <w:sz w:val="22"/>
          <w:szCs w:val="22"/>
        </w:rPr>
        <w:t xml:space="preserve">AI時代雙軌治理:財務面的演算法預算、AI審計、主權算力成本治理;績效面的AI增強績效衡量與Busuioc演算法課責四要件;二者於AI治理專節匯流為統一的課責框架。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本章分析流程</w:t>
            </w:r>
          </w:p>
          <w:p>
            <w:pPr>
              <w:spacing w:line="340"/>
              <w:jc w:val="both"/>
            </w:pPr>
            <w:r>
              <w:rPr>
                <w:rFonts w:ascii="微軟正黑體" w:cs="微軟正黑體" w:eastAsia="微軟正黑體" w:hAnsi="微軟正黑體"/>
                <w:sz w:val="21"/>
                <w:szCs w:val="21"/>
              </w:rPr>
              <w:t xml:space="preserve">財務行政意涵與制度基礎　→　政府收支與預算原則　→　預算制度演進與週期　→　AI時代財務治理新典範　→　績效管理意涵與3E+Q　→　績效指標與SMART　→　績效管理工具與流程　→　AI增強績效衡量與Busuioc四要件　→　AI治理專節:雙軌演算法課責　→　銜接第二十四章數位政府與行政溝通、衝突及危機管理</w:t>
            </w:r>
          </w:p>
        </w:tc>
      </w:tr>
    </w:tbl>
    <w:p>
      <w:pPr>
        <w:spacing w:after="200" w:line="360"/>
        <w:ind w:firstLine="431"/>
        <w:jc w:val="both"/>
      </w:pPr>
      <w:r>
        <w:rPr>
          <w:rFonts w:ascii="微軟正黑體" w:cs="微軟正黑體" w:eastAsia="微軟正黑體" w:hAnsi="微軟正黑體"/>
          <w:sz w:val="22"/>
          <w:szCs w:val="22"/>
        </w:rPr>
        <w:t xml:space="preserve">這個架構顯示,財務與績效雖分屬不同的制度傳統,卻在「課責」這一點上早已交會:預算審計原本就從財務合規審計擴及績效審計,而績效管理的資源配置功能,本就依賴財務資訊。本章將兩者合而觀之,正是要凸顯:AI時代真正的治理挑戰,不是財務或績效各自的技術升級,而是二者能否共構成一套誠實、可問責的公共資源治理迴路。</w:t>
      </w:r>
    </w:p>
    <w:p>
      <w:pPr>
        <w:spacing w:after="200" w:before="400"/>
      </w:pPr>
      <w:r>
        <w:rPr>
          <w:rFonts w:ascii="微軟正黑體" w:cs="微軟正黑體" w:eastAsia="微軟正黑體" w:hAnsi="微軟正黑體"/>
          <w:b/>
          <w:bCs/>
          <w:sz w:val="32"/>
          <w:szCs w:val="32"/>
        </w:rPr>
        <w:t xml:space="preserve">第一部分　財務管理:資源從何而來、如何配置</w:t>
      </w:r>
    </w:p>
    <w:p>
      <w:pPr>
        <w:spacing w:after="180" w:before="360"/>
      </w:pPr>
      <w:r>
        <w:rPr>
          <w:rFonts w:ascii="微軟正黑體" w:cs="微軟正黑體" w:eastAsia="微軟正黑體" w:hAnsi="微軟正黑體"/>
          <w:b/>
          <w:bCs/>
          <w:color w:val="1F4E79"/>
          <w:sz w:val="26"/>
          <w:szCs w:val="26"/>
        </w:rPr>
        <w:t xml:space="preserve">第一節　財務行政的意義、特性與目的</w:t>
      </w:r>
    </w:p>
    <w:p>
      <w:pPr>
        <w:spacing w:after="140" w:before="260"/>
      </w:pPr>
      <w:r>
        <w:rPr>
          <w:rFonts w:ascii="微軟正黑體" w:cs="微軟正黑體" w:eastAsia="微軟正黑體" w:hAnsi="微軟正黑體"/>
          <w:b/>
          <w:bCs/>
          <w:color w:val="2E5C8A"/>
          <w:sz w:val="23"/>
          <w:szCs w:val="23"/>
        </w:rPr>
        <w:t xml:space="preserve">一、財務行政的定義</w:t>
      </w:r>
    </w:p>
    <w:p>
      <w:pPr>
        <w:spacing w:after="200" w:line="360"/>
        <w:ind w:firstLine="431"/>
        <w:jc w:val="both"/>
      </w:pPr>
      <w:r>
        <w:rPr>
          <w:rFonts w:ascii="微軟正黑體" w:cs="微軟正黑體" w:eastAsia="微軟正黑體" w:hAnsi="微軟正黑體"/>
          <w:sz w:val="22"/>
          <w:szCs w:val="22"/>
        </w:rPr>
        <w:t xml:space="preserve">張潤書教授將財務行政定義為「政府對其財務收入與支出所做的一套有系統的管理制度」。財政學一般涵蓋公共收入、公共支出、公債與財務行政四大板塊,其中財務行政聚焦於形式面——處理預算如何籌編、執行與監督,故又稱「形式財政學」,是行政學與財政學的交會地帶。</w:t>
      </w:r>
    </w:p>
    <w:p>
      <w:pPr>
        <w:spacing w:after="140" w:before="260"/>
      </w:pPr>
      <w:r>
        <w:rPr>
          <w:rFonts w:ascii="微軟正黑體" w:cs="微軟正黑體" w:eastAsia="微軟正黑體" w:hAnsi="微軟正黑體"/>
          <w:b/>
          <w:bCs/>
          <w:color w:val="2E5C8A"/>
          <w:sz w:val="23"/>
          <w:szCs w:val="23"/>
        </w:rPr>
        <w:t xml:space="preserve">二、財務行政的特性</w:t>
      </w:r>
    </w:p>
    <w:p>
      <w:pPr>
        <w:pStyle w:val="ListParagraph"/>
        <w:numPr>
          <w:ilvl w:val="0"/>
          <w:numId w:val="2"/>
        </w:numPr>
        <w:spacing w:after="120" w:line="340"/>
      </w:pPr>
      <w:r>
        <w:rPr>
          <w:rFonts w:ascii="微軟正黑體" w:cs="微軟正黑體" w:eastAsia="微軟正黑體" w:hAnsi="微軟正黑體"/>
          <w:sz w:val="22"/>
          <w:szCs w:val="22"/>
        </w:rPr>
        <w:t xml:space="preserve">基礎性:財政為庶政之母,政府一切政策皆須以預算為基礎,無預算即無行政。</w:t>
      </w:r>
    </w:p>
    <w:p>
      <w:pPr>
        <w:pStyle w:val="ListParagraph"/>
        <w:numPr>
          <w:ilvl w:val="0"/>
          <w:numId w:val="2"/>
        </w:numPr>
        <w:spacing w:after="120" w:line="340"/>
      </w:pPr>
      <w:r>
        <w:rPr>
          <w:rFonts w:ascii="微軟正黑體" w:cs="微軟正黑體" w:eastAsia="微軟正黑體" w:hAnsi="微軟正黑體"/>
          <w:sz w:val="22"/>
          <w:szCs w:val="22"/>
        </w:rPr>
        <w:t xml:space="preserve">連環性:財務行政以預算為樞紐,歷經預算、會計、決算、審計四階段,環環相扣,形成完整管理循環。</w:t>
      </w:r>
    </w:p>
    <w:p>
      <w:pPr>
        <w:pStyle w:val="ListParagraph"/>
        <w:numPr>
          <w:ilvl w:val="0"/>
          <w:numId w:val="2"/>
        </w:numPr>
        <w:spacing w:after="120" w:line="340"/>
      </w:pPr>
      <w:r>
        <w:rPr>
          <w:rFonts w:ascii="微軟正黑體" w:cs="微軟正黑體" w:eastAsia="微軟正黑體" w:hAnsi="微軟正黑體"/>
          <w:sz w:val="22"/>
          <w:szCs w:val="22"/>
        </w:rPr>
        <w:t xml:space="preserve">管制性:預算之編審本身即為立法對行政之控制,會計為執行紀錄,審計為事後課責,皆具控制機能。</w:t>
      </w:r>
    </w:p>
    <w:p>
      <w:pPr>
        <w:spacing w:after="140" w:before="260"/>
      </w:pPr>
      <w:r>
        <w:rPr>
          <w:rFonts w:ascii="微軟正黑體" w:cs="微軟正黑體" w:eastAsia="微軟正黑體" w:hAnsi="微軟正黑體"/>
          <w:b/>
          <w:bCs/>
          <w:color w:val="2E5C8A"/>
          <w:sz w:val="23"/>
          <w:szCs w:val="23"/>
        </w:rPr>
        <w:t xml:space="preserve">三、財務行政的目的與制度機關</w:t>
      </w:r>
    </w:p>
    <w:p>
      <w:pPr>
        <w:spacing w:after="200" w:line="360"/>
        <w:ind w:firstLine="431"/>
        <w:jc w:val="both"/>
      </w:pPr>
      <w:r>
        <w:rPr>
          <w:rFonts w:ascii="微軟正黑體" w:cs="微軟正黑體" w:eastAsia="微軟正黑體" w:hAnsi="微軟正黑體"/>
          <w:sz w:val="22"/>
          <w:szCs w:val="22"/>
        </w:rPr>
        <w:t xml:space="preserve">歸納張潤書教授見解,財務行政之目的有五:獲得財政收入、繁榮經濟發展、控制行政收支、提高行政效率、分配社會財富;現代觀點再增「促進財政永續與代間正義」一項,回應公債與氣候風險對後代負擔之關切。財務行政以預算為中心,傳統分為預算、收支(公庫)、會計、決算、審計五大制度,若依時序可併為預算、會計、決算、審計四大過程。我國財務行政四大機關分工為:行政院主計總處負責歲計、預算彙編、會計與決算彙編;財政部負責國庫行政;中央銀行受委託辦理國庫出納;監察院審計部負責財務監督與審計——四機關各司其職,構成我國財務課責的制度骨架。</w:t>
      </w:r>
    </w:p>
    <w:p>
      <w:r>
        <w:rPr>
          <w:b/>
          <w:sz w:val="22"/>
        </w:rPr>
        <w:t>概念圖23-A　公共財務與績效的一體兩面：從「錢」到「公共價值」</w:t>
      </w:r>
    </w:p>
    <w:tbl>
      <w:tblPr>
        <w:tblW w:type="auto" w:w="0"/>
        <w:jc w:val="center"/>
        <w:tblLook w:firstColumn="1" w:firstRow="1" w:lastColumn="0" w:lastRow="0" w:noHBand="0" w:noVBand="1" w:val="04A0"/>
      </w:tblPr>
      <w:tblGrid>
        <w:gridCol w:w="2256"/>
        <w:gridCol w:w="2256"/>
        <w:gridCol w:w="2256"/>
        <w:gridCol w:w="2256"/>
      </w:tblGrid>
      <w:tr>
        <w:tc>
          <w:tcPr>
            <w:tcW w:type="dxa" w:w="2256"/>
            <w:vAlign w:val="center"/>
            <w:shd w:fill="D9EAF7"/>
          </w:tcPr>
          <w:p>
            <w:r/>
            <w:r>
              <w:rPr>
                <w:b/>
                <w:sz w:val="17"/>
              </w:rPr>
              <w:t>治理節點</w:t>
            </w:r>
          </w:p>
        </w:tc>
        <w:tc>
          <w:tcPr>
            <w:tcW w:type="dxa" w:w="2256"/>
            <w:vAlign w:val="center"/>
            <w:shd w:fill="D9EAF7"/>
          </w:tcPr>
          <w:p>
            <w:r/>
            <w:r>
              <w:rPr>
                <w:b/>
                <w:sz w:val="17"/>
              </w:rPr>
              <w:t>核心問題</w:t>
            </w:r>
          </w:p>
        </w:tc>
        <w:tc>
          <w:tcPr>
            <w:tcW w:type="dxa" w:w="2256"/>
            <w:vAlign w:val="center"/>
            <w:shd w:fill="D9EAF7"/>
          </w:tcPr>
          <w:p>
            <w:r/>
            <w:r>
              <w:rPr>
                <w:b/>
                <w:sz w:val="17"/>
              </w:rPr>
              <w:t>主要工具／制度</w:t>
            </w:r>
          </w:p>
        </w:tc>
        <w:tc>
          <w:tcPr>
            <w:tcW w:type="dxa" w:w="2256"/>
            <w:vAlign w:val="center"/>
            <w:shd w:fill="D9EAF7"/>
          </w:tcPr>
          <w:p>
            <w:r/>
            <w:r>
              <w:rPr>
                <w:b/>
                <w:sz w:val="17"/>
              </w:rPr>
              <w:t>回饋</w:t>
            </w:r>
          </w:p>
        </w:tc>
      </w:tr>
      <w:tr>
        <w:tc>
          <w:tcPr>
            <w:tcW w:type="dxa" w:w="2256"/>
            <w:vAlign w:val="center"/>
          </w:tcPr>
          <w:p>
            <w:r/>
            <w:r>
              <w:rPr>
                <w:b w:val="0"/>
                <w:sz w:val="17"/>
              </w:rPr>
              <w:t>收入</w:t>
            </w:r>
          </w:p>
        </w:tc>
        <w:tc>
          <w:tcPr>
            <w:tcW w:type="dxa" w:w="2256"/>
            <w:vAlign w:val="center"/>
          </w:tcPr>
          <w:p>
            <w:r/>
            <w:r>
              <w:rPr>
                <w:b w:val="0"/>
                <w:sz w:val="17"/>
              </w:rPr>
              <w:t>錢從哪裡來？</w:t>
            </w:r>
          </w:p>
        </w:tc>
        <w:tc>
          <w:tcPr>
            <w:tcW w:type="dxa" w:w="2256"/>
            <w:vAlign w:val="center"/>
          </w:tcPr>
          <w:p>
            <w:r/>
            <w:r>
              <w:rPr>
                <w:b w:val="0"/>
                <w:sz w:val="17"/>
              </w:rPr>
              <w:t>租稅、非稅、移轉與其他收入</w:t>
            </w:r>
          </w:p>
        </w:tc>
        <w:tc>
          <w:tcPr>
            <w:tcW w:type="dxa" w:w="2256"/>
            <w:vAlign w:val="center"/>
          </w:tcPr>
          <w:p>
            <w:r/>
            <w:r>
              <w:rPr>
                <w:b w:val="0"/>
                <w:sz w:val="17"/>
              </w:rPr>
              <w:t>財政能力與公平</w:t>
            </w:r>
          </w:p>
        </w:tc>
      </w:tr>
      <w:tr>
        <w:tc>
          <w:tcPr>
            <w:tcW w:type="dxa" w:w="2256"/>
            <w:vAlign w:val="center"/>
          </w:tcPr>
          <w:p>
            <w:r/>
            <w:r>
              <w:rPr>
                <w:b w:val="0"/>
                <w:sz w:val="17"/>
              </w:rPr>
              <w:t>預算</w:t>
            </w:r>
          </w:p>
        </w:tc>
        <w:tc>
          <w:tcPr>
            <w:tcW w:type="dxa" w:w="2256"/>
            <w:vAlign w:val="center"/>
          </w:tcPr>
          <w:p>
            <w:r/>
            <w:r>
              <w:rPr>
                <w:b w:val="0"/>
                <w:sz w:val="17"/>
              </w:rPr>
              <w:t>錢要怎麼配置？</w:t>
            </w:r>
          </w:p>
        </w:tc>
        <w:tc>
          <w:tcPr>
            <w:tcW w:type="dxa" w:w="2256"/>
            <w:vAlign w:val="center"/>
          </w:tcPr>
          <w:p>
            <w:r/>
            <w:r>
              <w:rPr>
                <w:b w:val="0"/>
                <w:sz w:val="17"/>
              </w:rPr>
              <w:t>總額、部門、計畫與科目配置</w:t>
            </w:r>
          </w:p>
        </w:tc>
        <w:tc>
          <w:tcPr>
            <w:tcW w:type="dxa" w:w="2256"/>
            <w:vAlign w:val="center"/>
          </w:tcPr>
          <w:p>
            <w:r/>
            <w:r>
              <w:rPr>
                <w:b w:val="0"/>
                <w:sz w:val="17"/>
              </w:rPr>
              <w:t>政策優先序</w:t>
            </w:r>
          </w:p>
        </w:tc>
      </w:tr>
      <w:tr>
        <w:tc>
          <w:tcPr>
            <w:tcW w:type="dxa" w:w="2256"/>
            <w:vAlign w:val="center"/>
          </w:tcPr>
          <w:p>
            <w:r/>
            <w:r>
              <w:rPr>
                <w:b w:val="0"/>
                <w:sz w:val="17"/>
              </w:rPr>
              <w:t>執行</w:t>
            </w:r>
          </w:p>
        </w:tc>
        <w:tc>
          <w:tcPr>
            <w:tcW w:type="dxa" w:w="2256"/>
            <w:vAlign w:val="center"/>
          </w:tcPr>
          <w:p>
            <w:r/>
            <w:r>
              <w:rPr>
                <w:b w:val="0"/>
                <w:sz w:val="17"/>
              </w:rPr>
              <w:t>錢是否依法有效使用？</w:t>
            </w:r>
          </w:p>
        </w:tc>
        <w:tc>
          <w:tcPr>
            <w:tcW w:type="dxa" w:w="2256"/>
            <w:vAlign w:val="center"/>
          </w:tcPr>
          <w:p>
            <w:r/>
            <w:r>
              <w:rPr>
                <w:b w:val="0"/>
                <w:sz w:val="17"/>
              </w:rPr>
              <w:t>採購、支付、內控、會計</w:t>
            </w:r>
          </w:p>
        </w:tc>
        <w:tc>
          <w:tcPr>
            <w:tcW w:type="dxa" w:w="2256"/>
            <w:vAlign w:val="center"/>
          </w:tcPr>
          <w:p>
            <w:r/>
            <w:r>
              <w:rPr>
                <w:b w:val="0"/>
                <w:sz w:val="17"/>
              </w:rPr>
              <w:t>執行率與風險</w:t>
            </w:r>
          </w:p>
        </w:tc>
      </w:tr>
      <w:tr>
        <w:tc>
          <w:tcPr>
            <w:tcW w:type="dxa" w:w="2256"/>
            <w:vAlign w:val="center"/>
          </w:tcPr>
          <w:p>
            <w:r/>
            <w:r>
              <w:rPr>
                <w:b w:val="0"/>
                <w:sz w:val="17"/>
              </w:rPr>
              <w:t>產出／結果</w:t>
            </w:r>
          </w:p>
        </w:tc>
        <w:tc>
          <w:tcPr>
            <w:tcW w:type="dxa" w:w="2256"/>
            <w:vAlign w:val="center"/>
          </w:tcPr>
          <w:p>
            <w:r/>
            <w:r>
              <w:rPr>
                <w:b w:val="0"/>
                <w:sz w:val="17"/>
              </w:rPr>
              <w:t>花錢產生什麼？</w:t>
            </w:r>
          </w:p>
        </w:tc>
        <w:tc>
          <w:tcPr>
            <w:tcW w:type="dxa" w:w="2256"/>
            <w:vAlign w:val="center"/>
          </w:tcPr>
          <w:p>
            <w:r/>
            <w:r>
              <w:rPr>
                <w:b w:val="0"/>
                <w:sz w:val="17"/>
              </w:rPr>
              <w:t>3E＋Q、KPI、BSC、OKR</w:t>
            </w:r>
          </w:p>
        </w:tc>
        <w:tc>
          <w:tcPr>
            <w:tcW w:type="dxa" w:w="2256"/>
            <w:vAlign w:val="center"/>
          </w:tcPr>
          <w:p>
            <w:r/>
            <w:r>
              <w:rPr>
                <w:b w:val="0"/>
                <w:sz w:val="17"/>
              </w:rPr>
              <w:t>公共價值證成</w:t>
            </w:r>
          </w:p>
        </w:tc>
      </w:tr>
      <w:tr>
        <w:tc>
          <w:tcPr>
            <w:tcW w:type="dxa" w:w="2256"/>
            <w:vAlign w:val="center"/>
          </w:tcPr>
          <w:p>
            <w:r/>
            <w:r>
              <w:rPr>
                <w:b w:val="0"/>
                <w:sz w:val="17"/>
              </w:rPr>
              <w:t>審計／評估</w:t>
            </w:r>
          </w:p>
        </w:tc>
        <w:tc>
          <w:tcPr>
            <w:tcW w:type="dxa" w:w="2256"/>
            <w:vAlign w:val="center"/>
          </w:tcPr>
          <w:p>
            <w:r/>
            <w:r>
              <w:rPr>
                <w:b w:val="0"/>
                <w:sz w:val="17"/>
              </w:rPr>
              <w:t>是否值得繼續？</w:t>
            </w:r>
          </w:p>
        </w:tc>
        <w:tc>
          <w:tcPr>
            <w:tcW w:type="dxa" w:w="2256"/>
            <w:vAlign w:val="center"/>
          </w:tcPr>
          <w:p>
            <w:r/>
            <w:r>
              <w:rPr>
                <w:b w:val="0"/>
                <w:sz w:val="17"/>
              </w:rPr>
              <w:t>財務審計、績效審計、政策評估</w:t>
            </w:r>
          </w:p>
        </w:tc>
        <w:tc>
          <w:tcPr>
            <w:tcW w:type="dxa" w:w="2256"/>
            <w:vAlign w:val="center"/>
          </w:tcPr>
          <w:p>
            <w:r/>
            <w:r>
              <w:rPr>
                <w:b w:val="0"/>
                <w:sz w:val="17"/>
              </w:rPr>
              <w:t>修正預算與策略</w:t>
            </w:r>
          </w:p>
        </w:tc>
      </w:tr>
    </w:tbl>
    <w:p>
      <w:r>
        <w:rPr>
          <w:i/>
          <w:sz w:val="16"/>
        </w:rPr>
        <w:t>資料來源：《預算法》《決算法》；Musgrave (1959)；本章3E＋Q與績效管理架構。本圖為本書財務—績效整合模型。</w:t>
      </w:r>
    </w:p>
    <w:p>
      <w:pPr>
        <w:spacing w:after="180" w:before="360"/>
      </w:pPr>
      <w:r>
        <w:rPr>
          <w:rFonts w:ascii="微軟正黑體" w:cs="微軟正黑體" w:eastAsia="微軟正黑體" w:hAnsi="微軟正黑體"/>
          <w:b/>
          <w:bCs/>
          <w:color w:val="1F4E79"/>
          <w:sz w:val="26"/>
          <w:szCs w:val="26"/>
        </w:rPr>
        <w:t xml:space="preserve">第二節　政府財政收入與支出</w:t>
      </w:r>
    </w:p>
    <w:p>
      <w:pPr>
        <w:spacing w:after="140" w:before="260"/>
      </w:pPr>
      <w:r>
        <w:rPr>
          <w:rFonts w:ascii="微軟正黑體" w:cs="微軟正黑體" w:eastAsia="微軟正黑體" w:hAnsi="微軟正黑體"/>
          <w:b/>
          <w:bCs/>
          <w:color w:val="2E5C8A"/>
          <w:sz w:val="23"/>
          <w:szCs w:val="23"/>
        </w:rPr>
        <w:t xml:space="preserve">一、財政收入的類型</w:t>
      </w:r>
    </w:p>
    <w:p>
      <w:pPr>
        <w:spacing w:after="200" w:line="360"/>
        <w:ind w:firstLine="431"/>
        <w:jc w:val="both"/>
      </w:pPr>
      <w:r>
        <w:rPr>
          <w:rFonts w:ascii="微軟正黑體" w:cs="微軟正黑體" w:eastAsia="微軟正黑體" w:hAnsi="微軟正黑體"/>
          <w:sz w:val="22"/>
          <w:szCs w:val="22"/>
        </w:rPr>
        <w:t xml:space="preserve">政府收入可分強制性與非強制性,學理上之實質收入不含公債收入。賦稅收入依性質分為所得稅、消費稅與財產稅三類;所得稅課徵方式又可分累進稅制(所得級距愈高稅率愈高,具重分配效果)、齊頭稅制(單一固定稅率,強調效率)與累退稅制(依稅基占收入比例觀察,低所得者負擔比例反居於高,常見於獎勵投資之租稅優惠)三種。依財政收支劃分法,國稅由中央徵收支用,包括所得稅、遺產及贈與稅、營業稅、貨物稅、關稅等;地方稅則由地方政府徵收支用,包括地價稅、土地增值稅、房屋稅、使用牌照稅等。此外,行政規費體現受益者付費原則,如戶籍謄本、護照與考試報名費;營業盈餘及事業收入來自公營事業盈餘繳庫與公益彩券;公債收入應以具自償性之資本建設為限,避免債留子孫、違反代間正義;罰金罰鍰則屬偶發性收入。</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9"/>
        <w:gridCol w:w="2409"/>
        <w:gridCol w:w="2408"/>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收入類型</w:t>
            </w:r>
          </w:p>
        </w:tc>
        <w:tc>
          <w:tcPr>
            <w:tcW w:type="dxa" w:w="2409"/>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強制性</w:t>
            </w:r>
          </w:p>
        </w:tc>
        <w:tc>
          <w:tcPr>
            <w:tcW w:type="dxa" w:w="2409"/>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對價性</w:t>
            </w:r>
          </w:p>
        </w:tc>
        <w:tc>
          <w:tcPr>
            <w:tcW w:type="dxa" w:w="2408"/>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學理定位</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賦稅收入</w:t>
            </w:r>
          </w:p>
        </w:tc>
        <w:tc>
          <w:tcPr>
            <w:tcW w:type="dxa" w:w="2409"/>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強制</w:t>
            </w:r>
          </w:p>
        </w:tc>
        <w:tc>
          <w:tcPr>
            <w:tcW w:type="dxa" w:w="2409"/>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無對價</w:t>
            </w:r>
          </w:p>
        </w:tc>
        <w:tc>
          <w:tcPr>
            <w:tcW w:type="dxa" w:w="2408"/>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實質收入核心</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規費</w:t>
            </w:r>
          </w:p>
        </w:tc>
        <w:tc>
          <w:tcPr>
            <w:tcW w:type="dxa" w:w="2409"/>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半強制</w:t>
            </w:r>
          </w:p>
        </w:tc>
        <w:tc>
          <w:tcPr>
            <w:tcW w:type="dxa" w:w="2409"/>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具特定對價</w:t>
            </w:r>
          </w:p>
        </w:tc>
        <w:tc>
          <w:tcPr>
            <w:tcW w:type="dxa" w:w="2408"/>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受益者付費</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營業收入</w:t>
            </w:r>
          </w:p>
        </w:tc>
        <w:tc>
          <w:tcPr>
            <w:tcW w:type="dxa" w:w="2409"/>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非強制</w:t>
            </w:r>
          </w:p>
        </w:tc>
        <w:tc>
          <w:tcPr>
            <w:tcW w:type="dxa" w:w="2409"/>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具對價</w:t>
            </w:r>
          </w:p>
        </w:tc>
        <w:tc>
          <w:tcPr>
            <w:tcW w:type="dxa" w:w="2408"/>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市場性收入</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公債</w:t>
            </w:r>
          </w:p>
        </w:tc>
        <w:tc>
          <w:tcPr>
            <w:tcW w:type="dxa" w:w="2409"/>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非強制</w:t>
            </w:r>
          </w:p>
        </w:tc>
        <w:tc>
          <w:tcPr>
            <w:tcW w:type="dxa" w:w="2409"/>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需償還</w:t>
            </w:r>
          </w:p>
        </w:tc>
        <w:tc>
          <w:tcPr>
            <w:tcW w:type="dxa" w:w="2408"/>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非實質收入(財務調度)</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罰鍰</w:t>
            </w:r>
          </w:p>
        </w:tc>
        <w:tc>
          <w:tcPr>
            <w:tcW w:type="dxa" w:w="2409"/>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強制</w:t>
            </w:r>
          </w:p>
        </w:tc>
        <w:tc>
          <w:tcPr>
            <w:tcW w:type="dxa" w:w="2409"/>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無對價</w:t>
            </w:r>
          </w:p>
        </w:tc>
        <w:tc>
          <w:tcPr>
            <w:tcW w:type="dxa" w:w="2408"/>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偶發性收入</w:t>
            </w:r>
          </w:p>
        </w:tc>
      </w:tr>
    </w:tbl>
    <w:p>
      <w:pPr>
        <w:spacing w:after="280" w:before="120"/>
        <w:jc w:val="center"/>
      </w:pPr>
      <w:r>
        <w:rPr>
          <w:rFonts w:ascii="微軟正黑體" w:cs="微軟正黑體" w:eastAsia="微軟正黑體" w:hAnsi="微軟正黑體"/>
          <w:i/>
          <w:iCs/>
          <w:color w:val="555555"/>
          <w:sz w:val="18"/>
          <w:szCs w:val="18"/>
        </w:rPr>
        <w:t xml:space="preserve">表23-1　政府收入類型與課責基礎比較</w:t>
      </w:r>
    </w:p>
    <w:p>
      <w:pPr>
        <w:spacing w:after="140" w:before="260"/>
      </w:pPr>
      <w:r>
        <w:rPr>
          <w:rFonts w:ascii="微軟正黑體" w:cs="微軟正黑體" w:eastAsia="微軟正黑體" w:hAnsi="微軟正黑體"/>
          <w:b/>
          <w:bCs/>
          <w:color w:val="2E5C8A"/>
          <w:sz w:val="23"/>
          <w:szCs w:val="23"/>
        </w:rPr>
        <w:t xml:space="preserve">二、政府支出的分類與功能</w:t>
      </w:r>
    </w:p>
    <w:p>
      <w:pPr>
        <w:spacing w:after="200" w:line="360"/>
        <w:ind w:firstLine="431"/>
        <w:jc w:val="both"/>
      </w:pPr>
      <w:r>
        <w:rPr>
          <w:rFonts w:ascii="微軟正黑體" w:cs="微軟正黑體" w:eastAsia="微軟正黑體" w:hAnsi="微軟正黑體"/>
          <w:sz w:val="22"/>
          <w:szCs w:val="22"/>
        </w:rPr>
        <w:t xml:space="preserve">我國總預算依政事別分類,涵蓋一般政務、國防、教育科學文化、經濟發展、社會福利、社區發展及環境保護、退休撫卹、債務及一般補助等九類;若依經濟性分類,則區分經常性支出(人事費、日常事務費等例行支出)與資本性支出(具耐久性之公共建設、設備購置與無形資產投資,具跨年度效益)。Musgrave理論指出政府支出具配置功能(導引資源至市場失靈領域)、分配功能(透過移轉性支出促進區域與所得均衡)、穩定功能(以反景氣循環支出穩定總體經濟)與成長功能(以公共投資促進長期經濟成長)。對於政府支出持續成長之現象,凱因斯學派視赤字預算為穩定經濟之工具;華格納法則主張經濟發展本身即導致政府活動擴張;1980年代供給面經濟學則主張減稅、解除管制與撙節支出,惟Stuckler與Basu之研究指出,過度撙節對國民健康與社會資本具顯著負面衝擊,提醒財政紀律不能自外於社會代價之權衡。此外,我國自民國59年修正國庫法後施行集中支付制度,由國庫統一辦理支付,避免機關閒置現金,強化庫款調度、防止挪墊流用,並提升內部審核效率。</w:t>
      </w:r>
    </w:p>
    <w:p>
      <w:r>
        <w:rPr>
          <w:b/>
          <w:sz w:val="22"/>
        </w:rPr>
        <w:t>概念圖23-B　預算制度演進的價值轉移</w:t>
      </w:r>
    </w:p>
    <w:tbl>
      <w:tblPr>
        <w:tblW w:type="auto" w:w="0"/>
        <w:jc w:val="center"/>
        <w:tblLook w:firstColumn="1" w:firstRow="1" w:lastColumn="0" w:lastRow="0" w:noHBand="0" w:noVBand="1" w:val="04A0"/>
      </w:tblPr>
      <w:tblGrid>
        <w:gridCol w:w="3009"/>
        <w:gridCol w:w="3009"/>
        <w:gridCol w:w="3009"/>
      </w:tblGrid>
      <w:tr>
        <w:tc>
          <w:tcPr>
            <w:tcW w:type="dxa" w:w="3009"/>
            <w:vAlign w:val="center"/>
            <w:shd w:fill="D9EAF7"/>
          </w:tcPr>
          <w:p>
            <w:r/>
            <w:r>
              <w:rPr>
                <w:b/>
                <w:sz w:val="17"/>
              </w:rPr>
              <w:t>階段</w:t>
            </w:r>
          </w:p>
        </w:tc>
        <w:tc>
          <w:tcPr>
            <w:tcW w:type="dxa" w:w="3009"/>
            <w:vAlign w:val="center"/>
            <w:shd w:fill="D9EAF7"/>
          </w:tcPr>
          <w:p>
            <w:r/>
            <w:r>
              <w:rPr>
                <w:b/>
                <w:sz w:val="17"/>
              </w:rPr>
              <w:t>主要關注</w:t>
            </w:r>
          </w:p>
        </w:tc>
        <w:tc>
          <w:tcPr>
            <w:tcW w:type="dxa" w:w="3009"/>
            <w:vAlign w:val="center"/>
            <w:shd w:fill="D9EAF7"/>
          </w:tcPr>
          <w:p>
            <w:r/>
            <w:r>
              <w:rPr>
                <w:b/>
                <w:sz w:val="17"/>
              </w:rPr>
              <w:t>治理價值的轉移</w:t>
            </w:r>
          </w:p>
        </w:tc>
      </w:tr>
      <w:tr>
        <w:tc>
          <w:tcPr>
            <w:tcW w:type="dxa" w:w="3009"/>
            <w:vAlign w:val="center"/>
          </w:tcPr>
          <w:p>
            <w:r/>
            <w:r>
              <w:rPr>
                <w:b w:val="0"/>
                <w:sz w:val="17"/>
              </w:rPr>
              <w:t>項目／傳統控制</w:t>
            </w:r>
          </w:p>
        </w:tc>
        <w:tc>
          <w:tcPr>
            <w:tcW w:type="dxa" w:w="3009"/>
            <w:vAlign w:val="center"/>
          </w:tcPr>
          <w:p>
            <w:r/>
            <w:r>
              <w:rPr>
                <w:b w:val="0"/>
                <w:sz w:val="17"/>
              </w:rPr>
              <w:t>支出項目與合法性</w:t>
            </w:r>
          </w:p>
        </w:tc>
        <w:tc>
          <w:tcPr>
            <w:tcW w:type="dxa" w:w="3009"/>
            <w:vAlign w:val="center"/>
          </w:tcPr>
          <w:p>
            <w:r/>
            <w:r>
              <w:rPr>
                <w:b w:val="0"/>
                <w:sz w:val="17"/>
              </w:rPr>
              <w:t>「有沒有依法花」</w:t>
            </w:r>
          </w:p>
        </w:tc>
      </w:tr>
      <w:tr>
        <w:tc>
          <w:tcPr>
            <w:tcW w:type="dxa" w:w="3009"/>
            <w:vAlign w:val="center"/>
          </w:tcPr>
          <w:p>
            <w:r/>
            <w:r>
              <w:rPr>
                <w:b w:val="0"/>
                <w:sz w:val="17"/>
              </w:rPr>
              <w:t>複式／功能分類</w:t>
            </w:r>
          </w:p>
        </w:tc>
        <w:tc>
          <w:tcPr>
            <w:tcW w:type="dxa" w:w="3009"/>
            <w:vAlign w:val="center"/>
          </w:tcPr>
          <w:p>
            <w:r/>
            <w:r>
              <w:rPr>
                <w:b w:val="0"/>
                <w:sz w:val="17"/>
              </w:rPr>
              <w:t>成本與功能</w:t>
            </w:r>
          </w:p>
        </w:tc>
        <w:tc>
          <w:tcPr>
            <w:tcW w:type="dxa" w:w="3009"/>
            <w:vAlign w:val="center"/>
          </w:tcPr>
          <w:p>
            <w:r/>
            <w:r>
              <w:rPr>
                <w:b w:val="0"/>
                <w:sz w:val="17"/>
              </w:rPr>
              <w:t>「花在什麼功能」</w:t>
            </w:r>
          </w:p>
        </w:tc>
      </w:tr>
      <w:tr>
        <w:tc>
          <w:tcPr>
            <w:tcW w:type="dxa" w:w="3009"/>
            <w:vAlign w:val="center"/>
          </w:tcPr>
          <w:p>
            <w:r/>
            <w:r>
              <w:rPr>
                <w:b w:val="0"/>
                <w:sz w:val="17"/>
              </w:rPr>
              <w:t>績效預算</w:t>
            </w:r>
          </w:p>
        </w:tc>
        <w:tc>
          <w:tcPr>
            <w:tcW w:type="dxa" w:w="3009"/>
            <w:vAlign w:val="center"/>
          </w:tcPr>
          <w:p>
            <w:r/>
            <w:r>
              <w:rPr>
                <w:b w:val="0"/>
                <w:sz w:val="17"/>
              </w:rPr>
              <w:t>工作量與成果</w:t>
            </w:r>
          </w:p>
        </w:tc>
        <w:tc>
          <w:tcPr>
            <w:tcW w:type="dxa" w:w="3009"/>
            <w:vAlign w:val="center"/>
          </w:tcPr>
          <w:p>
            <w:r/>
            <w:r>
              <w:rPr>
                <w:b w:val="0"/>
                <w:sz w:val="17"/>
              </w:rPr>
              <w:t>「花錢做了什麼」</w:t>
            </w:r>
          </w:p>
        </w:tc>
      </w:tr>
      <w:tr>
        <w:tc>
          <w:tcPr>
            <w:tcW w:type="dxa" w:w="3009"/>
            <w:vAlign w:val="center"/>
          </w:tcPr>
          <w:p>
            <w:r/>
            <w:r>
              <w:rPr>
                <w:b w:val="0"/>
                <w:sz w:val="17"/>
              </w:rPr>
              <w:t>PPBS</w:t>
            </w:r>
          </w:p>
        </w:tc>
        <w:tc>
          <w:tcPr>
            <w:tcW w:type="dxa" w:w="3009"/>
            <w:vAlign w:val="center"/>
          </w:tcPr>
          <w:p>
            <w:r/>
            <w:r>
              <w:rPr>
                <w:b w:val="0"/>
                <w:sz w:val="17"/>
              </w:rPr>
              <w:t>計畫與長期選擇</w:t>
            </w:r>
          </w:p>
        </w:tc>
        <w:tc>
          <w:tcPr>
            <w:tcW w:type="dxa" w:w="3009"/>
            <w:vAlign w:val="center"/>
          </w:tcPr>
          <w:p>
            <w:r/>
            <w:r>
              <w:rPr>
                <w:b w:val="0"/>
                <w:sz w:val="17"/>
              </w:rPr>
              <w:t>「為何選這項政策」</w:t>
            </w:r>
          </w:p>
        </w:tc>
      </w:tr>
      <w:tr>
        <w:tc>
          <w:tcPr>
            <w:tcW w:type="dxa" w:w="3009"/>
            <w:vAlign w:val="center"/>
          </w:tcPr>
          <w:p>
            <w:r/>
            <w:r>
              <w:rPr>
                <w:b w:val="0"/>
                <w:sz w:val="17"/>
              </w:rPr>
              <w:t>ZBB</w:t>
            </w:r>
          </w:p>
        </w:tc>
        <w:tc>
          <w:tcPr>
            <w:tcW w:type="dxa" w:w="3009"/>
            <w:vAlign w:val="center"/>
          </w:tcPr>
          <w:p>
            <w:r/>
            <w:r>
              <w:rPr>
                <w:b w:val="0"/>
                <w:sz w:val="17"/>
              </w:rPr>
              <w:t>重新檢視基礎</w:t>
            </w:r>
          </w:p>
        </w:tc>
        <w:tc>
          <w:tcPr>
            <w:tcW w:type="dxa" w:w="3009"/>
            <w:vAlign w:val="center"/>
          </w:tcPr>
          <w:p>
            <w:r/>
            <w:r>
              <w:rPr>
                <w:b w:val="0"/>
                <w:sz w:val="17"/>
              </w:rPr>
              <w:t>「如果今天重來，是否仍應編」</w:t>
            </w:r>
          </w:p>
        </w:tc>
      </w:tr>
      <w:tr>
        <w:tc>
          <w:tcPr>
            <w:tcW w:type="dxa" w:w="3009"/>
            <w:vAlign w:val="center"/>
          </w:tcPr>
          <w:p>
            <w:r/>
            <w:r>
              <w:rPr>
                <w:b w:val="0"/>
                <w:sz w:val="17"/>
              </w:rPr>
              <w:t>TBB／中程框架</w:t>
            </w:r>
          </w:p>
        </w:tc>
        <w:tc>
          <w:tcPr>
            <w:tcW w:type="dxa" w:w="3009"/>
            <w:vAlign w:val="center"/>
          </w:tcPr>
          <w:p>
            <w:r/>
            <w:r>
              <w:rPr>
                <w:b w:val="0"/>
                <w:sz w:val="17"/>
              </w:rPr>
              <w:t>總額與跨年度約束</w:t>
            </w:r>
          </w:p>
        </w:tc>
        <w:tc>
          <w:tcPr>
            <w:tcW w:type="dxa" w:w="3009"/>
            <w:vAlign w:val="center"/>
          </w:tcPr>
          <w:p>
            <w:r/>
            <w:r>
              <w:rPr>
                <w:b w:val="0"/>
                <w:sz w:val="17"/>
              </w:rPr>
              <w:t>「未來幾年如何配置」</w:t>
            </w:r>
          </w:p>
        </w:tc>
      </w:tr>
      <w:tr>
        <w:tc>
          <w:tcPr>
            <w:tcW w:type="dxa" w:w="3009"/>
            <w:vAlign w:val="center"/>
          </w:tcPr>
          <w:p>
            <w:r/>
            <w:r>
              <w:rPr>
                <w:b w:val="0"/>
                <w:sz w:val="17"/>
              </w:rPr>
              <w:t>成果／績效治理</w:t>
            </w:r>
          </w:p>
        </w:tc>
        <w:tc>
          <w:tcPr>
            <w:tcW w:type="dxa" w:w="3009"/>
            <w:vAlign w:val="center"/>
          </w:tcPr>
          <w:p>
            <w:r/>
            <w:r>
              <w:rPr>
                <w:b w:val="0"/>
                <w:sz w:val="17"/>
              </w:rPr>
              <w:t>結果、公共價值與問責</w:t>
            </w:r>
          </w:p>
        </w:tc>
        <w:tc>
          <w:tcPr>
            <w:tcW w:type="dxa" w:w="3009"/>
            <w:vAlign w:val="center"/>
          </w:tcPr>
          <w:p>
            <w:r/>
            <w:r>
              <w:rPr>
                <w:b w:val="0"/>
                <w:sz w:val="17"/>
              </w:rPr>
              <w:t>「是否真的改善公共問題」</w:t>
            </w:r>
          </w:p>
        </w:tc>
      </w:tr>
    </w:tbl>
    <w:p>
      <w:r>
        <w:rPr>
          <w:i/>
          <w:sz w:val="16"/>
        </w:rPr>
        <w:t>資料來源：本章「預算制度七次演進」整理。七階段為教科書常用的分析脈絡，並非各國完全一致的歷史線性序列。</w:t>
      </w:r>
    </w:p>
    <w:p>
      <w:pPr>
        <w:spacing w:after="180" w:before="360"/>
      </w:pPr>
      <w:r>
        <w:rPr>
          <w:rFonts w:ascii="微軟正黑體" w:cs="微軟正黑體" w:eastAsia="微軟正黑體" w:hAnsi="微軟正黑體"/>
          <w:b/>
          <w:bCs/>
          <w:color w:val="1F4E79"/>
          <w:sz w:val="26"/>
          <w:szCs w:val="26"/>
        </w:rPr>
        <w:t xml:space="preserve">第三節　預算的本質、制度演變與週期</w:t>
      </w:r>
    </w:p>
    <w:p>
      <w:pPr>
        <w:spacing w:after="140" w:before="260"/>
      </w:pPr>
      <w:r>
        <w:rPr>
          <w:rFonts w:ascii="微軟正黑體" w:cs="微軟正黑體" w:eastAsia="微軟正黑體" w:hAnsi="微軟正黑體"/>
          <w:b/>
          <w:bCs/>
          <w:color w:val="2E5C8A"/>
          <w:sz w:val="23"/>
          <w:szCs w:val="23"/>
        </w:rPr>
        <w:t xml:space="preserve">一、預算的本質與傳統原則</w:t>
      </w:r>
    </w:p>
    <w:p>
      <w:pPr>
        <w:spacing w:after="200" w:line="360"/>
        <w:ind w:firstLine="431"/>
        <w:jc w:val="both"/>
      </w:pPr>
      <w:r>
        <w:rPr>
          <w:rFonts w:ascii="微軟正黑體" w:cs="微軟正黑體" w:eastAsia="微軟正黑體" w:hAnsi="微軟正黑體"/>
          <w:sz w:val="22"/>
          <w:szCs w:val="22"/>
        </w:rPr>
        <w:t xml:space="preserve">預算係一定期間內(通常一年)以數字表達之施政計畫,經立法程序通過後具有法律效力。其特徵有五:作為國家公共政策之基本藍圖,顯示資源配置之優先順序;作為行政管理手段,落實政策工具;作為經濟政策方向之宣示;作為政治文件,記載誰獲益、誰負擔之權力競逐;以及作為政府課責與公開之依據。傳統預算原則包括公開、確實、完整、單一、年度、平衡與不指定用途七項,分別要求預算須公開取信於民、收支估計應覈實、所有收支應納入總預算、一政府一預算、以年度為期間、量入為出,以及收入統收統支避免零碎化。為因應實務彈性需求,制度另設追加預算(因法律增設機關或重大事故經費不敷而提出)、特別預算(因國防緊急、重大變故或不定期重大政事於總預算外提出)、第一預備金(於各機關單位預算內設定,不得超過經常支出總額百分之一)與第二預備金(於總預算中設定,須經行政院核准並送立法院審議),連同經費流用與留用,共同構成預算執行彈性四機制。</w:t>
      </w:r>
    </w:p>
    <w:p>
      <w:pPr>
        <w:spacing w:after="140" w:before="260"/>
      </w:pPr>
      <w:r>
        <w:rPr>
          <w:rFonts w:ascii="微軟正黑體" w:cs="微軟正黑體" w:eastAsia="微軟正黑體" w:hAnsi="微軟正黑體"/>
          <w:b/>
          <w:bCs/>
          <w:color w:val="2E5C8A"/>
          <w:sz w:val="23"/>
          <w:szCs w:val="23"/>
        </w:rPr>
        <w:t xml:space="preserve">二、預算制度的演變:從控制到績效到策略</w:t>
      </w:r>
    </w:p>
    <w:tbl>
      <w:tblPr>
        <w:tblW w:type="auto" w:w="0"/>
        <w:jc w:val="center"/>
        <w:tblLook w:firstColumn="1" w:firstRow="1" w:lastColumn="0" w:lastRow="0" w:noHBand="0" w:noVBand="1" w:val="04A0"/>
      </w:tblPr>
      <w:tblGrid>
        <w:gridCol w:w="2256"/>
        <w:gridCol w:w="2256"/>
        <w:gridCol w:w="2256"/>
        <w:gridCol w:w="2256"/>
      </w:tblGrid>
      <w:tr>
        <w:tc>
          <w:tcPr>
            <w:tcW w:type="dxa" w:w="2256"/>
            <w:shd w:fill="D9EAF7" w:val="clear"/>
            <w:vAlign w:val="center"/>
          </w:tcPr>
          <w:p>
            <w:r/>
            <w:r>
              <w:rPr>
                <w:b/>
                <w:sz w:val="17"/>
              </w:rPr>
              <w:t>制度／改革里程碑</w:t>
            </w:r>
          </w:p>
        </w:tc>
        <w:tc>
          <w:tcPr>
            <w:tcW w:type="dxa" w:w="2256"/>
            <w:shd w:fill="D9EAF7" w:val="clear"/>
            <w:vAlign w:val="center"/>
          </w:tcPr>
          <w:p>
            <w:r/>
            <w:r>
              <w:rPr>
                <w:b/>
                <w:sz w:val="17"/>
              </w:rPr>
              <w:t>主要時期</w:t>
            </w:r>
          </w:p>
        </w:tc>
        <w:tc>
          <w:tcPr>
            <w:tcW w:type="dxa" w:w="2256"/>
            <w:shd w:fill="D9EAF7" w:val="clear"/>
            <w:vAlign w:val="center"/>
          </w:tcPr>
          <w:p>
            <w:r/>
            <w:r>
              <w:rPr>
                <w:b/>
                <w:sz w:val="17"/>
              </w:rPr>
              <w:t>核心價值</w:t>
            </w:r>
          </w:p>
        </w:tc>
        <w:tc>
          <w:tcPr>
            <w:tcW w:type="dxa" w:w="2256"/>
            <w:shd w:fill="D9EAF7" w:val="clear"/>
            <w:vAlign w:val="center"/>
          </w:tcPr>
          <w:p>
            <w:r/>
            <w:r>
              <w:rPr>
                <w:b/>
                <w:sz w:val="17"/>
              </w:rPr>
              <w:t>主要限制</w:t>
            </w:r>
          </w:p>
        </w:tc>
      </w:tr>
      <w:tr>
        <w:tc>
          <w:tcPr>
            <w:tcW w:type="dxa" w:w="2256"/>
            <w:vAlign w:val="center"/>
          </w:tcPr>
          <w:p>
            <w:r/>
            <w:r>
              <w:rPr>
                <w:b w:val="0"/>
                <w:sz w:val="17"/>
              </w:rPr>
              <w:t>項目列舉／傳統預算</w:t>
            </w:r>
          </w:p>
        </w:tc>
        <w:tc>
          <w:tcPr>
            <w:tcW w:type="dxa" w:w="2256"/>
            <w:vAlign w:val="center"/>
          </w:tcPr>
          <w:p>
            <w:r/>
            <w:r>
              <w:rPr>
                <w:b w:val="0"/>
                <w:sz w:val="17"/>
              </w:rPr>
              <w:t>19世紀末—20世紀前期</w:t>
            </w:r>
          </w:p>
        </w:tc>
        <w:tc>
          <w:tcPr>
            <w:tcW w:type="dxa" w:w="2256"/>
            <w:vAlign w:val="center"/>
          </w:tcPr>
          <w:p>
            <w:r/>
            <w:r>
              <w:rPr>
                <w:b w:val="0"/>
                <w:sz w:val="17"/>
              </w:rPr>
              <w:t>控制投入、依法授權</w:t>
            </w:r>
          </w:p>
        </w:tc>
        <w:tc>
          <w:tcPr>
            <w:tcW w:type="dxa" w:w="2256"/>
            <w:vAlign w:val="center"/>
          </w:tcPr>
          <w:p>
            <w:r/>
            <w:r>
              <w:rPr>
                <w:b w:val="0"/>
                <w:sz w:val="17"/>
              </w:rPr>
              <w:t>行政監督清楚，但較難呈現政策結果</w:t>
            </w:r>
          </w:p>
        </w:tc>
      </w:tr>
      <w:tr>
        <w:tc>
          <w:tcPr>
            <w:tcW w:type="dxa" w:w="2256"/>
            <w:vAlign w:val="center"/>
          </w:tcPr>
          <w:p>
            <w:r/>
            <w:r>
              <w:rPr>
                <w:b w:val="0"/>
                <w:sz w:val="17"/>
              </w:rPr>
              <w:t>績效預算</w:t>
            </w:r>
          </w:p>
        </w:tc>
        <w:tc>
          <w:tcPr>
            <w:tcW w:type="dxa" w:w="2256"/>
            <w:vAlign w:val="center"/>
          </w:tcPr>
          <w:p>
            <w:r/>
            <w:r>
              <w:rPr>
                <w:b w:val="0"/>
                <w:sz w:val="17"/>
              </w:rPr>
              <w:t>1949–1950起形成聯邦改革里程碑</w:t>
            </w:r>
          </w:p>
        </w:tc>
        <w:tc>
          <w:tcPr>
            <w:tcW w:type="dxa" w:w="2256"/>
            <w:vAlign w:val="center"/>
          </w:tcPr>
          <w:p>
            <w:r/>
            <w:r>
              <w:rPr>
                <w:b w:val="0"/>
                <w:sz w:val="17"/>
              </w:rPr>
              <w:t>功能、活動、成本、產出</w:t>
            </w:r>
          </w:p>
        </w:tc>
        <w:tc>
          <w:tcPr>
            <w:tcW w:type="dxa" w:w="2256"/>
            <w:vAlign w:val="center"/>
          </w:tcPr>
          <w:p>
            <w:r/>
            <w:r>
              <w:rPr>
                <w:b w:val="0"/>
                <w:sz w:val="17"/>
              </w:rPr>
              <w:t>績效資訊與預算連結仍有限</w:t>
            </w:r>
          </w:p>
        </w:tc>
      </w:tr>
      <w:tr>
        <w:tc>
          <w:tcPr>
            <w:tcW w:type="dxa" w:w="2256"/>
            <w:vAlign w:val="center"/>
          </w:tcPr>
          <w:p>
            <w:r/>
            <w:r>
              <w:rPr>
                <w:b w:val="0"/>
                <w:sz w:val="17"/>
              </w:rPr>
              <w:t>PPBS</w:t>
            </w:r>
          </w:p>
        </w:tc>
        <w:tc>
          <w:tcPr>
            <w:tcW w:type="dxa" w:w="2256"/>
            <w:vAlign w:val="center"/>
          </w:tcPr>
          <w:p>
            <w:r/>
            <w:r>
              <w:rPr>
                <w:b w:val="0"/>
                <w:sz w:val="17"/>
              </w:rPr>
              <w:t>1965–1971（美國聯邦全面推動期）</w:t>
            </w:r>
          </w:p>
        </w:tc>
        <w:tc>
          <w:tcPr>
            <w:tcW w:type="dxa" w:w="2256"/>
            <w:vAlign w:val="center"/>
          </w:tcPr>
          <w:p>
            <w:r/>
            <w:r>
              <w:rPr>
                <w:b w:val="0"/>
                <w:sz w:val="17"/>
              </w:rPr>
              <w:t>規劃—方案—預算、成本效益</w:t>
            </w:r>
          </w:p>
        </w:tc>
        <w:tc>
          <w:tcPr>
            <w:tcW w:type="dxa" w:w="2256"/>
            <w:vAlign w:val="center"/>
          </w:tcPr>
          <w:p>
            <w:r/>
            <w:r>
              <w:rPr>
                <w:b w:val="0"/>
                <w:sz w:val="17"/>
              </w:rPr>
              <w:t>資訊與分析負荷高，跨機關整合困難</w:t>
            </w:r>
          </w:p>
        </w:tc>
      </w:tr>
      <w:tr>
        <w:tc>
          <w:tcPr>
            <w:tcW w:type="dxa" w:w="2256"/>
            <w:vAlign w:val="center"/>
          </w:tcPr>
          <w:p>
            <w:r/>
            <w:r>
              <w:rPr>
                <w:b w:val="0"/>
                <w:sz w:val="17"/>
              </w:rPr>
              <w:t>ZBB</w:t>
            </w:r>
          </w:p>
        </w:tc>
        <w:tc>
          <w:tcPr>
            <w:tcW w:type="dxa" w:w="2256"/>
            <w:vAlign w:val="center"/>
          </w:tcPr>
          <w:p>
            <w:r/>
            <w:r>
              <w:rPr>
                <w:b w:val="0"/>
                <w:sz w:val="17"/>
              </w:rPr>
              <w:t>1977起（Carter）</w:t>
            </w:r>
          </w:p>
        </w:tc>
        <w:tc>
          <w:tcPr>
            <w:tcW w:type="dxa" w:w="2256"/>
            <w:vAlign w:val="center"/>
          </w:tcPr>
          <w:p>
            <w:r/>
            <w:r>
              <w:rPr>
                <w:b w:val="0"/>
                <w:sz w:val="17"/>
              </w:rPr>
              <w:t>重新檢視既有計畫、決策包</w:t>
            </w:r>
          </w:p>
        </w:tc>
        <w:tc>
          <w:tcPr>
            <w:tcW w:type="dxa" w:w="2256"/>
            <w:vAlign w:val="center"/>
          </w:tcPr>
          <w:p>
            <w:r/>
            <w:r>
              <w:rPr>
                <w:b w:val="0"/>
                <w:sz w:val="17"/>
              </w:rPr>
              <w:t>資料與行政負荷高，難以每年全面歸零</w:t>
            </w:r>
          </w:p>
        </w:tc>
      </w:tr>
      <w:tr>
        <w:tc>
          <w:tcPr>
            <w:tcW w:type="dxa" w:w="2256"/>
            <w:vAlign w:val="center"/>
          </w:tcPr>
          <w:p>
            <w:r/>
            <w:r>
              <w:rPr>
                <w:b w:val="0"/>
                <w:sz w:val="17"/>
              </w:rPr>
              <w:t>由上而下／目標基準類改革</w:t>
            </w:r>
          </w:p>
        </w:tc>
        <w:tc>
          <w:tcPr>
            <w:tcW w:type="dxa" w:w="2256"/>
            <w:vAlign w:val="center"/>
          </w:tcPr>
          <w:p>
            <w:r/>
            <w:r>
              <w:rPr>
                <w:b w:val="0"/>
                <w:sz w:val="17"/>
              </w:rPr>
              <w:t>1980年代</w:t>
            </w:r>
          </w:p>
        </w:tc>
        <w:tc>
          <w:tcPr>
            <w:tcW w:type="dxa" w:w="2256"/>
            <w:vAlign w:val="center"/>
          </w:tcPr>
          <w:p>
            <w:r/>
            <w:r>
              <w:rPr>
                <w:b w:val="0"/>
                <w:sz w:val="17"/>
              </w:rPr>
              <w:t>支出上限、撙節、資源總額控制</w:t>
            </w:r>
          </w:p>
        </w:tc>
        <w:tc>
          <w:tcPr>
            <w:tcW w:type="dxa" w:w="2256"/>
            <w:vAlign w:val="center"/>
          </w:tcPr>
          <w:p>
            <w:r/>
            <w:r>
              <w:rPr>
                <w:b w:val="0"/>
                <w:sz w:val="17"/>
              </w:rPr>
              <w:t>可能強化行政集中與立法—行政衝突</w:t>
            </w:r>
          </w:p>
        </w:tc>
      </w:tr>
      <w:tr>
        <w:tc>
          <w:tcPr>
            <w:tcW w:type="dxa" w:w="2256"/>
            <w:vAlign w:val="center"/>
          </w:tcPr>
          <w:p>
            <w:r/>
            <w:r>
              <w:rPr>
                <w:b w:val="0"/>
                <w:sz w:val="17"/>
              </w:rPr>
              <w:t>績效／結果導向改革</w:t>
            </w:r>
          </w:p>
        </w:tc>
        <w:tc>
          <w:tcPr>
            <w:tcW w:type="dxa" w:w="2256"/>
            <w:vAlign w:val="center"/>
          </w:tcPr>
          <w:p>
            <w:r/>
            <w:r>
              <w:rPr>
                <w:b w:val="0"/>
                <w:sz w:val="17"/>
              </w:rPr>
              <w:t>1990年代後</w:t>
            </w:r>
          </w:p>
        </w:tc>
        <w:tc>
          <w:tcPr>
            <w:tcW w:type="dxa" w:w="2256"/>
            <w:vAlign w:val="center"/>
          </w:tcPr>
          <w:p>
            <w:r/>
            <w:r>
              <w:rPr>
                <w:b w:val="0"/>
                <w:sz w:val="17"/>
              </w:rPr>
              <w:t>目標、績效資訊、結果與課責</w:t>
            </w:r>
          </w:p>
        </w:tc>
        <w:tc>
          <w:tcPr>
            <w:tcW w:type="dxa" w:w="2256"/>
            <w:vAlign w:val="center"/>
          </w:tcPr>
          <w:p>
            <w:r/>
            <w:r>
              <w:rPr>
                <w:b w:val="0"/>
                <w:sz w:val="17"/>
              </w:rPr>
              <w:t>成果歸因困難，可能產生指標異化</w:t>
            </w:r>
          </w:p>
        </w:tc>
      </w:tr>
    </w:tbl>
    <w:p>
      <w:r>
        <w:rPr>
          <w:b w:val="0"/>
          <w:sz w:val="21"/>
        </w:rPr>
        <w:t>【文獻校正】傳統筆記的七階段架構可保留作考試記憶骨架，但年代與制度名稱宜以「主要改革里程碑」理解，不宜視為各國均依序完整採用。績效預算的美國聯邦改革可追溯至1949–1950年的胡佛委員會與相關法制；PPBS由詹森政府於1965年推動，1971年停止聯邦政府全面實施；ZBB則由卡特政府於1977年正式推進。1993年較適合以GPRA（Government Performance and Results Act）作為結果／績效治理的重要里程碑，而非直接宣稱「成果預算自1993年開始」。</w:t>
      </w:r>
    </w:p>
    <w:p>
      <w:pPr>
        <w:spacing w:after="200" w:line="360"/>
        <w:ind w:firstLine="431"/>
        <w:jc w:val="both"/>
      </w:pPr>
      <w:r>
        <w:rPr>
          <w:rFonts w:ascii="微軟正黑體" w:cs="微軟正黑體" w:eastAsia="微軟正黑體" w:hAnsi="微軟正黑體"/>
          <w:sz w:val="22"/>
          <w:szCs w:val="22"/>
        </w:rPr>
        <w:t xml:space="preserve">預算制度之演進,反映行政價值從控制走向績效、再走向策略之典範轉移。項目列舉預算(又稱單式預算)以控制為核心,依機關與科目列舉收支,便於立法監督,但僅見投入不見產出;1930年代後之複式預算將經常預算與資本預算分立,前者以租稅支應、後者以公債支應,利於長期建設但有債務累積風險;1951年依胡佛委員會建議推動之績效預算,以功能、施政計畫、業務計畫、工作計畫為分類並引入成本會計,開啟現代化預算,卻也易陷入量化迷思;1965年詹森總統推行之計畫規劃預算制度(PPBS),整合規劃、計畫、預算三階段,以成本效益分析選定方案,強調效能而非僅效率,惟分析成本高且易引發本位主義衝突;1970年代之目標管理與1981至1992年由上而下之目標基準預算(TBB),由行政首長核定支出上限,機關於額度內自主分配,號稱寧靜革命,惟集權化雖利於撙節,卻也加劇行政立法衝突;1977年卡特總統推動之零基預算(ZBB)主張每年自零重新評估所有計畫存續理由,打破漸增主義卻使行政負擔沉重,遂於1981年後終止;1993年配合企業型政府興起之成果預算(Outcome-Based Budgeting),則以彈性、結果導向與績效掛帥為特徵,允許保留餘額並以可衡量成果課責,標誌預算與績效管理正式接軌——這也正是本章將財務管理與績效管理合併討論的制度根源。</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2613"/>
        <w:gridCol w:w="28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制度</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時代</w:t>
            </w:r>
          </w:p>
        </w:tc>
        <w:tc>
          <w:tcPr>
            <w:tcW w:type="dxa" w:w="2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核心價值</w:t>
            </w:r>
          </w:p>
        </w:tc>
        <w:tc>
          <w:tcPr>
            <w:tcW w:type="dxa" w:w="2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項目列舉預算</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1930前</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控制、依法行政</w:t>
            </w:r>
          </w:p>
        </w:tc>
        <w:tc>
          <w:tcPr>
            <w:tcW w:type="dxa" w:w="2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只見投入不見績效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複式預算</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1930-1950</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經濟穩定</w:t>
            </w:r>
          </w:p>
        </w:tc>
        <w:tc>
          <w:tcPr>
            <w:tcW w:type="dxa" w:w="2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債務風險</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績效預算</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1951-</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效率、管理</w:t>
            </w:r>
          </w:p>
        </w:tc>
        <w:tc>
          <w:tcPr>
            <w:tcW w:type="dxa" w:w="2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量化迷思</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PPBS</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1965-</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效能、理性分析</w:t>
            </w:r>
          </w:p>
        </w:tc>
        <w:tc>
          <w:tcPr>
            <w:tcW w:type="dxa" w:w="2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分析成本高、本位主義</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零基預算ZBB</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1977-1981</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全面檢討、反漸增</w:t>
            </w:r>
          </w:p>
        </w:tc>
        <w:tc>
          <w:tcPr>
            <w:tcW w:type="dxa" w:w="2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行政負擔過重</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目標基準TBB</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1981-1992</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撙節、集權</w:t>
            </w:r>
          </w:p>
        </w:tc>
        <w:tc>
          <w:tcPr>
            <w:tcW w:type="dxa" w:w="2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立法行政對立</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成果預算</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1993至今</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成果、彈性、課責</w:t>
            </w:r>
          </w:p>
        </w:tc>
        <w:tc>
          <w:tcPr>
            <w:tcW w:type="dxa" w:w="2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績效指標建構不易</w:t>
            </w:r>
          </w:p>
        </w:tc>
      </w:tr>
    </w:tbl>
    <w:p>
      <w:pPr>
        <w:spacing w:after="280" w:before="120"/>
        <w:jc w:val="center"/>
      </w:pPr>
      <w:r>
        <w:rPr>
          <w:rFonts w:ascii="微軟正黑體" w:cs="微軟正黑體" w:eastAsia="微軟正黑體" w:hAnsi="微軟正黑體"/>
          <w:i/>
          <w:iCs/>
          <w:color w:val="555555"/>
          <w:sz w:val="18"/>
          <w:szCs w:val="18"/>
        </w:rPr>
        <w:t xml:space="preserve">表23-2　預算制度演進與價值轉移</w:t>
      </w:r>
    </w:p>
    <w:p>
      <w:pPr>
        <w:spacing w:after="140" w:before="260"/>
      </w:pPr>
      <w:r>
        <w:rPr>
          <w:rFonts w:ascii="微軟正黑體" w:cs="微軟正黑體" w:eastAsia="微軟正黑體" w:hAnsi="微軟正黑體"/>
          <w:b/>
          <w:bCs/>
          <w:color w:val="2E5C8A"/>
          <w:sz w:val="23"/>
          <w:szCs w:val="23"/>
        </w:rPr>
        <w:t xml:space="preserve">三、預算週期:籌編、審議、執行、決算與審計</w:t>
      </w:r>
    </w:p>
    <w:tbl>
      <w:tblPr>
        <w:tblW w:type="auto" w:w="0"/>
        <w:jc w:val="center"/>
        <w:tblLook w:firstColumn="1" w:firstRow="1" w:lastColumn="0" w:lastRow="0" w:noHBand="0" w:noVBand="1" w:val="04A0"/>
      </w:tblPr>
      <w:tblGrid>
        <w:gridCol w:w="3009"/>
        <w:gridCol w:w="3009"/>
        <w:gridCol w:w="3009"/>
      </w:tblGrid>
      <w:tr>
        <w:tc>
          <w:tcPr>
            <w:tcW w:type="dxa" w:w="3009"/>
            <w:shd w:fill="D9EAF7" w:val="clear"/>
            <w:vAlign w:val="center"/>
          </w:tcPr>
          <w:p>
            <w:r/>
            <w:r>
              <w:rPr>
                <w:b/>
                <w:sz w:val="17"/>
              </w:rPr>
              <w:t>階段</w:t>
            </w:r>
          </w:p>
        </w:tc>
        <w:tc>
          <w:tcPr>
            <w:tcW w:type="dxa" w:w="3009"/>
            <w:shd w:fill="D9EAF7" w:val="clear"/>
            <w:vAlign w:val="center"/>
          </w:tcPr>
          <w:p>
            <w:r/>
            <w:r>
              <w:rPr>
                <w:b/>
                <w:sz w:val="17"/>
              </w:rPr>
              <w:t>主要行動者</w:t>
            </w:r>
          </w:p>
        </w:tc>
        <w:tc>
          <w:tcPr>
            <w:tcW w:type="dxa" w:w="3009"/>
            <w:shd w:fill="D9EAF7" w:val="clear"/>
            <w:vAlign w:val="center"/>
          </w:tcPr>
          <w:p>
            <w:r/>
            <w:r>
              <w:rPr>
                <w:b/>
                <w:sz w:val="17"/>
              </w:rPr>
              <w:t>核心產出／控制點</w:t>
            </w:r>
          </w:p>
        </w:tc>
      </w:tr>
      <w:tr>
        <w:tc>
          <w:tcPr>
            <w:tcW w:type="dxa" w:w="3009"/>
            <w:vAlign w:val="center"/>
          </w:tcPr>
          <w:p>
            <w:r/>
            <w:r>
              <w:rPr>
                <w:b w:val="0"/>
                <w:sz w:val="17"/>
              </w:rPr>
              <w:t>1. 中程與籌編</w:t>
            </w:r>
          </w:p>
        </w:tc>
        <w:tc>
          <w:tcPr>
            <w:tcW w:type="dxa" w:w="3009"/>
            <w:vAlign w:val="center"/>
          </w:tcPr>
          <w:p>
            <w:r/>
            <w:r>
              <w:rPr>
                <w:b w:val="0"/>
                <w:sz w:val="17"/>
              </w:rPr>
              <w:t>主計總處、行政院、各主管機關</w:t>
            </w:r>
          </w:p>
        </w:tc>
        <w:tc>
          <w:tcPr>
            <w:tcW w:type="dxa" w:w="3009"/>
            <w:vAlign w:val="center"/>
          </w:tcPr>
          <w:p>
            <w:r/>
            <w:r>
              <w:rPr>
                <w:b w:val="0"/>
                <w:sz w:val="17"/>
              </w:rPr>
              <w:t>中程資源分配方針 → 年度預算籌編原則 → 概算與計畫</w:t>
            </w:r>
          </w:p>
        </w:tc>
      </w:tr>
      <w:tr>
        <w:tc>
          <w:tcPr>
            <w:tcW w:type="dxa" w:w="3009"/>
            <w:vAlign w:val="center"/>
          </w:tcPr>
          <w:p>
            <w:r/>
            <w:r>
              <w:rPr>
                <w:b w:val="0"/>
                <w:sz w:val="17"/>
              </w:rPr>
              <w:t>2. 編製與核定</w:t>
            </w:r>
          </w:p>
        </w:tc>
        <w:tc>
          <w:tcPr>
            <w:tcW w:type="dxa" w:w="3009"/>
            <w:vAlign w:val="center"/>
          </w:tcPr>
          <w:p>
            <w:r/>
            <w:r>
              <w:rPr>
                <w:b w:val="0"/>
                <w:sz w:val="17"/>
              </w:rPr>
              <w:t>各主管機關、主計總處、行政院</w:t>
            </w:r>
          </w:p>
        </w:tc>
        <w:tc>
          <w:tcPr>
            <w:tcW w:type="dxa" w:w="3009"/>
            <w:vAlign w:val="center"/>
          </w:tcPr>
          <w:p>
            <w:r/>
            <w:r>
              <w:rPr>
                <w:b w:val="0"/>
                <w:sz w:val="17"/>
              </w:rPr>
              <w:t>單位預算／主管預算 → 總預算案 → 行政院通過</w:t>
            </w:r>
          </w:p>
        </w:tc>
      </w:tr>
      <w:tr>
        <w:tc>
          <w:tcPr>
            <w:tcW w:type="dxa" w:w="3009"/>
            <w:vAlign w:val="center"/>
          </w:tcPr>
          <w:p>
            <w:r/>
            <w:r>
              <w:rPr>
                <w:b w:val="0"/>
                <w:sz w:val="17"/>
              </w:rPr>
              <w:t>3. 立法審議</w:t>
            </w:r>
          </w:p>
        </w:tc>
        <w:tc>
          <w:tcPr>
            <w:tcW w:type="dxa" w:w="3009"/>
            <w:vAlign w:val="center"/>
          </w:tcPr>
          <w:p>
            <w:r/>
            <w:r>
              <w:rPr>
                <w:b w:val="0"/>
                <w:sz w:val="17"/>
              </w:rPr>
              <w:t>立法院</w:t>
            </w:r>
          </w:p>
        </w:tc>
        <w:tc>
          <w:tcPr>
            <w:tcW w:type="dxa" w:w="3009"/>
            <w:vAlign w:val="center"/>
          </w:tcPr>
          <w:p>
            <w:r/>
            <w:r>
              <w:rPr>
                <w:b w:val="0"/>
                <w:sz w:val="17"/>
              </w:rPr>
              <w:t>審查、協商、議決 → 法定預算</w:t>
            </w:r>
          </w:p>
        </w:tc>
      </w:tr>
      <w:tr>
        <w:tc>
          <w:tcPr>
            <w:tcW w:type="dxa" w:w="3009"/>
            <w:vAlign w:val="center"/>
          </w:tcPr>
          <w:p>
            <w:r/>
            <w:r>
              <w:rPr>
                <w:b w:val="0"/>
                <w:sz w:val="17"/>
              </w:rPr>
              <w:t>4. 執行</w:t>
            </w:r>
          </w:p>
        </w:tc>
        <w:tc>
          <w:tcPr>
            <w:tcW w:type="dxa" w:w="3009"/>
            <w:vAlign w:val="center"/>
          </w:tcPr>
          <w:p>
            <w:r/>
            <w:r>
              <w:rPr>
                <w:b w:val="0"/>
                <w:sz w:val="17"/>
              </w:rPr>
              <w:t>各機關、主計、國庫等</w:t>
            </w:r>
          </w:p>
        </w:tc>
        <w:tc>
          <w:tcPr>
            <w:tcW w:type="dxa" w:w="3009"/>
            <w:vAlign w:val="center"/>
          </w:tcPr>
          <w:p>
            <w:r/>
            <w:r>
              <w:rPr>
                <w:b w:val="0"/>
                <w:sz w:val="17"/>
              </w:rPr>
              <w:t>分配預算、採購、會計、集中支付、內部審核</w:t>
            </w:r>
          </w:p>
        </w:tc>
      </w:tr>
      <w:tr>
        <w:tc>
          <w:tcPr>
            <w:tcW w:type="dxa" w:w="3009"/>
            <w:vAlign w:val="center"/>
          </w:tcPr>
          <w:p>
            <w:r/>
            <w:r>
              <w:rPr>
                <w:b w:val="0"/>
                <w:sz w:val="17"/>
              </w:rPr>
              <w:t>5. 決算</w:t>
            </w:r>
          </w:p>
        </w:tc>
        <w:tc>
          <w:tcPr>
            <w:tcW w:type="dxa" w:w="3009"/>
            <w:vAlign w:val="center"/>
          </w:tcPr>
          <w:p>
            <w:r/>
            <w:r>
              <w:rPr>
                <w:b w:val="0"/>
                <w:sz w:val="17"/>
              </w:rPr>
              <w:t>各機關、主管機關、主計總處</w:t>
            </w:r>
          </w:p>
        </w:tc>
        <w:tc>
          <w:tcPr>
            <w:tcW w:type="dxa" w:w="3009"/>
            <w:vAlign w:val="center"/>
          </w:tcPr>
          <w:p>
            <w:r/>
            <w:r>
              <w:rPr>
                <w:b w:val="0"/>
                <w:sz w:val="17"/>
              </w:rPr>
              <w:t>年度執行結果 → 總決算</w:t>
            </w:r>
          </w:p>
        </w:tc>
      </w:tr>
      <w:tr>
        <w:tc>
          <w:tcPr>
            <w:tcW w:type="dxa" w:w="3009"/>
            <w:vAlign w:val="center"/>
          </w:tcPr>
          <w:p>
            <w:r/>
            <w:r>
              <w:rPr>
                <w:b w:val="0"/>
                <w:sz w:val="17"/>
              </w:rPr>
              <w:t>6. 審計</w:t>
            </w:r>
          </w:p>
        </w:tc>
        <w:tc>
          <w:tcPr>
            <w:tcW w:type="dxa" w:w="3009"/>
            <w:vAlign w:val="center"/>
          </w:tcPr>
          <w:p>
            <w:r/>
            <w:r>
              <w:rPr>
                <w:b w:val="0"/>
                <w:sz w:val="17"/>
              </w:rPr>
              <w:t>審計部</w:t>
            </w:r>
          </w:p>
        </w:tc>
        <w:tc>
          <w:tcPr>
            <w:tcW w:type="dxa" w:w="3009"/>
            <w:vAlign w:val="center"/>
          </w:tcPr>
          <w:p>
            <w:r/>
            <w:r>
              <w:rPr>
                <w:b w:val="0"/>
                <w:sz w:val="17"/>
              </w:rPr>
              <w:t>合法性、預算符合度、經濟性、效能與政策執行成果等審核</w:t>
            </w:r>
          </w:p>
        </w:tc>
      </w:tr>
      <w:tr>
        <w:tc>
          <w:tcPr>
            <w:tcW w:type="dxa" w:w="3009"/>
            <w:vAlign w:val="center"/>
          </w:tcPr>
          <w:p>
            <w:r/>
            <w:r>
              <w:rPr>
                <w:b w:val="0"/>
                <w:sz w:val="17"/>
              </w:rPr>
              <w:t>7. 立法後續課責</w:t>
            </w:r>
          </w:p>
        </w:tc>
        <w:tc>
          <w:tcPr>
            <w:tcW w:type="dxa" w:w="3009"/>
            <w:vAlign w:val="center"/>
          </w:tcPr>
          <w:p>
            <w:r/>
            <w:r>
              <w:rPr>
                <w:b w:val="0"/>
                <w:sz w:val="17"/>
              </w:rPr>
              <w:t>立法院、監察院</w:t>
            </w:r>
          </w:p>
        </w:tc>
        <w:tc>
          <w:tcPr>
            <w:tcW w:type="dxa" w:w="3009"/>
            <w:vAlign w:val="center"/>
          </w:tcPr>
          <w:p>
            <w:r/>
            <w:r>
              <w:rPr>
                <w:b w:val="0"/>
                <w:sz w:val="17"/>
              </w:rPr>
              <w:t>審議審核報告；依法處理應賠償、懲處或改善事項</w:t>
            </w:r>
          </w:p>
        </w:tc>
      </w:tr>
    </w:tbl>
    <w:p>
      <w:r>
        <w:rPr>
          <w:b w:val="0"/>
          <w:sz w:val="21"/>
        </w:rPr>
        <w:t>【臺灣中央政府預算制度：法定程序補強】現行制度應把「籌編—立法院審議—執行—決算—審計—立法院審議審核報告」寫成一條完整的法律責任鏈。預算法規定中央政府預算之籌劃、編造、審議、成立與執行；116年度中央政府總預算編製辦法並以中程歲出概算額度、中程資源分配方針與最新經濟情勢作為年度預算籌編基礎。這使臺灣實際上同時具有年度預算、由上而下額度控制與中程資源配置的混合型特徵。</w:t>
      </w:r>
    </w:p>
    <w:tbl>
      <w:tblPr>
        <w:tblW w:type="auto" w:w="0"/>
        <w:jc w:val="center"/>
        <w:tblLook w:firstColumn="1" w:firstRow="1" w:lastColumn="0" w:lastRow="0" w:noHBand="0" w:noVBand="1" w:val="04A0"/>
      </w:tblPr>
      <w:tblGrid>
        <w:gridCol w:w="2256"/>
        <w:gridCol w:w="2256"/>
        <w:gridCol w:w="2256"/>
        <w:gridCol w:w="2256"/>
      </w:tblGrid>
      <w:tr>
        <w:tc>
          <w:tcPr>
            <w:tcW w:type="dxa" w:w="2256"/>
            <w:shd w:fill="D9EAF7" w:val="clear"/>
            <w:vAlign w:val="center"/>
          </w:tcPr>
          <w:p>
            <w:r/>
            <w:r>
              <w:rPr>
                <w:b/>
                <w:sz w:val="17"/>
              </w:rPr>
              <w:t>理論／改革取向</w:t>
            </w:r>
          </w:p>
        </w:tc>
        <w:tc>
          <w:tcPr>
            <w:tcW w:type="dxa" w:w="2256"/>
            <w:shd w:fill="D9EAF7" w:val="clear"/>
            <w:vAlign w:val="center"/>
          </w:tcPr>
          <w:p>
            <w:r/>
            <w:r>
              <w:rPr>
                <w:b/>
                <w:sz w:val="17"/>
              </w:rPr>
              <w:t>代表文獻或制度</w:t>
            </w:r>
          </w:p>
        </w:tc>
        <w:tc>
          <w:tcPr>
            <w:tcW w:type="dxa" w:w="2256"/>
            <w:shd w:fill="D9EAF7" w:val="clear"/>
            <w:vAlign w:val="center"/>
          </w:tcPr>
          <w:p>
            <w:r/>
            <w:r>
              <w:rPr>
                <w:b/>
                <w:sz w:val="17"/>
              </w:rPr>
              <w:t>核心問題</w:t>
            </w:r>
          </w:p>
        </w:tc>
        <w:tc>
          <w:tcPr>
            <w:tcW w:type="dxa" w:w="2256"/>
            <w:shd w:fill="D9EAF7" w:val="clear"/>
            <w:vAlign w:val="center"/>
          </w:tcPr>
          <w:p>
            <w:r/>
            <w:r>
              <w:rPr>
                <w:b/>
                <w:sz w:val="17"/>
              </w:rPr>
              <w:t>本章可保留的考點</w:t>
            </w:r>
          </w:p>
        </w:tc>
      </w:tr>
      <w:tr>
        <w:tc>
          <w:tcPr>
            <w:tcW w:type="dxa" w:w="2256"/>
            <w:vAlign w:val="center"/>
          </w:tcPr>
          <w:p>
            <w:r/>
            <w:r>
              <w:rPr>
                <w:b w:val="0"/>
                <w:sz w:val="17"/>
              </w:rPr>
              <w:t>漸增主義</w:t>
            </w:r>
          </w:p>
        </w:tc>
        <w:tc>
          <w:tcPr>
            <w:tcW w:type="dxa" w:w="2256"/>
            <w:vAlign w:val="center"/>
          </w:tcPr>
          <w:p>
            <w:r/>
            <w:r>
              <w:rPr>
                <w:b w:val="0"/>
                <w:sz w:val="17"/>
              </w:rPr>
              <w:t>Wildavsky／Lindblom傳統</w:t>
            </w:r>
          </w:p>
        </w:tc>
        <w:tc>
          <w:tcPr>
            <w:tcW w:type="dxa" w:w="2256"/>
            <w:vAlign w:val="center"/>
          </w:tcPr>
          <w:p>
            <w:r/>
            <w:r>
              <w:rPr>
                <w:b w:val="0"/>
                <w:sz w:val="17"/>
              </w:rPr>
              <w:t>既有基礎＋小幅調整</w:t>
            </w:r>
          </w:p>
        </w:tc>
        <w:tc>
          <w:tcPr>
            <w:tcW w:type="dxa" w:w="2256"/>
            <w:vAlign w:val="center"/>
          </w:tcPr>
          <w:p>
            <w:r/>
            <w:r>
              <w:rPr>
                <w:b w:val="0"/>
                <w:sz w:val="17"/>
              </w:rPr>
              <w:t>解釋真實預算談判與衝突管理</w:t>
            </w:r>
          </w:p>
        </w:tc>
      </w:tr>
      <w:tr>
        <w:tc>
          <w:tcPr>
            <w:tcW w:type="dxa" w:w="2256"/>
            <w:vAlign w:val="center"/>
          </w:tcPr>
          <w:p>
            <w:r/>
            <w:r>
              <w:rPr>
                <w:b w:val="0"/>
                <w:sz w:val="17"/>
              </w:rPr>
              <w:t>理性／計畫導向</w:t>
            </w:r>
          </w:p>
        </w:tc>
        <w:tc>
          <w:tcPr>
            <w:tcW w:type="dxa" w:w="2256"/>
            <w:vAlign w:val="center"/>
          </w:tcPr>
          <w:p>
            <w:r/>
            <w:r>
              <w:rPr>
                <w:b w:val="0"/>
                <w:sz w:val="17"/>
              </w:rPr>
              <w:t>PPBS</w:t>
            </w:r>
          </w:p>
        </w:tc>
        <w:tc>
          <w:tcPr>
            <w:tcW w:type="dxa" w:w="2256"/>
            <w:vAlign w:val="center"/>
          </w:tcPr>
          <w:p>
            <w:r/>
            <w:r>
              <w:rPr>
                <w:b w:val="0"/>
                <w:sz w:val="17"/>
              </w:rPr>
              <w:t>方案比較、成本效益、中程視角</w:t>
            </w:r>
          </w:p>
        </w:tc>
        <w:tc>
          <w:tcPr>
            <w:tcW w:type="dxa" w:w="2256"/>
            <w:vAlign w:val="center"/>
          </w:tcPr>
          <w:p>
            <w:r/>
            <w:r>
              <w:rPr>
                <w:b w:val="0"/>
                <w:sz w:val="17"/>
              </w:rPr>
              <w:t>資訊需求與分析成本高</w:t>
            </w:r>
          </w:p>
        </w:tc>
      </w:tr>
      <w:tr>
        <w:tc>
          <w:tcPr>
            <w:tcW w:type="dxa" w:w="2256"/>
            <w:vAlign w:val="center"/>
          </w:tcPr>
          <w:p>
            <w:r/>
            <w:r>
              <w:rPr>
                <w:b w:val="0"/>
                <w:sz w:val="17"/>
              </w:rPr>
              <w:t>績效／結果導向</w:t>
            </w:r>
          </w:p>
        </w:tc>
        <w:tc>
          <w:tcPr>
            <w:tcW w:type="dxa" w:w="2256"/>
            <w:vAlign w:val="center"/>
          </w:tcPr>
          <w:p>
            <w:r/>
            <w:r>
              <w:rPr>
                <w:b w:val="0"/>
                <w:sz w:val="17"/>
              </w:rPr>
              <w:t>OECD、GPRA等改革</w:t>
            </w:r>
          </w:p>
        </w:tc>
        <w:tc>
          <w:tcPr>
            <w:tcW w:type="dxa" w:w="2256"/>
            <w:vAlign w:val="center"/>
          </w:tcPr>
          <w:p>
            <w:r/>
            <w:r>
              <w:rPr>
                <w:b w:val="0"/>
                <w:sz w:val="17"/>
              </w:rPr>
              <w:t>把績效資訊帶入資源配置</w:t>
            </w:r>
          </w:p>
        </w:tc>
        <w:tc>
          <w:tcPr>
            <w:tcW w:type="dxa" w:w="2256"/>
            <w:vAlign w:val="center"/>
          </w:tcPr>
          <w:p>
            <w:r/>
            <w:r>
              <w:rPr>
                <w:b w:val="0"/>
                <w:sz w:val="17"/>
              </w:rPr>
              <w:t>成果歸因與指標品質是核心難題</w:t>
            </w:r>
          </w:p>
        </w:tc>
      </w:tr>
      <w:tr>
        <w:tc>
          <w:tcPr>
            <w:tcW w:type="dxa" w:w="2256"/>
            <w:vAlign w:val="center"/>
          </w:tcPr>
          <w:p>
            <w:r/>
            <w:r>
              <w:rPr>
                <w:b w:val="0"/>
                <w:sz w:val="17"/>
              </w:rPr>
              <w:t>財政透明與監督</w:t>
            </w:r>
          </w:p>
        </w:tc>
        <w:tc>
          <w:tcPr>
            <w:tcW w:type="dxa" w:w="2256"/>
            <w:vAlign w:val="center"/>
          </w:tcPr>
          <w:p>
            <w:r/>
            <w:r>
              <w:rPr>
                <w:b w:val="0"/>
                <w:sz w:val="17"/>
              </w:rPr>
              <w:t>IMF、OECD</w:t>
            </w:r>
          </w:p>
        </w:tc>
        <w:tc>
          <w:tcPr>
            <w:tcW w:type="dxa" w:w="2256"/>
            <w:vAlign w:val="center"/>
          </w:tcPr>
          <w:p>
            <w:r/>
            <w:r>
              <w:rPr>
                <w:b w:val="0"/>
                <w:sz w:val="17"/>
              </w:rPr>
              <w:t>角色清楚、公開預算、執行報告、審計</w:t>
            </w:r>
          </w:p>
        </w:tc>
        <w:tc>
          <w:tcPr>
            <w:tcW w:type="dxa" w:w="2256"/>
            <w:vAlign w:val="center"/>
          </w:tcPr>
          <w:p>
            <w:r/>
            <w:r>
              <w:rPr>
                <w:b w:val="0"/>
                <w:sz w:val="17"/>
              </w:rPr>
              <w:t>透明不只是公布數字，也要可比較、可追蹤</w:t>
            </w:r>
          </w:p>
        </w:tc>
      </w:tr>
    </w:tbl>
    <w:p>
      <w:r>
        <w:rPr>
          <w:b w:val="0"/>
          <w:sz w:val="21"/>
        </w:rPr>
        <w:t>【國際文獻對照】預算不是純粹的技術計算。Wildavsky式漸增主義指出，年度預算通常以既有基礎額為起點，只對有限增減幅度進行協商；這種方法可降低資訊與衝突成本，但也可能使既有支出結構被路徑依賴地保留下來。相對地，PPBS與績效預算追求較強的理性分析與結果資訊；OECD近年的「Spending Better」框架則進一步要求財政目標、中程支出基線、由上而下支出上限、定期支出檢討、預算透明與有效監督彼此連結。</w:t>
      </w:r>
    </w:p>
    <w:p>
      <w:pPr>
        <w:spacing w:after="200" w:line="360"/>
        <w:ind w:firstLine="431"/>
        <w:jc w:val="both"/>
      </w:pPr>
      <w:r>
        <w:rPr>
          <w:rFonts w:ascii="微軟正黑體" w:cs="微軟正黑體" w:eastAsia="微軟正黑體" w:hAnsi="微軟正黑體"/>
          <w:sz w:val="22"/>
          <w:szCs w:val="22"/>
        </w:rPr>
        <w:t xml:space="preserve">預算週期呈循環樣態,可分四階段。籌編階段,我國採曆年制,會計年度自1月1日至12月31日,由各機關提出概算,經行政院主計總處彙編、行政院會議核定為總預算案後送立法院審議;審議階段具高度政治協商性質,反映政黨與利益團體對資源分配之競逐。執行階段包含三項機制:立法通過後由主計總處核定各機關按月或按期分配數,並配合集中支付制由財政部國庫署撥付;政府採購依政府採購法分公開招標、選擇性招標與限制性招標三種,強調公平、公開與效率;政府會計則負責忠實紀錄執行過程,我國現採應計基礎,將應收未收、應付未付均納入帳目,較現金基礎更能反映真實財務狀況。執行時應遵循利益原則(最大社會利益)、經濟原則(撙節)、認可原則(合法授權)與剩餘原則(保持適度賸餘)四項支出原則,並保留預備金、流用、追加與特別預算等彈性空間。決算與審計階段,決算為預算執行結果之總報告,審核過程分為行政查核(機關會計人員編造決算,經簽章後送審計機關修正彙編)、監察審核(審計部於總決算送達後三個月內完成審核,編造審定數額表並提出審核報告)與立法審議(立法院審議審核報告,解除政府責任)三階段;審計之範疇也從傳統財務合規審計,逐步擴及績效審計與課責審計——這正是本章後半部績效管理登場的制度銜接點。</w:t>
      </w:r>
    </w:p>
    <w:p>
      <w:pPr>
        <w:jc w:val="center"/>
      </w:pPr>
      <w:r>
        <w:t>圖23-1　臺灣中央政府預算循環（法定責任鏈）</w:t>
      </w:r>
    </w:p>
    <w:p>
      <w:pPr>
        <w:jc w:val="center"/>
      </w:pPr>
      <w:r>
        <w:drawing>
          <wp:inline xmlns:a="http://schemas.openxmlformats.org/drawingml/2006/main" xmlns:pic="http://schemas.openxmlformats.org/drawingml/2006/picture">
            <wp:extent cx="6400800" cy="156609"/>
            <wp:docPr id="1" name="Picture 1"/>
            <wp:cNvGraphicFramePr>
              <a:graphicFrameLocks noChangeAspect="1"/>
            </wp:cNvGraphicFramePr>
            <a:graphic>
              <a:graphicData uri="http://schemas.openxmlformats.org/drawingml/2006/picture">
                <pic:pic>
                  <pic:nvPicPr>
                    <pic:cNvPr id="0" name="圖23-1_台灣中央政府預算循環.png"/>
                    <pic:cNvPicPr/>
                  </pic:nvPicPr>
                  <pic:blipFill>
                    <a:blip r:embed="rId6"/>
                    <a:stretch>
                      <a:fillRect/>
                    </a:stretch>
                  </pic:blipFill>
                  <pic:spPr>
                    <a:xfrm>
                      <a:off x="0" y="0"/>
                      <a:ext cx="6400800" cy="156609"/>
                    </a:xfrm>
                    <a:prstGeom prst="rect"/>
                  </pic:spPr>
                </pic:pic>
              </a:graphicData>
            </a:graphic>
          </wp:inline>
        </w:drawing>
      </w:r>
    </w:p>
    <w:p>
      <w:pPr>
        <w:jc w:val="center"/>
      </w:pPr>
      <w:r>
        <w:t>圖23-2　臺灣中央政府決算與審計責任鏈</w:t>
      </w:r>
    </w:p>
    <w:p>
      <w:pPr>
        <w:jc w:val="center"/>
      </w:pPr>
      <w:r>
        <w:drawing>
          <wp:inline xmlns:a="http://schemas.openxmlformats.org/drawingml/2006/main" xmlns:pic="http://schemas.openxmlformats.org/drawingml/2006/picture">
            <wp:extent cx="6400800" cy="395697"/>
            <wp:docPr id="2" name="Picture 2"/>
            <wp:cNvGraphicFramePr>
              <a:graphicFrameLocks noChangeAspect="1"/>
            </wp:cNvGraphicFramePr>
            <a:graphic>
              <a:graphicData uri="http://schemas.openxmlformats.org/drawingml/2006/picture">
                <pic:pic>
                  <pic:nvPicPr>
                    <pic:cNvPr id="0" name="圖23-2_台灣決算與審計責任鏈.png"/>
                    <pic:cNvPicPr/>
                  </pic:nvPicPr>
                  <pic:blipFill>
                    <a:blip r:embed="rId8"/>
                    <a:stretch>
                      <a:fillRect/>
                    </a:stretch>
                  </pic:blipFill>
                  <pic:spPr>
                    <a:xfrm>
                      <a:off x="0" y="0"/>
                      <a:ext cx="6400800" cy="395697"/>
                    </a:xfrm>
                    <a:prstGeom prst="rect"/>
                  </pic:spPr>
                </pic:pic>
              </a:graphicData>
            </a:graphic>
          </wp:inline>
        </w:drawing>
      </w:r>
    </w:p>
    <w:p>
      <w:pPr>
        <w:jc w:val="center"/>
      </w:pPr>
      <w:r>
        <w:t>圖表資料來源：依《預算法》《決算法》、行政院主計總處116年度中央政府總預算編製辦法、OECD（2024）Budgeting in Chinese Taipei及審計部公開資料整理。</w:t>
      </w:r>
    </w:p>
    <w:p>
      <w:pPr>
        <w:spacing w:after="180" w:before="360"/>
      </w:pPr>
      <w:r>
        <w:rPr>
          <w:rFonts w:ascii="微軟正黑體" w:cs="微軟正黑體" w:eastAsia="微軟正黑體" w:hAnsi="微軟正黑體"/>
          <w:b/>
          <w:bCs/>
          <w:color w:val="1F4E79"/>
          <w:sz w:val="26"/>
          <w:szCs w:val="26"/>
        </w:rPr>
        <w:t xml:space="preserve">第四節　AI時代財務治理新典範</w:t>
      </w:r>
    </w:p>
    <w:tbl>
      <w:tblPr>
        <w:tblW w:type="auto" w:w="0"/>
        <w:jc w:val="center"/>
        <w:tblLook w:firstColumn="1" w:firstRow="1" w:lastColumn="0" w:lastRow="0" w:noHBand="0" w:noVBand="1" w:val="04A0"/>
      </w:tblPr>
      <w:tblGrid>
        <w:gridCol w:w="2256"/>
        <w:gridCol w:w="2256"/>
        <w:gridCol w:w="2256"/>
        <w:gridCol w:w="2256"/>
      </w:tblGrid>
      <w:tr>
        <w:tc>
          <w:tcPr>
            <w:tcW w:type="dxa" w:w="2256"/>
            <w:shd w:fill="D9EAF7" w:val="clear"/>
            <w:vAlign w:val="center"/>
          </w:tcPr>
          <w:p>
            <w:r/>
            <w:r>
              <w:rPr>
                <w:b/>
                <w:sz w:val="17"/>
              </w:rPr>
              <w:t>面向</w:t>
            </w:r>
          </w:p>
        </w:tc>
        <w:tc>
          <w:tcPr>
            <w:tcW w:type="dxa" w:w="2256"/>
            <w:shd w:fill="D9EAF7" w:val="clear"/>
            <w:vAlign w:val="center"/>
          </w:tcPr>
          <w:p>
            <w:r/>
            <w:r>
              <w:rPr>
                <w:b/>
                <w:sz w:val="17"/>
              </w:rPr>
              <w:t>臺灣現況</w:t>
            </w:r>
          </w:p>
        </w:tc>
        <w:tc>
          <w:tcPr>
            <w:tcW w:type="dxa" w:w="2256"/>
            <w:shd w:fill="D9EAF7" w:val="clear"/>
            <w:vAlign w:val="center"/>
          </w:tcPr>
          <w:p>
            <w:r/>
            <w:r>
              <w:rPr>
                <w:b/>
                <w:sz w:val="17"/>
              </w:rPr>
              <w:t>OECD／IMF對照</w:t>
            </w:r>
          </w:p>
        </w:tc>
        <w:tc>
          <w:tcPr>
            <w:tcW w:type="dxa" w:w="2256"/>
            <w:shd w:fill="D9EAF7" w:val="clear"/>
            <w:vAlign w:val="center"/>
          </w:tcPr>
          <w:p>
            <w:r/>
            <w:r>
              <w:rPr>
                <w:b/>
                <w:sz w:val="17"/>
              </w:rPr>
              <w:t>可推導的改革方向</w:t>
            </w:r>
          </w:p>
        </w:tc>
      </w:tr>
      <w:tr>
        <w:tc>
          <w:tcPr>
            <w:tcW w:type="dxa" w:w="2256"/>
            <w:vAlign w:val="center"/>
          </w:tcPr>
          <w:p>
            <w:r/>
            <w:r>
              <w:rPr>
                <w:b w:val="0"/>
                <w:sz w:val="17"/>
              </w:rPr>
              <w:t>中程財政框架</w:t>
            </w:r>
          </w:p>
        </w:tc>
        <w:tc>
          <w:tcPr>
            <w:tcW w:type="dxa" w:w="2256"/>
            <w:vAlign w:val="center"/>
          </w:tcPr>
          <w:p>
            <w:r/>
            <w:r>
              <w:rPr>
                <w:b w:val="0"/>
                <w:sz w:val="17"/>
              </w:rPr>
              <w:t>已有中程計畫預算與中程資源分配</w:t>
            </w:r>
          </w:p>
        </w:tc>
        <w:tc>
          <w:tcPr>
            <w:tcW w:type="dxa" w:w="2256"/>
            <w:vAlign w:val="center"/>
          </w:tcPr>
          <w:p>
            <w:r/>
            <w:r>
              <w:rPr>
                <w:b w:val="0"/>
                <w:sz w:val="17"/>
              </w:rPr>
              <w:t>多年度支出基線與明確財政目標</w:t>
            </w:r>
          </w:p>
        </w:tc>
        <w:tc>
          <w:tcPr>
            <w:tcW w:type="dxa" w:w="2256"/>
            <w:vAlign w:val="center"/>
          </w:tcPr>
          <w:p>
            <w:r/>
            <w:r>
              <w:rPr>
                <w:b w:val="0"/>
                <w:sz w:val="17"/>
              </w:rPr>
              <w:t>強化多年度資源治理</w:t>
            </w:r>
          </w:p>
        </w:tc>
      </w:tr>
      <w:tr>
        <w:tc>
          <w:tcPr>
            <w:tcW w:type="dxa" w:w="2256"/>
            <w:vAlign w:val="center"/>
          </w:tcPr>
          <w:p>
            <w:r/>
            <w:r>
              <w:rPr>
                <w:b w:val="0"/>
                <w:sz w:val="17"/>
              </w:rPr>
              <w:t>支出上限</w:t>
            </w:r>
          </w:p>
        </w:tc>
        <w:tc>
          <w:tcPr>
            <w:tcW w:type="dxa" w:w="2256"/>
            <w:vAlign w:val="center"/>
          </w:tcPr>
          <w:p>
            <w:r/>
            <w:r>
              <w:rPr>
                <w:b w:val="0"/>
                <w:sz w:val="17"/>
              </w:rPr>
              <w:t>年度籌編含基本／競爭性需求額度</w:t>
            </w:r>
          </w:p>
        </w:tc>
        <w:tc>
          <w:tcPr>
            <w:tcW w:type="dxa" w:w="2256"/>
            <w:vAlign w:val="center"/>
          </w:tcPr>
          <w:p>
            <w:r/>
            <w:r>
              <w:rPr>
                <w:b w:val="0"/>
                <w:sz w:val="17"/>
              </w:rPr>
              <w:t>Top-down expenditure ceilings</w:t>
            </w:r>
          </w:p>
        </w:tc>
        <w:tc>
          <w:tcPr>
            <w:tcW w:type="dxa" w:w="2256"/>
            <w:vAlign w:val="center"/>
          </w:tcPr>
          <w:p>
            <w:r/>
            <w:r>
              <w:rPr>
                <w:b w:val="0"/>
                <w:sz w:val="17"/>
              </w:rPr>
              <w:t>兼顧總量控制與部門優先排序</w:t>
            </w:r>
          </w:p>
        </w:tc>
      </w:tr>
      <w:tr>
        <w:tc>
          <w:tcPr>
            <w:tcW w:type="dxa" w:w="2256"/>
            <w:vAlign w:val="center"/>
          </w:tcPr>
          <w:p>
            <w:r/>
            <w:r>
              <w:rPr>
                <w:b w:val="0"/>
                <w:sz w:val="17"/>
              </w:rPr>
              <w:t>支出檢討</w:t>
            </w:r>
          </w:p>
        </w:tc>
        <w:tc>
          <w:tcPr>
            <w:tcW w:type="dxa" w:w="2256"/>
            <w:vAlign w:val="center"/>
          </w:tcPr>
          <w:p>
            <w:r/>
            <w:r>
              <w:rPr>
                <w:b w:val="0"/>
                <w:sz w:val="17"/>
              </w:rPr>
              <w:t>計畫審查與預算審核</w:t>
            </w:r>
          </w:p>
        </w:tc>
        <w:tc>
          <w:tcPr>
            <w:tcW w:type="dxa" w:w="2256"/>
            <w:vAlign w:val="center"/>
          </w:tcPr>
          <w:p>
            <w:r/>
            <w:r>
              <w:rPr>
                <w:b w:val="0"/>
                <w:sz w:val="17"/>
              </w:rPr>
              <w:t>Regular spending reviews</w:t>
            </w:r>
          </w:p>
        </w:tc>
        <w:tc>
          <w:tcPr>
            <w:tcW w:type="dxa" w:w="2256"/>
            <w:vAlign w:val="center"/>
          </w:tcPr>
          <w:p>
            <w:r/>
            <w:r>
              <w:rPr>
                <w:b w:val="0"/>
                <w:sz w:val="17"/>
              </w:rPr>
              <w:t>從「每年加多少」轉向「哪些應保留」</w:t>
            </w:r>
          </w:p>
        </w:tc>
      </w:tr>
      <w:tr>
        <w:tc>
          <w:tcPr>
            <w:tcW w:type="dxa" w:w="2256"/>
            <w:vAlign w:val="center"/>
          </w:tcPr>
          <w:p>
            <w:r/>
            <w:r>
              <w:rPr>
                <w:b w:val="0"/>
                <w:sz w:val="17"/>
              </w:rPr>
              <w:t>透明與資訊</w:t>
            </w:r>
          </w:p>
        </w:tc>
        <w:tc>
          <w:tcPr>
            <w:tcW w:type="dxa" w:w="2256"/>
            <w:vAlign w:val="center"/>
          </w:tcPr>
          <w:p>
            <w:r/>
            <w:r>
              <w:rPr>
                <w:b w:val="0"/>
                <w:sz w:val="17"/>
              </w:rPr>
              <w:t>法定預算、決算、審核報告公開</w:t>
            </w:r>
          </w:p>
        </w:tc>
        <w:tc>
          <w:tcPr>
            <w:tcW w:type="dxa" w:w="2256"/>
            <w:vAlign w:val="center"/>
          </w:tcPr>
          <w:p>
            <w:r/>
            <w:r>
              <w:rPr>
                <w:b w:val="0"/>
                <w:sz w:val="17"/>
              </w:rPr>
              <w:t>完整、及時、可理解的財政資訊</w:t>
            </w:r>
          </w:p>
        </w:tc>
        <w:tc>
          <w:tcPr>
            <w:tcW w:type="dxa" w:w="2256"/>
            <w:vAlign w:val="center"/>
          </w:tcPr>
          <w:p>
            <w:r/>
            <w:r>
              <w:rPr>
                <w:b w:val="0"/>
                <w:sz w:val="17"/>
              </w:rPr>
              <w:t>資訊須可比較、可追蹤</w:t>
            </w:r>
          </w:p>
        </w:tc>
      </w:tr>
      <w:tr>
        <w:tc>
          <w:tcPr>
            <w:tcW w:type="dxa" w:w="2256"/>
            <w:vAlign w:val="center"/>
          </w:tcPr>
          <w:p>
            <w:r/>
            <w:r>
              <w:rPr>
                <w:b w:val="0"/>
                <w:sz w:val="17"/>
              </w:rPr>
              <w:t>審計</w:t>
            </w:r>
          </w:p>
        </w:tc>
        <w:tc>
          <w:tcPr>
            <w:tcW w:type="dxa" w:w="2256"/>
            <w:vAlign w:val="center"/>
          </w:tcPr>
          <w:p>
            <w:r/>
            <w:r>
              <w:rPr>
                <w:b w:val="0"/>
                <w:sz w:val="17"/>
              </w:rPr>
              <w:t>審計部兼具財務與效能審核</w:t>
            </w:r>
          </w:p>
        </w:tc>
        <w:tc>
          <w:tcPr>
            <w:tcW w:type="dxa" w:w="2256"/>
            <w:vAlign w:val="center"/>
          </w:tcPr>
          <w:p>
            <w:r/>
            <w:r>
              <w:rPr>
                <w:b w:val="0"/>
                <w:sz w:val="17"/>
              </w:rPr>
              <w:t>performance／risk-based audit</w:t>
            </w:r>
          </w:p>
        </w:tc>
        <w:tc>
          <w:tcPr>
            <w:tcW w:type="dxa" w:w="2256"/>
            <w:vAlign w:val="center"/>
          </w:tcPr>
          <w:p>
            <w:r/>
            <w:r>
              <w:rPr>
                <w:b w:val="0"/>
                <w:sz w:val="17"/>
              </w:rPr>
              <w:t>可與AI資料分析結合，但不取代人類判斷</w:t>
            </w:r>
          </w:p>
        </w:tc>
      </w:tr>
    </w:tbl>
    <w:p>
      <w:r>
        <w:rPr>
          <w:b w:val="0"/>
          <w:sz w:val="21"/>
        </w:rPr>
        <w:t>【臺灣制度與國際最佳實務對照】OECD 2024對臺灣預算制度的評析特別重視中程財政架構、支出上限、支出檢討、預算透明與有效監督；IMF則把角色責任、公開預算程序、財政資訊可得性與完整性視為財政透明的核心。</w:t>
      </w:r>
    </w:p>
    <w:tbl>
      <w:tblPr>
        <w:tblW w:type="auto" w:w="0"/>
        <w:jc w:val="center"/>
        <w:tblLook w:firstColumn="1" w:firstRow="1" w:lastColumn="0" w:lastRow="0" w:noHBand="0" w:noVBand="1" w:val="04A0"/>
      </w:tblPr>
      <w:tblGrid>
        <w:gridCol w:w="3009"/>
        <w:gridCol w:w="3009"/>
        <w:gridCol w:w="3009"/>
      </w:tblGrid>
      <w:tr>
        <w:tc>
          <w:tcPr>
            <w:tcW w:type="dxa" w:w="3009"/>
            <w:shd w:fill="D9EAF7" w:val="clear"/>
            <w:vAlign w:val="center"/>
          </w:tcPr>
          <w:p>
            <w:r/>
            <w:r>
              <w:rPr>
                <w:b/>
                <w:sz w:val="17"/>
              </w:rPr>
              <w:t>程序</w:t>
            </w:r>
          </w:p>
        </w:tc>
        <w:tc>
          <w:tcPr>
            <w:tcW w:type="dxa" w:w="3009"/>
            <w:shd w:fill="D9EAF7" w:val="clear"/>
            <w:vAlign w:val="center"/>
          </w:tcPr>
          <w:p>
            <w:r/>
            <w:r>
              <w:rPr>
                <w:b/>
                <w:sz w:val="17"/>
              </w:rPr>
              <w:t>責任主體</w:t>
            </w:r>
          </w:p>
        </w:tc>
        <w:tc>
          <w:tcPr>
            <w:tcW w:type="dxa" w:w="3009"/>
            <w:shd w:fill="D9EAF7" w:val="clear"/>
            <w:vAlign w:val="center"/>
          </w:tcPr>
          <w:p>
            <w:r/>
            <w:r>
              <w:rPr>
                <w:b/>
                <w:sz w:val="17"/>
              </w:rPr>
              <w:t>重點</w:t>
            </w:r>
          </w:p>
        </w:tc>
      </w:tr>
      <w:tr>
        <w:tc>
          <w:tcPr>
            <w:tcW w:type="dxa" w:w="3009"/>
            <w:vAlign w:val="center"/>
          </w:tcPr>
          <w:p>
            <w:r/>
            <w:r>
              <w:rPr>
                <w:b w:val="0"/>
                <w:sz w:val="17"/>
              </w:rPr>
              <w:t>機關／基金決算編造</w:t>
            </w:r>
          </w:p>
        </w:tc>
        <w:tc>
          <w:tcPr>
            <w:tcW w:type="dxa" w:w="3009"/>
            <w:vAlign w:val="center"/>
          </w:tcPr>
          <w:p>
            <w:r/>
            <w:r>
              <w:rPr>
                <w:b w:val="0"/>
                <w:sz w:val="17"/>
              </w:rPr>
              <w:t>各機關、基金</w:t>
            </w:r>
          </w:p>
        </w:tc>
        <w:tc>
          <w:tcPr>
            <w:tcW w:type="dxa" w:w="3009"/>
            <w:vAlign w:val="center"/>
          </w:tcPr>
          <w:p>
            <w:r/>
            <w:r>
              <w:rPr>
                <w:b w:val="0"/>
                <w:sz w:val="17"/>
              </w:rPr>
              <w:t>依實際執行編造，附施政計畫與績效說明</w:t>
            </w:r>
          </w:p>
        </w:tc>
      </w:tr>
      <w:tr>
        <w:tc>
          <w:tcPr>
            <w:tcW w:type="dxa" w:w="3009"/>
            <w:vAlign w:val="center"/>
          </w:tcPr>
          <w:p>
            <w:r/>
            <w:r>
              <w:rPr>
                <w:b w:val="0"/>
                <w:sz w:val="17"/>
              </w:rPr>
              <w:t>主管機關查核彙編</w:t>
            </w:r>
          </w:p>
        </w:tc>
        <w:tc>
          <w:tcPr>
            <w:tcW w:type="dxa" w:w="3009"/>
            <w:vAlign w:val="center"/>
          </w:tcPr>
          <w:p>
            <w:r/>
            <w:r>
              <w:rPr>
                <w:b w:val="0"/>
                <w:sz w:val="17"/>
              </w:rPr>
              <w:t>各主管機關</w:t>
            </w:r>
          </w:p>
        </w:tc>
        <w:tc>
          <w:tcPr>
            <w:tcW w:type="dxa" w:w="3009"/>
            <w:vAlign w:val="center"/>
          </w:tcPr>
          <w:p>
            <w:r/>
            <w:r>
              <w:rPr>
                <w:b w:val="0"/>
                <w:sz w:val="17"/>
              </w:rPr>
              <w:t>查核、修正、彙編</w:t>
            </w:r>
          </w:p>
        </w:tc>
      </w:tr>
      <w:tr>
        <w:tc>
          <w:tcPr>
            <w:tcW w:type="dxa" w:w="3009"/>
            <w:vAlign w:val="center"/>
          </w:tcPr>
          <w:p>
            <w:r/>
            <w:r>
              <w:rPr>
                <w:b w:val="0"/>
                <w:sz w:val="17"/>
              </w:rPr>
              <w:t>中央總決算編製</w:t>
            </w:r>
          </w:p>
        </w:tc>
        <w:tc>
          <w:tcPr>
            <w:tcW w:type="dxa" w:w="3009"/>
            <w:vAlign w:val="center"/>
          </w:tcPr>
          <w:p>
            <w:r/>
            <w:r>
              <w:rPr>
                <w:b w:val="0"/>
                <w:sz w:val="17"/>
              </w:rPr>
              <w:t>主計總處</w:t>
            </w:r>
          </w:p>
        </w:tc>
        <w:tc>
          <w:tcPr>
            <w:tcW w:type="dxa" w:w="3009"/>
            <w:vAlign w:val="center"/>
          </w:tcPr>
          <w:p>
            <w:r/>
            <w:r>
              <w:rPr>
                <w:b w:val="0"/>
                <w:sz w:val="17"/>
              </w:rPr>
              <w:t>彙整單位決算及國庫年度出納終結報告，呈行政院</w:t>
            </w:r>
          </w:p>
        </w:tc>
      </w:tr>
      <w:tr>
        <w:tc>
          <w:tcPr>
            <w:tcW w:type="dxa" w:w="3009"/>
            <w:vAlign w:val="center"/>
          </w:tcPr>
          <w:p>
            <w:r/>
            <w:r>
              <w:rPr>
                <w:b w:val="0"/>
                <w:sz w:val="17"/>
              </w:rPr>
              <w:t>提出監察院</w:t>
            </w:r>
          </w:p>
        </w:tc>
        <w:tc>
          <w:tcPr>
            <w:tcW w:type="dxa" w:w="3009"/>
            <w:vAlign w:val="center"/>
          </w:tcPr>
          <w:p>
            <w:r/>
            <w:r>
              <w:rPr>
                <w:b w:val="0"/>
                <w:sz w:val="17"/>
              </w:rPr>
              <w:t>行政院／主計體系</w:t>
            </w:r>
          </w:p>
        </w:tc>
        <w:tc>
          <w:tcPr>
            <w:tcW w:type="dxa" w:w="3009"/>
            <w:vAlign w:val="center"/>
          </w:tcPr>
          <w:p>
            <w:r/>
            <w:r>
              <w:rPr>
                <w:b w:val="0"/>
                <w:sz w:val="17"/>
              </w:rPr>
              <w:t>會計年度結束後4個月內提出</w:t>
            </w:r>
          </w:p>
        </w:tc>
      </w:tr>
      <w:tr>
        <w:tc>
          <w:tcPr>
            <w:tcW w:type="dxa" w:w="3009"/>
            <w:vAlign w:val="center"/>
          </w:tcPr>
          <w:p>
            <w:r/>
            <w:r>
              <w:rPr>
                <w:b w:val="0"/>
                <w:sz w:val="17"/>
              </w:rPr>
              <w:t>審計查核</w:t>
            </w:r>
          </w:p>
        </w:tc>
        <w:tc>
          <w:tcPr>
            <w:tcW w:type="dxa" w:w="3009"/>
            <w:vAlign w:val="center"/>
          </w:tcPr>
          <w:p>
            <w:r/>
            <w:r>
              <w:rPr>
                <w:b w:val="0"/>
                <w:sz w:val="17"/>
              </w:rPr>
              <w:t>審計部</w:t>
            </w:r>
          </w:p>
        </w:tc>
        <w:tc>
          <w:tcPr>
            <w:tcW w:type="dxa" w:w="3009"/>
            <w:vAlign w:val="center"/>
          </w:tcPr>
          <w:p>
            <w:r/>
            <w:r>
              <w:rPr>
                <w:b w:val="0"/>
                <w:sz w:val="17"/>
              </w:rPr>
              <w:t>3個月內完成中央總決算審核，編製最終審定數額表與審核報告</w:t>
            </w:r>
          </w:p>
        </w:tc>
      </w:tr>
      <w:tr>
        <w:tc>
          <w:tcPr>
            <w:tcW w:type="dxa" w:w="3009"/>
            <w:vAlign w:val="center"/>
          </w:tcPr>
          <w:p>
            <w:r/>
            <w:r>
              <w:rPr>
                <w:b w:val="0"/>
                <w:sz w:val="17"/>
              </w:rPr>
              <w:t>立法院審議</w:t>
            </w:r>
          </w:p>
        </w:tc>
        <w:tc>
          <w:tcPr>
            <w:tcW w:type="dxa" w:w="3009"/>
            <w:vAlign w:val="center"/>
          </w:tcPr>
          <w:p>
            <w:r/>
            <w:r>
              <w:rPr>
                <w:b w:val="0"/>
                <w:sz w:val="17"/>
              </w:rPr>
              <w:t>立法院</w:t>
            </w:r>
          </w:p>
        </w:tc>
        <w:tc>
          <w:tcPr>
            <w:tcW w:type="dxa" w:w="3009"/>
            <w:vAlign w:val="center"/>
          </w:tcPr>
          <w:p>
            <w:r/>
            <w:r>
              <w:rPr>
                <w:b w:val="0"/>
                <w:sz w:val="17"/>
              </w:rPr>
              <w:t>審議預算執行、政策實施及特別事件等事項</w:t>
            </w:r>
          </w:p>
        </w:tc>
      </w:tr>
      <w:tr>
        <w:tc>
          <w:tcPr>
            <w:tcW w:type="dxa" w:w="3009"/>
            <w:vAlign w:val="center"/>
          </w:tcPr>
          <w:p>
            <w:r/>
            <w:r>
              <w:rPr>
                <w:b w:val="0"/>
                <w:sz w:val="17"/>
              </w:rPr>
              <w:t>責任處理</w:t>
            </w:r>
          </w:p>
        </w:tc>
        <w:tc>
          <w:tcPr>
            <w:tcW w:type="dxa" w:w="3009"/>
            <w:vAlign w:val="center"/>
          </w:tcPr>
          <w:p>
            <w:r/>
            <w:r>
              <w:rPr>
                <w:b w:val="0"/>
                <w:sz w:val="17"/>
              </w:rPr>
              <w:t>監察院及相關機關</w:t>
            </w:r>
          </w:p>
        </w:tc>
        <w:tc>
          <w:tcPr>
            <w:tcW w:type="dxa" w:w="3009"/>
            <w:vAlign w:val="center"/>
          </w:tcPr>
          <w:p>
            <w:r/>
            <w:r>
              <w:rPr>
                <w:b w:val="0"/>
                <w:sz w:val="17"/>
              </w:rPr>
              <w:t>依審核結果處理應賠償、懲處、告誡與改善</w:t>
            </w:r>
          </w:p>
        </w:tc>
      </w:tr>
    </w:tbl>
    <w:p>
      <w:r>
        <w:rPr>
          <w:b w:val="0"/>
          <w:sz w:val="21"/>
        </w:rPr>
        <w:t>【臺灣決算與政府審計：程序與課責補強】依決算法，中央主計機關應於會計年度結束後四個月內，將總決算提出於監察院；審計長於中央政府總決算送達後三個月內完成審核，編造最終審定數額表並提出審核報告於立法院；立法院原則上於審核報告送達後一年內完成審議，未完成者視同審議通過。審計並非只核對帳面數字，決算法明定審核應注意違法失職、預算超支或剩餘、計畫完成程度、經濟與不經濟程度及施政效能等，因此「合規審計＋績效審計」本來就在我國法制中相互銜接。</w:t>
      </w:r>
    </w:p>
    <w:p>
      <w:pPr>
        <w:spacing w:after="140" w:before="260"/>
      </w:pPr>
      <w:r>
        <w:rPr>
          <w:rFonts w:ascii="微軟正黑體" w:cs="微軟正黑體" w:eastAsia="微軟正黑體" w:hAnsi="微軟正黑體"/>
          <w:b/>
          <w:bCs/>
          <w:color w:val="2E5C8A"/>
          <w:sz w:val="23"/>
          <w:szCs w:val="23"/>
        </w:rPr>
        <w:t xml:space="preserve">一、從事後控制到即時預測</w:t>
      </w:r>
    </w:p>
    <w:p>
      <w:pPr>
        <w:spacing w:after="200" w:line="360"/>
        <w:ind w:firstLine="431"/>
        <w:jc w:val="both"/>
      </w:pPr>
      <w:r>
        <w:rPr>
          <w:rFonts w:ascii="微軟正黑體" w:cs="微軟正黑體" w:eastAsia="微軟正黑體" w:hAnsi="微軟正黑體"/>
          <w:sz w:val="22"/>
          <w:szCs w:val="22"/>
        </w:rPr>
        <w:t xml:space="preserve">財務管理自2024年前後邁入典範轉移:從「事後記帳與控制」轉向「即時預測與治理」。傳統預算依賴歷史趨勢與漸增主義估計稅收與支出,易受政治談判與資訊落差影響,導致歲計賸餘或短絀頻仍;導入機器學習後,若能整合財政部稅務大數據、關務資料、國發會景氣指標、主計總處物價與就業數據及中央銀行金流,即可進行預測性財務分析(Predictive Fiscal Analytics),提升稅收與支出預測之準確度。AI也改變預算編列之參與結構——過去由上而下與由下而上之拉鋸,可藉AI輔助之決策支援系統提供各機關成本效益模擬與情境模擬,促進零基精神之實質落實。再者,主權AI與算力基礎設施已成為新型態資本支出:傳統資本預算以硬體建設為主,如今須納入GPU叢集、資料中心、模型訓練成本與能源消耗等跨年度、高單價、技術迭代快速之無形資本,傳統公債支應邏輯須重新檢視。最後,透過政府開放資料與視覺化儀表板,人民得以即時檢視預算執行率,財務透明度隨之提升,強化社會課責。</w:t>
      </w:r>
    </w:p>
    <w:p>
      <w:pPr>
        <w:spacing w:after="140" w:before="260"/>
      </w:pPr>
      <w:r>
        <w:rPr>
          <w:rFonts w:ascii="微軟正黑體" w:cs="微軟正黑體" w:eastAsia="微軟正黑體" w:hAnsi="微軟正黑體"/>
          <w:b/>
          <w:bCs/>
          <w:color w:val="2E5C8A"/>
          <w:sz w:val="23"/>
          <w:szCs w:val="23"/>
        </w:rPr>
        <w:t xml:space="preserve">二、演算法預算與AI審計</w:t>
      </w:r>
    </w:p>
    <w:p>
      <w:pPr>
        <w:spacing w:after="200" w:line="360"/>
        <w:ind w:firstLine="431"/>
        <w:jc w:val="both"/>
      </w:pPr>
      <w:r>
        <w:rPr>
          <w:rFonts w:ascii="微軟正黑體" w:cs="微軟正黑體" w:eastAsia="微軟正黑體" w:hAnsi="微軟正黑體"/>
          <w:sz w:val="22"/>
          <w:szCs w:val="22"/>
        </w:rPr>
        <w:t xml:space="preserve">演算法預算(Algorithmic Budgeting)指運用演算法與大數據自動化進行預算需求預測、支出優先順序建議,甚至預算草案初步生成,其核心並非取代政治決定,而是提供證據基礎,降低漸增主義與本位主義偏誤。傳統零基預算因需全面重估而行政負擔過重,AI可自動化梳理各計畫歷史KPI、預算執行率、審計缺失與民眾陳情情緒分析,生成決策套組初稿及終止、縮減、維持、擴張建議,使ZBB得以在AI時代重生。隨著各機關大量採購AI服務,財務治理亦須因應新型態採購問題:訂閱制與使用量計費(SaaS或Token計費須導入總持有成本TCO概念)、廠商鎖定風險(須評估可攜性與主權模型之長期成本)、以及績效支付(將部分付款與模型準確率、服務可用率掛鉤)。在審計面,AI審計以全量掃描取代傳統抽樣,透過異常偵測辨識偏離常態之採購單價與重複報支,透過跨資料庫勾稽偵測人頭廠商與圍標,並以自然語言處理分析契約文字識別不合理限制性條款。主權算力預算之治理則須面對三項特性:資本門與經常門界線模糊(硬體屬資本門,模型訓練電費與人才屬經常門,須整合估算)、生命週期成本高(須估算五年總持有成本,含折舊、能耗、人才與資安)、以及需獨立科目與透明課責(建議於總預算設置「主權AI與數位基礎設施」專章,揭露算力使用率、單位Token成本與跨機關共用機制)——財務治理須從「買設備」轉為「治理算力公共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構面</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傳統審計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資料範圍</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抽樣</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全量母體掃描</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時機</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事後年度審</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即時連續審計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方法</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人工對帳、憑證核對</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機器學習異常偵測、NLP契約分析</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重點</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合規性</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合規+績效+風險預測</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產出</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審核報告</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風險儀表板+預警+自動化報告草稿</w:t>
            </w:r>
          </w:p>
        </w:tc>
      </w:tr>
    </w:tbl>
    <w:p>
      <w:pPr>
        <w:spacing w:after="280" w:before="120"/>
        <w:jc w:val="center"/>
      </w:pPr>
      <w:r>
        <w:rPr>
          <w:rFonts w:ascii="微軟正黑體" w:cs="微軟正黑體" w:eastAsia="微軟正黑體" w:hAnsi="微軟正黑體"/>
          <w:i/>
          <w:iCs/>
          <w:color w:val="555555"/>
          <w:sz w:val="18"/>
          <w:szCs w:val="18"/>
        </w:rPr>
        <w:t xml:space="preserve">表23-3　傳統審計與AI審計比較</w:t>
      </w:r>
    </w:p>
    <w:p>
      <w:pPr>
        <w:spacing w:after="200" w:line="360"/>
        <w:ind w:firstLine="431"/>
        <w:jc w:val="both"/>
      </w:pPr>
      <w:r>
        <w:rPr>
          <w:rFonts w:ascii="微軟正黑體" w:cs="微軟正黑體" w:eastAsia="微軟正黑體" w:hAnsi="微軟正黑體"/>
          <w:sz w:val="22"/>
          <w:szCs w:val="22"/>
        </w:rPr>
        <w:t xml:space="preserve">預算制度演變表是財務章傳統主幹。績效預算、零基與中程計畫，先寫得出差異，再問儀表板有沒有把「誰批准」換成「誰被算出」。</w:t>
      </w:r>
    </w:p>
    <w:p>
      <w:r>
        <w:t>【與第二十二章的銜接】財務與績效管理所處理的是「資源如何配置、執行與證成」；前一章人事管理則處理「誰具備執行能力以及如何形成這種能力」。因此，本章不再重述考試院、考選、銓敘與公務員制度，而只在分析預算執行與績效結果時，將公務人力視為既定的組織執行條件。簡言之：第二十二章以「人」建立行政能力；本章以「錢」支持政策執行，並以「績效、決算與審計」檢驗資源是否轉化為公共成果。</w:t>
      </w:r>
    </w:p>
    <w:p>
      <w:r>
        <w:drawing>
          <wp:inline xmlns:a="http://schemas.openxmlformats.org/drawingml/2006/main" xmlns:pic="http://schemas.openxmlformats.org/drawingml/2006/picture">
            <wp:extent cx="6126480" cy="3446145"/>
            <wp:docPr id="3" name="Picture 3"/>
            <wp:cNvGraphicFramePr>
              <a:graphicFrameLocks noChangeAspect="1"/>
            </wp:cNvGraphicFramePr>
            <a:graphic>
              <a:graphicData uri="http://schemas.openxmlformats.org/drawingml/2006/picture">
                <pic:pic>
                  <pic:nvPicPr>
                    <pic:cNvPr id="0" name="圖23-3_政策預算執行績效決算審計整合圖_平衡版.png"/>
                    <pic:cNvPicPr/>
                  </pic:nvPicPr>
                  <pic:blipFill>
                    <a:blip r:embed="rId10"/>
                    <a:stretch>
                      <a:fillRect/>
                    </a:stretch>
                  </pic:blipFill>
                  <pic:spPr>
                    <a:xfrm>
                      <a:off x="0" y="0"/>
                      <a:ext cx="6126480" cy="3446145"/>
                    </a:xfrm>
                    <a:prstGeom prst="rect"/>
                  </pic:spPr>
                </pic:pic>
              </a:graphicData>
            </a:graphic>
          </wp:inline>
        </w:drawing>
      </w:r>
    </w:p>
    <w:p>
      <w:pPr>
        <w:spacing w:after="200" w:before="400"/>
      </w:pPr>
      <w:r>
        <w:rPr>
          <w:rFonts w:ascii="微軟正黑體" w:cs="微軟正黑體" w:eastAsia="微軟正黑體" w:hAnsi="微軟正黑體"/>
          <w:b/>
          <w:bCs/>
          <w:sz w:val="32"/>
          <w:szCs w:val="32"/>
        </w:rPr>
        <w:t xml:space="preserve">第二部分　績效管理:資源轉化為何種公共價值</w:t>
      </w:r>
    </w:p>
    <w:p>
      <w:pPr>
        <w:spacing w:after="180" w:before="360"/>
      </w:pPr>
      <w:r>
        <w:rPr>
          <w:rFonts w:ascii="微軟正黑體" w:cs="微軟正黑體" w:eastAsia="微軟正黑體" w:hAnsi="微軟正黑體"/>
          <w:b/>
          <w:bCs/>
          <w:color w:val="1F4E79"/>
          <w:sz w:val="26"/>
          <w:szCs w:val="26"/>
        </w:rPr>
        <w:t xml:space="preserve">第五節　績效管理的意涵與演進</w:t>
      </w:r>
    </w:p>
    <w:p>
      <w:pPr>
        <w:spacing w:after="140" w:before="260"/>
      </w:pPr>
      <w:r>
        <w:rPr>
          <w:rFonts w:ascii="微軟正黑體" w:cs="微軟正黑體" w:eastAsia="微軟正黑體" w:hAnsi="微軟正黑體"/>
          <w:b/>
          <w:bCs/>
          <w:color w:val="2E5C8A"/>
          <w:sz w:val="23"/>
          <w:szCs w:val="23"/>
        </w:rPr>
        <w:t xml:space="preserve">一、績效的定義:3E+Q</w:t>
      </w:r>
    </w:p>
    <w:p>
      <w:pPr>
        <w:spacing w:after="200" w:line="360"/>
        <w:ind w:firstLine="431"/>
        <w:jc w:val="both"/>
      </w:pPr>
      <w:r>
        <w:rPr>
          <w:rFonts w:ascii="微軟正黑體" w:cs="微軟正黑體" w:eastAsia="微軟正黑體" w:hAnsi="微軟正黑體"/>
          <w:sz w:val="22"/>
          <w:szCs w:val="22"/>
        </w:rPr>
        <w:t xml:space="preserve">績效(Performance)指組織或個人在特定時間內,為達成既定目標所展現之行為與所產出結果之總和。其內涵常區分為三層次:經濟(Economy)強調投入成本之節約;效率(Efficiency)強調投入與產出之比率,即「把事情做對」;效能(Effectiveness)強調結果達成目標之程度,即「做對的事情」。公共行政學者進一步納入公平(Equity)與品質(Quality),形成3E+Q之整合觀——公平關注服務分配是否照顧弱勢與程序正義,品質關注顧客體驗與服務過程之可信賴性,績效並非單一數字,而是多重價值權衡後的社會建構。</w:t>
      </w:r>
    </w:p>
    <w:p>
      <w:pPr>
        <w:spacing w:after="140" w:before="260"/>
      </w:pPr>
      <w:r>
        <w:rPr>
          <w:rFonts w:ascii="微軟正黑體" w:cs="微軟正黑體" w:eastAsia="微軟正黑體" w:hAnsi="微軟正黑體"/>
          <w:b/>
          <w:bCs/>
          <w:color w:val="2E5C8A"/>
          <w:sz w:val="23"/>
          <w:szCs w:val="23"/>
        </w:rPr>
        <w:t xml:space="preserve">二、績效管理的定義與三層次連結</w:t>
      </w:r>
    </w:p>
    <w:p>
      <w:pPr>
        <w:spacing w:after="200" w:line="360"/>
        <w:ind w:firstLine="431"/>
        <w:jc w:val="both"/>
      </w:pPr>
      <w:r>
        <w:rPr>
          <w:rFonts w:ascii="微軟正黑體" w:cs="微軟正黑體" w:eastAsia="微軟正黑體" w:hAnsi="微軟正黑體"/>
          <w:sz w:val="22"/>
          <w:szCs w:val="22"/>
        </w:rPr>
        <w:t xml:space="preserve">依美國國家績效評鑑委員會績效衡量研究小組之經典定義,績效管理係指「利用績效資訊協助設定合意的績效目標,進行資源配置與優先順序排列,以告知管理者維持或改變既定計畫目標,並報告成功符合目標之管理過程」。綜合言之,績效管理是組織系統性地整合目標設定、衡量設計、執行回饋與學習改善,以提升組織產出與公共價值創造能力之連續性管理過程,其間必然同時處理組織績效、部門(團體)績效與個人績效三層次之連結,避免「組織達標但個人挫敗」或「個人高分但政策失效」之脫鉤現象。</w:t>
      </w:r>
    </w:p>
    <w:p>
      <w:pPr>
        <w:spacing w:after="140" w:before="260"/>
      </w:pPr>
      <w:r>
        <w:rPr>
          <w:rFonts w:ascii="微軟正黑體" w:cs="微軟正黑體" w:eastAsia="微軟正黑體" w:hAnsi="微軟正黑體"/>
          <w:b/>
          <w:bCs/>
          <w:color w:val="2E5C8A"/>
          <w:sz w:val="23"/>
          <w:szCs w:val="23"/>
        </w:rPr>
        <w:t xml:space="preserve">三、發展背景:從傳統控制到新公共管理</w:t>
      </w:r>
    </w:p>
    <w:p>
      <w:pPr>
        <w:spacing w:after="200" w:line="360"/>
        <w:ind w:firstLine="431"/>
        <w:jc w:val="both"/>
      </w:pPr>
      <w:r>
        <w:rPr>
          <w:rFonts w:ascii="微軟正黑體" w:cs="微軟正黑體" w:eastAsia="微軟正黑體" w:hAnsi="微軟正黑體"/>
          <w:sz w:val="22"/>
          <w:szCs w:val="22"/>
        </w:rPr>
        <w:t xml:space="preserve">行政學對績效之重視與典範演進相呼應。傳統官僚典範強調依法行政與程序控制,績效被簡化為「守法與服從」;新公共管理(NPM)自1980年代起將企業經營理念帶入政府,高舉結果導向、顧客導向與競爭機制,美國高爾(Gore)主導之國家績效評鑑(NPR)與英國公民憲章(Citizen's Charter)皆為代表;2000年後,數位治理與整體政府(Whole-of-Government)思潮補充NPM之不足,強調跨域協作績效與數位服務績效;2020年後,生成式AI與代理式AI使績效管理進入「AI增強」階段,衡量方式由事後回顧轉向即時預測與主動介入。</w:t>
      </w:r>
    </w:p>
    <w:p>
      <w:pPr>
        <w:spacing w:after="140" w:before="260"/>
      </w:pPr>
      <w:r>
        <w:rPr>
          <w:rFonts w:ascii="微軟正黑體" w:cs="微軟正黑體" w:eastAsia="微軟正黑體" w:hAnsi="微軟正黑體"/>
          <w:b/>
          <w:bCs/>
          <w:color w:val="2E5C8A"/>
          <w:sz w:val="23"/>
          <w:szCs w:val="23"/>
        </w:rPr>
        <w:t xml:space="preserve">四、績效管理的功能</w:t>
      </w:r>
    </w:p>
    <w:p>
      <w:pPr>
        <w:pStyle w:val="ListParagraph"/>
        <w:numPr>
          <w:ilvl w:val="0"/>
          <w:numId w:val="2"/>
        </w:numPr>
        <w:spacing w:after="120" w:line="340"/>
      </w:pPr>
      <w:r>
        <w:rPr>
          <w:rFonts w:ascii="微軟正黑體" w:cs="微軟正黑體" w:eastAsia="微軟正黑體" w:hAnsi="微軟正黑體"/>
          <w:sz w:val="22"/>
          <w:szCs w:val="22"/>
        </w:rPr>
        <w:t xml:space="preserve">策略轉譯:將抽象使命轉化為可操作目標。</w:t>
      </w:r>
    </w:p>
    <w:p>
      <w:pPr>
        <w:pStyle w:val="ListParagraph"/>
        <w:numPr>
          <w:ilvl w:val="0"/>
          <w:numId w:val="2"/>
        </w:numPr>
        <w:spacing w:after="120" w:line="340"/>
      </w:pPr>
      <w:r>
        <w:rPr>
          <w:rFonts w:ascii="微軟正黑體" w:cs="微軟正黑體" w:eastAsia="微軟正黑體" w:hAnsi="微軟正黑體"/>
          <w:sz w:val="22"/>
          <w:szCs w:val="22"/>
        </w:rPr>
        <w:t xml:space="preserve">課責證成:向立法機關、民眾與審計機關說明資源使用成果。</w:t>
      </w:r>
    </w:p>
    <w:p>
      <w:pPr>
        <w:pStyle w:val="ListParagraph"/>
        <w:numPr>
          <w:ilvl w:val="0"/>
          <w:numId w:val="2"/>
        </w:numPr>
        <w:spacing w:after="120" w:line="340"/>
      </w:pPr>
      <w:r>
        <w:rPr>
          <w:rFonts w:ascii="微軟正黑體" w:cs="微軟正黑體" w:eastAsia="微軟正黑體" w:hAnsi="微軟正黑體"/>
          <w:sz w:val="22"/>
          <w:szCs w:val="22"/>
        </w:rPr>
        <w:t xml:space="preserve">資源配置:依據績效資訊進行預算與人力優先排序。</w:t>
      </w:r>
    </w:p>
    <w:p>
      <w:pPr>
        <w:pStyle w:val="ListParagraph"/>
        <w:numPr>
          <w:ilvl w:val="0"/>
          <w:numId w:val="2"/>
        </w:numPr>
        <w:spacing w:after="120" w:line="340"/>
      </w:pPr>
      <w:r>
        <w:rPr>
          <w:rFonts w:ascii="微軟正黑體" w:cs="微軟正黑體" w:eastAsia="微軟正黑體" w:hAnsi="微軟正黑體"/>
          <w:sz w:val="22"/>
          <w:szCs w:val="22"/>
        </w:rPr>
        <w:t xml:space="preserve">學習改善:透過回饋機制持續修正執行。</w:t>
      </w:r>
    </w:p>
    <w:p>
      <w:pPr>
        <w:pStyle w:val="ListParagraph"/>
        <w:numPr>
          <w:ilvl w:val="0"/>
          <w:numId w:val="2"/>
        </w:numPr>
        <w:spacing w:after="120" w:line="340"/>
      </w:pPr>
      <w:r>
        <w:rPr>
          <w:rFonts w:ascii="微軟正黑體" w:cs="微軟正黑體" w:eastAsia="微軟正黑體" w:hAnsi="微軟正黑體"/>
          <w:sz w:val="22"/>
          <w:szCs w:val="22"/>
        </w:rPr>
        <w:t xml:space="preserve">激勵導向:連結獎酬與職涯發展,引導員工努力方向。</w:t>
      </w:r>
    </w:p>
    <w:p>
      <w:pPr>
        <w:pStyle w:val="ListParagraph"/>
        <w:numPr>
          <w:ilvl w:val="0"/>
          <w:numId w:val="2"/>
        </w:numPr>
        <w:spacing w:after="120" w:line="340"/>
      </w:pPr>
      <w:r>
        <w:rPr>
          <w:rFonts w:ascii="微軟正黑體" w:cs="微軟正黑體" w:eastAsia="微軟正黑體" w:hAnsi="微軟正黑體"/>
          <w:sz w:val="22"/>
          <w:szCs w:val="22"/>
        </w:rPr>
        <w:t xml:space="preserve">公共溝通:建立政府與公民間關於「何謂好政府」之共同語言。</w:t>
      </w:r>
    </w:p>
    <w:p>
      <w:pPr>
        <w:spacing w:after="200" w:line="360"/>
        <w:ind w:firstLine="431"/>
        <w:jc w:val="both"/>
      </w:pPr>
      <w:r>
        <w:rPr>
          <w:rFonts w:ascii="微軟正黑體" w:cs="微軟正黑體" w:eastAsia="微軟正黑體" w:hAnsi="微軟正黑體"/>
          <w:sz w:val="22"/>
          <w:szCs w:val="22"/>
        </w:rPr>
        <w:t xml:space="preserve">值得注意的是,績效管理的資源配置功能與前四節財務管理的預算籌編功能實為一體之兩面——財務決定「能動用多少資源」,績效證成「這些資源創造了什麼」,二者共同構成公共資源治理的完整迴路。</w:t>
      </w:r>
    </w:p>
    <w:p>
      <w:pPr>
        <w:spacing w:after="180" w:before="360"/>
      </w:pPr>
      <w:r>
        <w:rPr>
          <w:rFonts w:ascii="微軟正黑體" w:cs="微軟正黑體" w:eastAsia="微軟正黑體" w:hAnsi="微軟正黑體"/>
          <w:b/>
          <w:bCs/>
          <w:color w:val="1F4E79"/>
          <w:sz w:val="26"/>
          <w:szCs w:val="26"/>
        </w:rPr>
        <w:t xml:space="preserve">第六節　績效指標、SMART原則與衡量限制</w:t>
      </w:r>
    </w:p>
    <w:p>
      <w:pPr>
        <w:spacing w:after="140" w:before="260"/>
      </w:pPr>
      <w:r>
        <w:rPr>
          <w:rFonts w:ascii="微軟正黑體" w:cs="微軟正黑體" w:eastAsia="微軟正黑體" w:hAnsi="微軟正黑體"/>
          <w:b/>
          <w:bCs/>
          <w:color w:val="2E5C8A"/>
          <w:sz w:val="23"/>
          <w:szCs w:val="23"/>
        </w:rPr>
        <w:t xml:space="preserve">一、績效指標的多元類型</w:t>
      </w:r>
    </w:p>
    <w:p>
      <w:pPr>
        <w:spacing w:after="200" w:line="360"/>
        <w:ind w:firstLine="431"/>
        <w:jc w:val="both"/>
      </w:pPr>
      <w:r>
        <w:rPr>
          <w:rFonts w:ascii="微軟正黑體" w:cs="微軟正黑體" w:eastAsia="微軟正黑體" w:hAnsi="微軟正黑體"/>
          <w:sz w:val="22"/>
          <w:szCs w:val="22"/>
        </w:rPr>
        <w:t xml:space="preserve">指標是績效之操作化。常見二維分類:其一為邏輯模式取向,分為投入(Input,預算與人力)、過程(Process,行政流程與處理時程)、輸出(Output,服務量)、結果(Outcome,中期行為改變)、影響(Impact,長期社會福祉);其二為價值取向,分為經濟、效率、效能、公平、品質。如「重鋪水管鋪設公尺數」屬輸出,但不等於「漏水率下降」之結果或「供水穩定提升」之影響。公部門常見謬誤是以易衡量之輸出替代難衡量之結果,造成目標錯置。</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542"/>
        <w:gridCol w:w="2542"/>
        <w:gridCol w:w="2542"/>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類型面向</w:t>
            </w:r>
          </w:p>
        </w:tc>
        <w:tc>
          <w:tcPr>
            <w:tcW w:type="dxa" w:w="2542"/>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定義</w:t>
            </w:r>
          </w:p>
        </w:tc>
        <w:tc>
          <w:tcPr>
            <w:tcW w:type="dxa" w:w="2542"/>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公部門舉例</w:t>
            </w:r>
          </w:p>
        </w:tc>
        <w:tc>
          <w:tcPr>
            <w:tcW w:type="dxa" w:w="2542"/>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衡量陷阱</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投入</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達成目標所需資源</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預算數、人力FTE</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易膨脹投入以顯示重視</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過程</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資源轉化之活動與程序</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平均公文處理日數、線上申辦比例</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過程合規不等於服務有效</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輸出</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直接產出之產品或服務量</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核發津貼件數、辦理場次</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量多不代表質佳</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結果</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政策對目標對象之短期至中期改變</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就業率提升、漏水率下降</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受外在因素干擾,因果難歸因</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影響/公平/品質</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長期公共價值與分配正義</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弱勢家戶可近性、民眾信任度</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難以量化,需質性與主觀資料輔助</w:t>
            </w:r>
          </w:p>
        </w:tc>
      </w:tr>
    </w:tbl>
    <w:p>
      <w:pPr>
        <w:spacing w:after="280" w:before="120"/>
        <w:jc w:val="center"/>
      </w:pPr>
      <w:r>
        <w:rPr>
          <w:rFonts w:ascii="微軟正黑體" w:cs="微軟正黑體" w:eastAsia="微軟正黑體" w:hAnsi="微軟正黑體"/>
          <w:i/>
          <w:iCs/>
          <w:color w:val="555555"/>
          <w:sz w:val="18"/>
          <w:szCs w:val="18"/>
        </w:rPr>
        <w:t xml:space="preserve">表23-4　績效指標類型與舉例</w:t>
      </w:r>
    </w:p>
    <w:p>
      <w:pPr>
        <w:spacing w:after="140" w:before="260"/>
      </w:pPr>
      <w:r>
        <w:rPr>
          <w:rFonts w:ascii="微軟正黑體" w:cs="微軟正黑體" w:eastAsia="微軟正黑體" w:hAnsi="微軟正黑體"/>
          <w:b/>
          <w:bCs/>
          <w:color w:val="2E5C8A"/>
          <w:sz w:val="23"/>
          <w:szCs w:val="23"/>
        </w:rPr>
        <w:t xml:space="preserve">二、SMART原則與公共性檢核</w:t>
      </w:r>
    </w:p>
    <w:p>
      <w:pPr>
        <w:spacing w:after="200" w:line="360"/>
        <w:ind w:firstLine="431"/>
        <w:jc w:val="both"/>
      </w:pPr>
      <w:r>
        <w:rPr>
          <w:rFonts w:ascii="微軟正黑體" w:cs="微軟正黑體" w:eastAsia="微軟正黑體" w:hAnsi="微軟正黑體"/>
          <w:sz w:val="22"/>
          <w:szCs w:val="22"/>
        </w:rPr>
        <w:t xml:space="preserve">優良KPI應符合SMART原則:Specific(具體明確)、Measurable(可衡量)、Achievable(可達成)、Relevant(與策略相關)、Time-bound(有期程)。近年加入E與R之SMARTER版本,為Equitable(公平)與Robust(穩健)。公共部門特別須補充「公共性檢核」:該指標是否反映公共價值而非僅內部便利?是否避免對弱勢族群之系統性排除?是否具抗操弄性?</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原則</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檢核問題</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常見缺失</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S 具體</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指標是否清楚定義母體、計算式與資料來源?</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定義模糊,如「提升服務品質」無操作定義</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M 可衡量</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是否有可靠資料蒐集方式與基線?</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僅質性描述,無數據支撐</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A 可達成</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在現有資源與法制限制下是否務實?</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目標過高,導致造假或挫敗</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R 相關</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是否連結組織策略地圖與公民需求?</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為衡量而衡量,指標與使命脫鉤</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T 時限</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是否有期程與回饋週期?</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長期目標無里程碑,延宕無覺</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 公共性</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是否納入公平、透明與參與?</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忽略分配正義與數位包容</w:t>
            </w:r>
          </w:p>
        </w:tc>
      </w:tr>
    </w:tbl>
    <w:p>
      <w:pPr>
        <w:spacing w:after="280" w:before="120"/>
        <w:jc w:val="center"/>
      </w:pPr>
      <w:r>
        <w:rPr>
          <w:rFonts w:ascii="微軟正黑體" w:cs="微軟正黑體" w:eastAsia="微軟正黑體" w:hAnsi="微軟正黑體"/>
          <w:i/>
          <w:iCs/>
          <w:color w:val="555555"/>
          <w:sz w:val="18"/>
          <w:szCs w:val="18"/>
        </w:rPr>
        <w:t xml:space="preserve">表23-5　SMART原則與公共性檢核</w:t>
      </w:r>
    </w:p>
    <w:p>
      <w:pPr>
        <w:spacing w:after="140" w:before="260"/>
      </w:pPr>
      <w:r>
        <w:rPr>
          <w:rFonts w:ascii="微軟正黑體" w:cs="微軟正黑體" w:eastAsia="微軟正黑體" w:hAnsi="微軟正黑體"/>
          <w:b/>
          <w:bCs/>
          <w:color w:val="2E5C8A"/>
          <w:sz w:val="23"/>
          <w:szCs w:val="23"/>
        </w:rPr>
        <w:t xml:space="preserve">三、績效衡量的謬誤、限制與生產力整合觀</w:t>
      </w:r>
    </w:p>
    <w:p>
      <w:pPr>
        <w:spacing w:after="200" w:line="360"/>
        <w:ind w:firstLine="431"/>
        <w:jc w:val="both"/>
      </w:pPr>
      <w:r>
        <w:rPr>
          <w:rFonts w:ascii="微軟正黑體" w:cs="微軟正黑體" w:eastAsia="微軟正黑體" w:hAnsi="微軟正黑體"/>
          <w:sz w:val="22"/>
          <w:szCs w:val="22"/>
        </w:rPr>
        <w:t xml:space="preserve">公部門績效管理之結構限制有五:目標設定無法一致(利害關係人多元,目標相互衝突,績效定義即政治過程)、指標難以量化(高度公共利益、象徵價值無法以金額或數量完全捕捉)、資訊不完全與政治化(執行資訊受選擇性揭露,評估易偏頗)、品質績效難訂(滿意度、尊嚴、同理等仰賴使用者主觀認定)、以及因果關係難以確認(政策成果受複雜外在環境中介)。常見病態效應包括隧道視野(只看KPI)、次優化(部門達標犧牲整體)、短視近利與造假粉飾。理解限制是避免績效暴政(Performance Tyranny)之第一步。生產力(Productivity)則應被視為效率、效能、品質與公平之綜合概念,不僅是「投入產出比」,而是「在確保公共價值前提下,以最少資源創造最大公民福祉之能力」;AI導入後,生產力衡量須同時關注「人類生產力」與「人機協作生產力」之雙軌提升。</w:t>
      </w:r>
    </w:p>
    <w:p>
      <w:pPr>
        <w:spacing w:after="180" w:before="360"/>
      </w:pPr>
      <w:r>
        <w:rPr>
          <w:rFonts w:ascii="微軟正黑體" w:cs="微軟正黑體" w:eastAsia="微軟正黑體" w:hAnsi="微軟正黑體"/>
          <w:b/>
          <w:bCs/>
          <w:color w:val="1F4E79"/>
          <w:sz w:val="26"/>
          <w:szCs w:val="26"/>
        </w:rPr>
        <w:t xml:space="preserve">第七節　績效管理工具:MBO、平衡計分卡、OKR與360度回饋</w:t>
      </w:r>
    </w:p>
    <w:p>
      <w:pPr>
        <w:spacing w:after="140" w:before="260"/>
      </w:pPr>
      <w:r>
        <w:rPr>
          <w:rFonts w:ascii="微軟正黑體" w:cs="微軟正黑體" w:eastAsia="微軟正黑體" w:hAnsi="微軟正黑體"/>
          <w:b/>
          <w:bCs/>
          <w:color w:val="2E5C8A"/>
          <w:sz w:val="23"/>
          <w:szCs w:val="23"/>
        </w:rPr>
        <w:t xml:space="preserve">一、目標管理(MBO)</w:t>
      </w:r>
    </w:p>
    <w:p>
      <w:pPr>
        <w:spacing w:after="200" w:line="360"/>
        <w:ind w:firstLine="431"/>
        <w:jc w:val="both"/>
      </w:pPr>
      <w:r>
        <w:rPr>
          <w:rFonts w:ascii="微軟正黑體" w:cs="微軟正黑體" w:eastAsia="微軟正黑體" w:hAnsi="微軟正黑體"/>
          <w:sz w:val="22"/>
          <w:szCs w:val="22"/>
        </w:rPr>
        <w:t xml:space="preserve">杜拉克(P. Drucker)於1954年提出目標管理,強調主管與部屬共同設定目標、參與決策與回饋,流程為設定組織目標→部門展開→個人承諾→定期檢核→績效回饋。其貢獻在於將績效由特質導向轉為結果導向,並強化上下溝通;限制則在於若目標設定過程形式化,易淪為文書作業,且忽略目標之動態調整。</w:t>
      </w:r>
    </w:p>
    <w:p>
      <w:pPr>
        <w:spacing w:after="140" w:before="260"/>
      </w:pPr>
      <w:r>
        <w:rPr>
          <w:rFonts w:ascii="微軟正黑體" w:cs="微軟正黑體" w:eastAsia="微軟正黑體" w:hAnsi="微軟正黑體"/>
          <w:b/>
          <w:bCs/>
          <w:color w:val="2E5C8A"/>
          <w:sz w:val="23"/>
          <w:szCs w:val="23"/>
        </w:rPr>
        <w:t xml:space="preserve">二、平衡計分卡(BSC)</w:t>
      </w:r>
    </w:p>
    <w:p>
      <w:pPr>
        <w:spacing w:after="200" w:line="360"/>
        <w:ind w:firstLine="431"/>
        <w:jc w:val="both"/>
      </w:pPr>
      <w:r>
        <w:rPr>
          <w:rFonts w:ascii="微軟正黑體" w:cs="微軟正黑體" w:eastAsia="微軟正黑體" w:hAnsi="微軟正黑體"/>
          <w:sz w:val="22"/>
          <w:szCs w:val="22"/>
        </w:rPr>
        <w:t xml:space="preserve">Kaplan與Norton於1992年提出平衡計分卡,主張績效不應僅看財務,而應由四構面平衡觀之:財務構面(如何對股東負責)、顧客構面(如何滿足顧客)、內部流程構面(擅長何種關鍵流程)、學習與成長構面(如何持續改善與創造價值);四構面間透過策略地圖呈現因果鏈——學習成長驅動內部流程改善,流程改善提升顧客滿意,最終反映於財務績效。公部門轉化時,財務非終極目標,顧客應轉譯為「公民與利害關係人」,並將使命置於頂端,常以「使命—公民/利害關係人—財務預算—內部流程—學習成長」為順序。例如稅務機關之顧客構面KPI可為「線上申報滿意度與弱勢協助完成率」,內部流程為「跨機關資料介接成功率」,學習成長為「AI識詐能力培訓時數」,財務為「每件服務成本與預算執行效能」。</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200"/>
        <w:gridCol w:w="2400"/>
        <w:gridCol w:w="30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原始構面</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公部門轉譯</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關鍵提問</w:t>
            </w:r>
          </w:p>
        </w:tc>
        <w:tc>
          <w:tcPr>
            <w:tcW w:type="dxa" w:w="30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常見KPI舉例</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財務</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預算與資源運用</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如何有效率且公平運用公帑?</w:t>
            </w:r>
          </w:p>
        </w:tc>
        <w:tc>
          <w:tcPr>
            <w:tcW w:type="dxa" w:w="3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單位服務成本、預算達成率、中長程財務永續</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顧客</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公民與利害關係人</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是否回應多元公民需求?</w:t>
            </w:r>
          </w:p>
        </w:tc>
        <w:tc>
          <w:tcPr>
            <w:tcW w:type="dxa" w:w="3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公民滿意度、弱勢可近性、陳情處理時效</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內部流程</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跨域流程與數位流程</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哪些關鍵流程決定服務品質?</w:t>
            </w:r>
          </w:p>
        </w:tc>
        <w:tc>
          <w:tcPr>
            <w:tcW w:type="dxa" w:w="3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流程自動化比例、跨機關協作次數、錯誤率</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學習與成長</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人力資本與數據資本</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如何培育未來能力?</w:t>
            </w:r>
          </w:p>
        </w:tc>
        <w:tc>
          <w:tcPr>
            <w:tcW w:type="dxa" w:w="3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數據素養培訓、開放資料件數、員工敬業度</w:t>
            </w:r>
          </w:p>
        </w:tc>
      </w:tr>
    </w:tbl>
    <w:p>
      <w:pPr>
        <w:spacing w:after="280" w:before="120"/>
        <w:jc w:val="center"/>
      </w:pPr>
      <w:r>
        <w:rPr>
          <w:rFonts w:ascii="微軟正黑體" w:cs="微軟正黑體" w:eastAsia="微軟正黑體" w:hAnsi="微軟正黑體"/>
          <w:i/>
          <w:iCs/>
          <w:color w:val="555555"/>
          <w:sz w:val="18"/>
          <w:szCs w:val="18"/>
        </w:rPr>
        <w:t xml:space="preserve">表23-6　平衡計分卡四構面在公部門之轉化</w:t>
      </w:r>
    </w:p>
    <w:p>
      <w:pPr>
        <w:spacing w:after="140" w:before="260"/>
      </w:pPr>
      <w:r>
        <w:rPr>
          <w:rFonts w:ascii="微軟正黑體" w:cs="微軟正黑體" w:eastAsia="微軟正黑體" w:hAnsi="微軟正黑體"/>
          <w:b/>
          <w:bCs/>
          <w:color w:val="2E5C8A"/>
          <w:sz w:val="23"/>
          <w:szCs w:val="23"/>
        </w:rPr>
        <w:t xml:space="preserve">三、OKR與KPI之辨</w:t>
      </w:r>
    </w:p>
    <w:p>
      <w:pPr>
        <w:spacing w:after="200" w:line="360"/>
        <w:ind w:firstLine="431"/>
        <w:jc w:val="both"/>
      </w:pPr>
      <w:r>
        <w:rPr>
          <w:rFonts w:ascii="微軟正黑體" w:cs="微軟正黑體" w:eastAsia="微軟正黑體" w:hAnsi="微軟正黑體"/>
          <w:sz w:val="22"/>
          <w:szCs w:val="22"/>
        </w:rPr>
        <w:t xml:space="preserve">OKR(Objectives and Key Results)強調野心式目標(Objectives,應具質性與啟發性)與可量化之關鍵成果(Key Results,2至4項)之連結,並鼓勵由下而上設定與頻繁檢視(通常季循環)。與KPI(常為維運型、穩定型指標)不同,OKR適合推動變革型專案,如數位轉型;若混淆二者,易以OKR執行例行業務,失去挑戰性。公部門導入OKR時,須保留KPI作為基線維運,同時以OKR推動創新。</w:t>
      </w:r>
    </w:p>
    <w:p>
      <w:pPr>
        <w:spacing w:after="140" w:before="260"/>
      </w:pPr>
      <w:r>
        <w:rPr>
          <w:rFonts w:ascii="微軟正黑體" w:cs="微軟正黑體" w:eastAsia="微軟正黑體" w:hAnsi="微軟正黑體"/>
          <w:b/>
          <w:bCs/>
          <w:color w:val="2E5C8A"/>
          <w:sz w:val="23"/>
          <w:szCs w:val="23"/>
        </w:rPr>
        <w:t xml:space="preserve">四、其他輔助工具</w:t>
      </w:r>
    </w:p>
    <w:p>
      <w:pPr>
        <w:spacing w:after="200" w:line="360"/>
        <w:ind w:firstLine="431"/>
        <w:jc w:val="both"/>
      </w:pPr>
      <w:r>
        <w:rPr>
          <w:rFonts w:ascii="微軟正黑體" w:cs="微軟正黑體" w:eastAsia="微軟正黑體" w:hAnsi="微軟正黑體"/>
          <w:sz w:val="22"/>
          <w:szCs w:val="22"/>
        </w:rPr>
        <w:t xml:space="preserve">標竿學習(Benchmarking)透過與績優機關比較,找出最佳實務,重點在學習流程而非抄襲數字;360度回饋打破單一主管考評,納入同事、部屬、公民與自我評估,提升視角多元性,但須處理信度與匿名安全問題;評鑑中心法與關鍵事件法可用於行為面績效之具體化,防止暈輪效應與近期效應等考評謬誤。</w:t>
      </w:r>
    </w:p>
    <w:p>
      <w:r>
        <w:rPr>
          <w:b/>
          <w:sz w:val="22"/>
        </w:rPr>
        <w:t>概念圖23-C　績效管理的「目標—指標—結果—學習」鏈</w:t>
      </w:r>
    </w:p>
    <w:tbl>
      <w:tblPr>
        <w:tblW w:type="auto" w:w="0"/>
        <w:jc w:val="center"/>
        <w:tblLook w:firstColumn="1" w:firstRow="1" w:lastColumn="0" w:lastRow="0" w:noHBand="0" w:noVBand="1" w:val="04A0"/>
      </w:tblPr>
      <w:tblGrid>
        <w:gridCol w:w="2256"/>
        <w:gridCol w:w="2256"/>
        <w:gridCol w:w="2256"/>
        <w:gridCol w:w="2256"/>
      </w:tblGrid>
      <w:tr>
        <w:tc>
          <w:tcPr>
            <w:tcW w:type="dxa" w:w="2256"/>
            <w:vAlign w:val="center"/>
            <w:shd w:fill="D9EAF7"/>
          </w:tcPr>
          <w:p>
            <w:r/>
            <w:r>
              <w:rPr>
                <w:b/>
                <w:sz w:val="17"/>
              </w:rPr>
              <w:t>層次</w:t>
            </w:r>
          </w:p>
        </w:tc>
        <w:tc>
          <w:tcPr>
            <w:tcW w:type="dxa" w:w="2256"/>
            <w:vAlign w:val="center"/>
            <w:shd w:fill="D9EAF7"/>
          </w:tcPr>
          <w:p>
            <w:r/>
            <w:r>
              <w:rPr>
                <w:b/>
                <w:sz w:val="17"/>
              </w:rPr>
              <w:t>工具</w:t>
            </w:r>
          </w:p>
        </w:tc>
        <w:tc>
          <w:tcPr>
            <w:tcW w:type="dxa" w:w="2256"/>
            <w:vAlign w:val="center"/>
            <w:shd w:fill="D9EAF7"/>
          </w:tcPr>
          <w:p>
            <w:r/>
            <w:r>
              <w:rPr>
                <w:b/>
                <w:sz w:val="17"/>
              </w:rPr>
              <w:t>核心問題</w:t>
            </w:r>
          </w:p>
        </w:tc>
        <w:tc>
          <w:tcPr>
            <w:tcW w:type="dxa" w:w="2256"/>
            <w:vAlign w:val="center"/>
            <w:shd w:fill="D9EAF7"/>
          </w:tcPr>
          <w:p>
            <w:r/>
            <w:r>
              <w:rPr>
                <w:b/>
                <w:sz w:val="17"/>
              </w:rPr>
              <w:t>常見陷阱</w:t>
            </w:r>
          </w:p>
        </w:tc>
      </w:tr>
      <w:tr>
        <w:tc>
          <w:tcPr>
            <w:tcW w:type="dxa" w:w="2256"/>
            <w:vAlign w:val="center"/>
          </w:tcPr>
          <w:p>
            <w:r/>
            <w:r>
              <w:rPr>
                <w:b w:val="0"/>
                <w:sz w:val="17"/>
              </w:rPr>
              <w:t>目標</w:t>
            </w:r>
          </w:p>
        </w:tc>
        <w:tc>
          <w:tcPr>
            <w:tcW w:type="dxa" w:w="2256"/>
            <w:vAlign w:val="center"/>
          </w:tcPr>
          <w:p>
            <w:r/>
            <w:r>
              <w:rPr>
                <w:b w:val="0"/>
                <w:sz w:val="17"/>
              </w:rPr>
              <w:t>使命、政策目標、SMART</w:t>
            </w:r>
          </w:p>
        </w:tc>
        <w:tc>
          <w:tcPr>
            <w:tcW w:type="dxa" w:w="2256"/>
            <w:vAlign w:val="center"/>
          </w:tcPr>
          <w:p>
            <w:r/>
            <w:r>
              <w:rPr>
                <w:b w:val="0"/>
                <w:sz w:val="17"/>
              </w:rPr>
              <w:t>要改善什麼公共問題？</w:t>
            </w:r>
          </w:p>
        </w:tc>
        <w:tc>
          <w:tcPr>
            <w:tcW w:type="dxa" w:w="2256"/>
            <w:vAlign w:val="center"/>
          </w:tcPr>
          <w:p>
            <w:r/>
            <w:r>
              <w:rPr>
                <w:b w:val="0"/>
                <w:sz w:val="17"/>
              </w:rPr>
              <w:t>把可測量誤當成重要</w:t>
            </w:r>
          </w:p>
        </w:tc>
      </w:tr>
      <w:tr>
        <w:tc>
          <w:tcPr>
            <w:tcW w:type="dxa" w:w="2256"/>
            <w:vAlign w:val="center"/>
          </w:tcPr>
          <w:p>
            <w:r/>
            <w:r>
              <w:rPr>
                <w:b w:val="0"/>
                <w:sz w:val="17"/>
              </w:rPr>
              <w:t>衡量</w:t>
            </w:r>
          </w:p>
        </w:tc>
        <w:tc>
          <w:tcPr>
            <w:tcW w:type="dxa" w:w="2256"/>
            <w:vAlign w:val="center"/>
          </w:tcPr>
          <w:p>
            <w:r/>
            <w:r>
              <w:rPr>
                <w:b w:val="0"/>
                <w:sz w:val="17"/>
              </w:rPr>
              <w:t>KPI、3E＋Q</w:t>
            </w:r>
          </w:p>
        </w:tc>
        <w:tc>
          <w:tcPr>
            <w:tcW w:type="dxa" w:w="2256"/>
            <w:vAlign w:val="center"/>
          </w:tcPr>
          <w:p>
            <w:r/>
            <w:r>
              <w:rPr>
                <w:b w:val="0"/>
                <w:sz w:val="17"/>
              </w:rPr>
              <w:t>效率、效能、經濟與品質如何平衡？</w:t>
            </w:r>
          </w:p>
        </w:tc>
        <w:tc>
          <w:tcPr>
            <w:tcW w:type="dxa" w:w="2256"/>
            <w:vAlign w:val="center"/>
          </w:tcPr>
          <w:p>
            <w:r/>
            <w:r>
              <w:rPr>
                <w:b w:val="0"/>
                <w:sz w:val="17"/>
              </w:rPr>
              <w:t>指標替代真正結果</w:t>
            </w:r>
          </w:p>
        </w:tc>
      </w:tr>
      <w:tr>
        <w:tc>
          <w:tcPr>
            <w:tcW w:type="dxa" w:w="2256"/>
            <w:vAlign w:val="center"/>
          </w:tcPr>
          <w:p>
            <w:r/>
            <w:r>
              <w:rPr>
                <w:b w:val="0"/>
                <w:sz w:val="17"/>
              </w:rPr>
              <w:t>管理</w:t>
            </w:r>
          </w:p>
        </w:tc>
        <w:tc>
          <w:tcPr>
            <w:tcW w:type="dxa" w:w="2256"/>
            <w:vAlign w:val="center"/>
          </w:tcPr>
          <w:p>
            <w:r/>
            <w:r>
              <w:rPr>
                <w:b w:val="0"/>
                <w:sz w:val="17"/>
              </w:rPr>
              <w:t>MBO、BSC、OKR、360回饋</w:t>
            </w:r>
          </w:p>
        </w:tc>
        <w:tc>
          <w:tcPr>
            <w:tcW w:type="dxa" w:w="2256"/>
            <w:vAlign w:val="center"/>
          </w:tcPr>
          <w:p>
            <w:r/>
            <w:r>
              <w:rPr>
                <w:b w:val="0"/>
                <w:sz w:val="17"/>
              </w:rPr>
              <w:t>如何把結果轉成管理行動？</w:t>
            </w:r>
          </w:p>
        </w:tc>
        <w:tc>
          <w:tcPr>
            <w:tcW w:type="dxa" w:w="2256"/>
            <w:vAlign w:val="center"/>
          </w:tcPr>
          <w:p>
            <w:r/>
            <w:r>
              <w:rPr>
                <w:b w:val="0"/>
                <w:sz w:val="17"/>
              </w:rPr>
              <w:t>追逐分數、短期主義</w:t>
            </w:r>
          </w:p>
        </w:tc>
      </w:tr>
      <w:tr>
        <w:tc>
          <w:tcPr>
            <w:tcW w:type="dxa" w:w="2256"/>
            <w:vAlign w:val="center"/>
          </w:tcPr>
          <w:p>
            <w:r/>
            <w:r>
              <w:rPr>
                <w:b w:val="0"/>
                <w:sz w:val="17"/>
              </w:rPr>
              <w:t>證成</w:t>
            </w:r>
          </w:p>
        </w:tc>
        <w:tc>
          <w:tcPr>
            <w:tcW w:type="dxa" w:w="2256"/>
            <w:vAlign w:val="center"/>
          </w:tcPr>
          <w:p>
            <w:r/>
            <w:r>
              <w:rPr>
                <w:b w:val="0"/>
                <w:sz w:val="17"/>
              </w:rPr>
              <w:t>績效審計、政策評估、民眾感受</w:t>
            </w:r>
          </w:p>
        </w:tc>
        <w:tc>
          <w:tcPr>
            <w:tcW w:type="dxa" w:w="2256"/>
            <w:vAlign w:val="center"/>
          </w:tcPr>
          <w:p>
            <w:r/>
            <w:r>
              <w:rPr>
                <w:b w:val="0"/>
                <w:sz w:val="17"/>
              </w:rPr>
              <w:t>結果是否真由政策造成？</w:t>
            </w:r>
          </w:p>
        </w:tc>
        <w:tc>
          <w:tcPr>
            <w:tcW w:type="dxa" w:w="2256"/>
            <w:vAlign w:val="center"/>
          </w:tcPr>
          <w:p>
            <w:r/>
            <w:r>
              <w:rPr>
                <w:b w:val="0"/>
                <w:sz w:val="17"/>
              </w:rPr>
              <w:t>相關不等於因果</w:t>
            </w:r>
          </w:p>
        </w:tc>
      </w:tr>
      <w:tr>
        <w:tc>
          <w:tcPr>
            <w:tcW w:type="dxa" w:w="2256"/>
            <w:vAlign w:val="center"/>
          </w:tcPr>
          <w:p>
            <w:r/>
            <w:r>
              <w:rPr>
                <w:b w:val="0"/>
                <w:sz w:val="17"/>
              </w:rPr>
              <w:t>學習</w:t>
            </w:r>
          </w:p>
        </w:tc>
        <w:tc>
          <w:tcPr>
            <w:tcW w:type="dxa" w:w="2256"/>
            <w:vAlign w:val="center"/>
          </w:tcPr>
          <w:p>
            <w:r/>
            <w:r>
              <w:rPr>
                <w:b w:val="0"/>
                <w:sz w:val="17"/>
              </w:rPr>
              <w:t>修正目標、資源與策略</w:t>
            </w:r>
          </w:p>
        </w:tc>
        <w:tc>
          <w:tcPr>
            <w:tcW w:type="dxa" w:w="2256"/>
            <w:vAlign w:val="center"/>
          </w:tcPr>
          <w:p>
            <w:r/>
            <w:r>
              <w:rPr>
                <w:b w:val="0"/>
                <w:sz w:val="17"/>
              </w:rPr>
              <w:t>下一輪應改什麼？</w:t>
            </w:r>
          </w:p>
        </w:tc>
        <w:tc>
          <w:tcPr>
            <w:tcW w:type="dxa" w:w="2256"/>
            <w:vAlign w:val="center"/>
          </w:tcPr>
          <w:p>
            <w:r/>
            <w:r>
              <w:rPr>
                <w:b w:val="0"/>
                <w:sz w:val="17"/>
              </w:rPr>
              <w:t>儀表板漂亮但沒有決策回饋</w:t>
            </w:r>
          </w:p>
        </w:tc>
      </w:tr>
    </w:tbl>
    <w:p>
      <w:r>
        <w:rPr>
          <w:i/>
          <w:sz w:val="16"/>
        </w:rPr>
        <w:t>資料來源：Drucker (1954)；Kaplan &amp; Norton (1996)；本章3E＋Q、SMART、MBO、BSC、OKR架構。為多工具整合之教學模型。</w:t>
      </w:r>
    </w:p>
    <w:p>
      <w:pPr>
        <w:spacing w:after="180" w:before="360"/>
      </w:pPr>
      <w:r>
        <w:rPr>
          <w:rFonts w:ascii="微軟正黑體" w:cs="微軟正黑體" w:eastAsia="微軟正黑體" w:hAnsi="微軟正黑體"/>
          <w:b/>
          <w:bCs/>
          <w:color w:val="1F4E79"/>
          <w:sz w:val="26"/>
          <w:szCs w:val="26"/>
        </w:rPr>
        <w:t xml:space="preserve">第八節　績效管理流程與公部門推動之挑戰</w:t>
      </w:r>
    </w:p>
    <w:p>
      <w:pPr>
        <w:spacing w:after="140" w:before="260"/>
      </w:pPr>
      <w:r>
        <w:rPr>
          <w:rFonts w:ascii="微軟正黑體" w:cs="微軟正黑體" w:eastAsia="微軟正黑體" w:hAnsi="微軟正黑體"/>
          <w:b/>
          <w:bCs/>
          <w:color w:val="2E5C8A"/>
          <w:sz w:val="23"/>
          <w:szCs w:val="23"/>
        </w:rPr>
        <w:t xml:space="preserve">一、PDCA五階段流程</w:t>
      </w:r>
    </w:p>
    <w:p>
      <w:pPr>
        <w:spacing w:after="200" w:line="360"/>
        <w:ind w:firstLine="431"/>
        <w:jc w:val="both"/>
      </w:pPr>
      <w:r>
        <w:rPr>
          <w:rFonts w:ascii="微軟正黑體" w:cs="微軟正黑體" w:eastAsia="微軟正黑體" w:hAnsi="微軟正黑體"/>
          <w:sz w:val="22"/>
          <w:szCs w:val="22"/>
        </w:rPr>
        <w:t xml:space="preserve">綜合PDCA(Plan-Do-Check-Action)與策略管理邏輯,績效管理可分為策略與目標設定、衡量設計、執行與監測、評估與課責、回饋與學習五階段循環。流程之核心精神在於「衡量不是為了獎懲,而是為了學習」——若僅將績效管理視為考績工具,忽略回饋與學習,將導致對抗與規避;成功的績效制度須同時滿足管理者之課責需求與第一線人員之精進需求,方能形成正向循環。</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542"/>
        <w:gridCol w:w="2542"/>
        <w:gridCol w:w="2542"/>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階段</w:t>
            </w:r>
          </w:p>
        </w:tc>
        <w:tc>
          <w:tcPr>
            <w:tcW w:type="dxa" w:w="2542"/>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關鍵任務</w:t>
            </w:r>
          </w:p>
        </w:tc>
        <w:tc>
          <w:tcPr>
            <w:tcW w:type="dxa" w:w="2542"/>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公部門注意點</w:t>
            </w:r>
          </w:p>
        </w:tc>
        <w:tc>
          <w:tcPr>
            <w:tcW w:type="dxa" w:w="2542"/>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AI增強可能</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1. 策略與目標設定</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使命→願景→策略主題→KPI樹</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利害關係人參與、公共價值澄清</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NLP分析公民陳情挖掘未表達需求,AI生成策略地圖草圖</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2. 衡量設計</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指標操作化、資料源盤點、基線建立</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避免可衡量性偏誤,納入公平面向</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自動化資料清理、合成資料補足稀少族群樣本</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3. 執行與監測</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資料蒐集、即時回饋、雙迴圈學習</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防止造假與隧道視野</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AI績效儀表板即時異常偵測與預測</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4. 評估與課責</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成果評價、因果釐清、審計與對話</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外部課責與內部改進之平衡</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可解釋AI報告、演算法審計日誌</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5. 回饋與學習</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資源重配置、能力建構、制度化</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失敗經驗之知識管理</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生成式AI摘要評估報告並提出改善建議</w:t>
            </w:r>
          </w:p>
        </w:tc>
      </w:tr>
    </w:tbl>
    <w:p>
      <w:pPr>
        <w:spacing w:after="280" w:before="120"/>
        <w:jc w:val="center"/>
      </w:pPr>
      <w:r>
        <w:rPr>
          <w:rFonts w:ascii="微軟正黑體" w:cs="微軟正黑體" w:eastAsia="微軟正黑體" w:hAnsi="微軟正黑體"/>
          <w:i/>
          <w:iCs/>
          <w:color w:val="555555"/>
          <w:sz w:val="18"/>
          <w:szCs w:val="18"/>
        </w:rPr>
        <w:t xml:space="preserve">表23-7　績效管理流程與AI增強</w:t>
      </w:r>
    </w:p>
    <w:p>
      <w:pPr>
        <w:spacing w:after="140" w:before="260"/>
      </w:pPr>
      <w:r>
        <w:rPr>
          <w:rFonts w:ascii="微軟正黑體" w:cs="微軟正黑體" w:eastAsia="微軟正黑體" w:hAnsi="微軟正黑體"/>
          <w:b/>
          <w:bCs/>
          <w:color w:val="2E5C8A"/>
          <w:sz w:val="23"/>
          <w:szCs w:val="23"/>
        </w:rPr>
        <w:t xml:space="preserve">二、公部門推動之結構性挑戰與成功要件</w:t>
      </w:r>
    </w:p>
    <w:p>
      <w:pPr>
        <w:spacing w:after="200" w:line="360"/>
        <w:ind w:firstLine="431"/>
        <w:jc w:val="both"/>
      </w:pPr>
      <w:r>
        <w:rPr>
          <w:rFonts w:ascii="微軟正黑體" w:cs="微軟正黑體" w:eastAsia="微軟正黑體" w:hAnsi="微軟正黑體"/>
          <w:sz w:val="22"/>
          <w:szCs w:val="22"/>
        </w:rPr>
        <w:t xml:space="preserve">相對於私部門以利潤為單一且可量化之終極依歸,公部門面臨三重差異:機制設計上,績效指標須兼顧公平與程序正義,易流於形式;外部環境上,除顧客外,尚需回應立法、司法、監察、媒體與公民團體,目標隨政治變遷而變;內部環境上,領導者隨政權輪替,政策連續性低,且人事誘因受法規高度限制,績效獎酬效果有限。實務上常見「績效弔詭」:績效越受強調,形式主義與數字遊戲越盛行。歸納文獻與OECD建議,成功要件包括高階領導支持與超越選舉週期之政治承諾、公共價值導向之策略敘事、利害關係人共創指標、資料基礎建設與資料治理成熟度、寬容失敗之學習文化、外部獨立評估與公民監督之制度化,以及AI治理與課責機制之配套——防止演算法偏誤污染績效定義。</w:t>
      </w:r>
    </w:p>
    <w:p>
      <w:pPr>
        <w:spacing w:after="180" w:before="360"/>
      </w:pPr>
      <w:r>
        <w:rPr>
          <w:rFonts w:ascii="微軟正黑體" w:cs="微軟正黑體" w:eastAsia="微軟正黑體" w:hAnsi="微軟正黑體"/>
          <w:b/>
          <w:bCs/>
          <w:color w:val="1F4E79"/>
          <w:sz w:val="26"/>
          <w:szCs w:val="26"/>
        </w:rPr>
        <w:t xml:space="preserve">第九節　AI增強績效衡量:轉型與風險</w:t>
      </w:r>
    </w:p>
    <w:p>
      <w:pPr>
        <w:spacing w:after="140" w:before="260"/>
      </w:pPr>
      <w:r>
        <w:rPr>
          <w:rFonts w:ascii="微軟正黑體" w:cs="微軟正黑體" w:eastAsia="微軟正黑體" w:hAnsi="微軟正黑體"/>
          <w:b/>
          <w:bCs/>
          <w:color w:val="2E5C8A"/>
          <w:sz w:val="23"/>
          <w:szCs w:val="23"/>
        </w:rPr>
        <w:t xml:space="preserve">一、AI增強績效管理之概念</w:t>
      </w:r>
    </w:p>
    <w:p>
      <w:pPr>
        <w:spacing w:after="200" w:line="360"/>
        <w:ind w:firstLine="431"/>
        <w:jc w:val="both"/>
      </w:pPr>
      <w:r>
        <w:rPr>
          <w:rFonts w:ascii="微軟正黑體" w:cs="微軟正黑體" w:eastAsia="微軟正黑體" w:hAnsi="微軟正黑體"/>
          <w:sz w:val="22"/>
          <w:szCs w:val="22"/>
        </w:rPr>
        <w:t xml:space="preserve">AI增強績效管理(AI-Augmented Performance Management)指運用機器學習、自然語言處理、電腦視覺與預測分析,擴充績效管理在資料蒐集、指標設計、異常偵測與決策建議之能力。其轉型特徵有三:由年度、事後、樣本性評估,轉向即時、預測、全量式監測;由單一量化指標,轉向質量混合之多模態評估;由人力驅動分析,轉向人機協作之增強智慧(Augmented Intelligence),AI負責模式識別與趨勢預警,人類專注價值判斷與倫理審視。</w:t>
      </w:r>
    </w:p>
    <w:p>
      <w:pPr>
        <w:spacing w:after="140" w:before="260"/>
      </w:pPr>
      <w:r>
        <w:rPr>
          <w:rFonts w:ascii="微軟正黑體" w:cs="微軟正黑體" w:eastAsia="微軟正黑體" w:hAnsi="微軟正黑體"/>
          <w:b/>
          <w:bCs/>
          <w:color w:val="2E5C8A"/>
          <w:sz w:val="23"/>
          <w:szCs w:val="23"/>
        </w:rPr>
        <w:t xml:space="preserve">二、AI輔助KPI設計與演算法偏見</w:t>
      </w:r>
    </w:p>
    <w:p>
      <w:pPr>
        <w:spacing w:after="200" w:line="360"/>
        <w:ind w:firstLine="431"/>
        <w:jc w:val="both"/>
      </w:pPr>
      <w:r>
        <w:rPr>
          <w:rFonts w:ascii="微軟正黑體" w:cs="微軟正黑體" w:eastAsia="微軟正黑體" w:hAnsi="微軟正黑體"/>
          <w:sz w:val="22"/>
          <w:szCs w:val="22"/>
        </w:rPr>
        <w:t xml:space="preserve">AI可協助需求探勘(運用大型語言模型分析公民陳情、社群媒體與立法質詢,自動萃取新興績效議題)、指標庫推薦(基於類似機關資料推薦具預測力之領先指標)、動態權重校準(透過強化學習因應季節性與外部衝擊調整指標權重)與個人化儀表板。然而AI並非中立,若訓練資料反映歷史歧視,績效系統可能複製偏見:以過去結案數評核社工績效,若歷史上資源較多之區域結案較快,AI推薦之績效標竿將偏向都會,偏鄉被標記為低績效;客服語音情緒辨識若對特定口音辨識率低,將系統性低估該群體之服務品質感知。此外,「可衡量偏誤」使易於數據化之任務被過度獎勵,難量化但關鍵之工作(如跨域協調、同理傾聽)被邊緣化,導致績效管理之「可見性偏見」。</w:t>
      </w:r>
    </w:p>
    <w:p>
      <w:pPr>
        <w:spacing w:after="140" w:before="260"/>
      </w:pPr>
      <w:r>
        <w:rPr>
          <w:rFonts w:ascii="微軟正黑體" w:cs="微軟正黑體" w:eastAsia="微軟正黑體" w:hAnsi="微軟正黑體"/>
          <w:b/>
          <w:bCs/>
          <w:color w:val="2E5C8A"/>
          <w:sz w:val="23"/>
          <w:szCs w:val="23"/>
        </w:rPr>
        <w:t xml:space="preserve">三、治理挑戰:公平性與正當程序</w:t>
      </w:r>
    </w:p>
    <w:p>
      <w:pPr>
        <w:spacing w:after="200" w:line="360"/>
        <w:ind w:firstLine="431"/>
        <w:jc w:val="both"/>
      </w:pPr>
      <w:r>
        <w:rPr>
          <w:rFonts w:ascii="微軟正黑體" w:cs="微軟正黑體" w:eastAsia="微軟正黑體" w:hAnsi="微軟正黑體"/>
          <w:sz w:val="22"/>
          <w:szCs w:val="22"/>
        </w:rPr>
        <w:t xml:space="preserve">在傳統科層,績效標準可透過考績會討論與申訴程序救濟,標準雖模糊但具可辯論性。當績效考核自動化,例如運用AI分析公務員電子郵件回覆時效、民眾滿意度語音或為民服務系統點選數據以計算「效率分數」,其黑箱性將使受評者難以理解為何被評低分,抑制其程序主體性。公平性挑戰表現為三:資料代表性偏誤導致對偏鄉或多元文化服務者不公;指標選擇偏誤導致「會吵的業務有糖吃」;回饋迴路偏誤導致被標記低績效者獲得更少資源,績效「馬太效應」。正當程序挑戰則在於,當演算法建議考績等第或獎懲,公務員是否有「陳述意見權」「請求解釋權」與「人工覆核權」?若無,將違反憲法上正當法律程序與公務員保障法制精神。</w:t>
      </w:r>
    </w:p>
    <w:p>
      <w:pPr>
        <w:spacing w:after="180" w:before="360"/>
      </w:pPr>
      <w:r>
        <w:rPr>
          <w:rFonts w:ascii="微軟正黑體" w:cs="微軟正黑體" w:eastAsia="微軟正黑體" w:hAnsi="微軟正黑體"/>
          <w:b/>
          <w:bCs/>
          <w:color w:val="1F4E79"/>
          <w:sz w:val="26"/>
          <w:szCs w:val="26"/>
        </w:rPr>
        <w:t xml:space="preserve">第十節　AI治理專節:財務與績效的雙軌演算法課責</w:t>
      </w:r>
    </w:p>
    <w:p>
      <w:pPr>
        <w:spacing w:after="200" w:line="360"/>
        <w:ind w:firstLine="431"/>
        <w:jc w:val="both"/>
      </w:pPr>
      <w:r>
        <w:rPr>
          <w:rFonts w:ascii="微軟正黑體" w:cs="微軟正黑體" w:eastAsia="微軟正黑體" w:hAnsi="微軟正黑體"/>
          <w:sz w:val="22"/>
          <w:szCs w:val="22"/>
        </w:rPr>
        <w:t xml:space="preserve">本專節整合財務與績效兩條治理鏈,共同回應AI導入資源配置與價值證成後的課責難題。財務面之治理挑戰有三:其一,預算科目建置落後於技術現實——主權AI、GovTech與生成式AI導入各機關後,預算科目仍停留於資訊設備費,無法反映模型授權、算力租賃與資料治理等新型態支出,導致預算低估與執行落差;其二,演算法預測稅收與支出可能產生「演算法財政幻覺」——若訓練資料偏誤或模型黑箱,預測結果可能系統性高估或低估,影響財政紀律與立法監督;其三,主權AI算力預算之戰略競逐——數位發展部、國科會與主計總處在算力預算上職掌重疊,若無統籌機制,易致重複建置及能源、資安等外部成本未內部化。績效面之治理挑戰則有二:其一為AI績效指標之公平性,資料代表性偏誤、指標選擇偏誤與回饋迴路偏誤可能使績效系統複製「馬太效應」;其二為自動化績效考核之正當程序,當演算法建議考績等第,公務員是否享有陳述意見權、請求解釋權與人工覆核權,若無,恐違反正當法律程序與公務員保障法制精神。</w:t>
      </w:r>
    </w:p>
    <w:p>
      <w:pPr>
        <w:spacing w:after="200" w:line="360"/>
        <w:ind w:firstLine="431"/>
        <w:jc w:val="both"/>
      </w:pPr>
      <w:r>
        <w:rPr>
          <w:rFonts w:ascii="微軟正黑體" w:cs="微軟正黑體" w:eastAsia="微軟正黑體" w:hAnsi="微軟正黑體"/>
          <w:sz w:val="22"/>
          <w:szCs w:val="22"/>
        </w:rPr>
        <w:t>理論回應方面,預算理論須在AI時代再概念化:漸增主義假設資訊有限,AI雖可提供即時全量資訊、強化理性預算之可能性,但政治性預算理論提醒,演算法建議仍須經民主審議,非技術決定論;演算法預算應明確定義為「以可稽核演算法協助預算編列與配置之系統」,其正當性來自透明度、可解釋性與可問責。績效管理則須重新定義為「在人機協作網絡中,透過可解釋、可審計之數據與模型,系統性地協商、衡量與證成公共價值創造之動態過程」,強調績效非僅為結果,而是包含演算法設計過程之公共性。本章援引Busuioc(2021)演算法課責框架,將Bovens課責三階段擴充為四要件——資訊揭露、解釋與正當化、審議與質詢、後果與矯正,這套框架同時適用於財務與績效兩條治理鏈:財務面要求揭露演算法預算模型之訓練資料與限制,績效面要求揭露績效模型之模型卡與人口結構表現差異;二者共同構成公共資源治理的可問責回饋迴路。</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2400"/>
        <w:gridCol w:w="2500"/>
        <w:gridCol w:w="2526"/>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Busuioc四要件</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財務治理意涵</w:t>
            </w:r>
          </w:p>
        </w:tc>
        <w:tc>
          <w:tcPr>
            <w:tcW w:type="dxa" w:w="25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績效治理意涵</w:t>
            </w:r>
          </w:p>
        </w:tc>
        <w:tc>
          <w:tcPr>
            <w:tcW w:type="dxa" w:w="25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具體機制</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資訊揭露</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揭露演算法預算模型之目的、資料來源與限制</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揭露績效演算法之模型卡與訓練資料人口結構</w:t>
            </w:r>
          </w:p>
        </w:tc>
        <w:tc>
          <w:tcPr>
            <w:tcW w:type="dxa" w:w="25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模型卡、資料來源清單、預算編列說明書</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解釋與正當化</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說明稅收預測與支出建議之可解釋因子</w:t>
            </w:r>
          </w:p>
        </w:tc>
        <w:tc>
          <w:tcPr>
            <w:tcW w:type="dxa" w:w="2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對個別績效決定提供反事實解釋</w:t>
            </w:r>
          </w:p>
        </w:tc>
        <w:tc>
          <w:tcPr>
            <w:tcW w:type="dxa" w:w="25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可解釋AI報告、演算法審計日誌</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審議與質詢</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立法院、審計部得質詢演算法預算模型假設</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考績會與AI倫理會受理受評者異議</w:t>
            </w:r>
          </w:p>
        </w:tc>
        <w:tc>
          <w:tcPr>
            <w:tcW w:type="dxa" w:w="25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公民審計、專家聽證、申訴管道</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後果與矯正</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模型誤差經確認後應調整科目編列並究責</w:t>
            </w:r>
          </w:p>
        </w:tc>
        <w:tc>
          <w:tcPr>
            <w:tcW w:type="dxa" w:w="2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錯誤或歧視性績效模型須更正分數並下架</w:t>
            </w:r>
          </w:p>
        </w:tc>
        <w:tc>
          <w:tcPr>
            <w:tcW w:type="dxa" w:w="25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分數更正、模型下架、補償機制</w:t>
            </w:r>
          </w:p>
        </w:tc>
      </w:tr>
    </w:tbl>
    <w:p>
      <w:pPr>
        <w:spacing w:after="280" w:before="120"/>
        <w:jc w:val="center"/>
      </w:pPr>
      <w:r>
        <w:rPr>
          <w:rFonts w:ascii="微軟正黑體" w:cs="微軟正黑體" w:eastAsia="微軟正黑體" w:hAnsi="微軟正黑體"/>
          <w:i/>
          <w:iCs/>
          <w:color w:val="555555"/>
          <w:sz w:val="18"/>
          <w:szCs w:val="18"/>
        </w:rPr>
        <w:t xml:space="preserve">表23-8　Busuioc演算法課責四要件在財務與績效治理之應用</w:t>
      </w:r>
    </w:p>
    <w:p>
      <w:pPr>
        <w:spacing w:after="200" w:line="360"/>
        <w:ind w:firstLine="431"/>
        <w:jc w:val="both"/>
      </w:pPr>
      <w:r>
        <w:rPr>
          <w:rFonts w:ascii="微軟正黑體" w:cs="微軟正黑體" w:eastAsia="微軟正黑體" w:hAnsi="微軟正黑體"/>
          <w:sz w:val="22"/>
          <w:szCs w:val="22"/>
        </w:rPr>
        <w:t xml:space="preserve">治理工具箱包含預測性財務分析(以可解釋AI揭露稅收預測因子)、AI審計(對演算法預算模型本身進行模型審計)、主權算力成本治理(建立獨立科目並揭露每PFLOPS成本)、AI績效儀表板(具備可解釋層,點選任一分數可追溯至貢獻最鉅之特徵)、模型卡(針對每一績效模型載明用途限制與人口群表現差異)、演算法審計(區分內部稽核、第三方稽核與公民科技稽核)與演算法影響評估AIA(於導入自動化績效考核前強制評估隱私、平等與勞動權益衝擊)。台灣案例上,財務面由行政院主計總處推動歲計會計數位化並試辦AI輔助歲出概算合理性檢核,數位發展部則編列主權AI算力與國家算力中心預算並推動AI算力池共用平台,形成「主計總處管財務治理框架、數位部管算力供給與營運」之雙軌治理雛形;績效面則以行政院政府服務獎與數位部myData平台為例,建議由「導入數量」轉向「AI服務績效三角」——服務效能、程序正義與分配正義,並將幻覺率、偏見率、可追溯率納入客服機器人KPI,公開模型卡供立法院監督。財務與績效兩條治理鏈若能整合為統一之演算法課責基礎設施,將是台灣智慧資源治理的下一步。</w:t>
      </w:r>
    </w:p>
    <w:p>
      <w:pPr>
        <w:spacing w:after="200" w:line="360"/>
        <w:ind w:firstLine="431"/>
        <w:jc w:val="both"/>
      </w:pPr>
      <w:r>
        <w:rPr>
          <w:rFonts w:ascii="微軟正黑體" w:cs="微軟正黑體" w:eastAsia="微軟正黑體" w:hAnsi="微軟正黑體"/>
          <w:sz w:val="22"/>
          <w:szCs w:val="22"/>
        </w:rPr>
        <w:t xml:space="preserve">觀念釐清：預算制度與績效工具先寫完</w:t>
      </w:r>
    </w:p>
    <w:p>
      <w:pPr>
        <w:spacing w:after="200" w:line="360"/>
        <w:ind w:firstLine="431"/>
        <w:jc w:val="both"/>
      </w:pPr>
      <w:r>
        <w:rPr>
          <w:rFonts w:ascii="微軟正黑體" w:cs="微軟正黑體" w:eastAsia="微軟正黑體" w:hAnsi="微軟正黑體"/>
          <w:sz w:val="22"/>
          <w:szCs w:val="22"/>
        </w:rPr>
        <w:t xml:space="preserve">財務行政的目的、歲入歲出、預算本質與制度演變、績效管理演進、SMART、MBO、BSC、OKR與公部門推動限制，是本章傳統主幹。儀表板與演算法績效，不能把「誰批准」換成「誰被算出」就當作進步。先寫得出預算法律效力與績效的公共性限制，再問指標有沒有說服力大於真實。</w:t>
      </w:r>
    </w:p>
    <w:p>
      <w:r>
        <w:rPr>
          <w:b/>
          <w:sz w:val="22"/>
        </w:rPr>
        <w:t>概念圖23-D　AI公共財務管理：從自動化到可問責的增強</w:t>
      </w:r>
    </w:p>
    <w:tbl>
      <w:tblPr>
        <w:tblW w:type="auto" w:w="0"/>
        <w:jc w:val="center"/>
        <w:tblLook w:firstColumn="1" w:firstRow="1" w:lastColumn="0" w:lastRow="0" w:noHBand="0" w:noVBand="1" w:val="04A0"/>
      </w:tblPr>
      <w:tblGrid>
        <w:gridCol w:w="2256"/>
        <w:gridCol w:w="2256"/>
        <w:gridCol w:w="2256"/>
        <w:gridCol w:w="2256"/>
      </w:tblGrid>
      <w:tr>
        <w:tc>
          <w:tcPr>
            <w:tcW w:type="dxa" w:w="2256"/>
            <w:vAlign w:val="center"/>
            <w:shd w:fill="D9EAF7"/>
          </w:tcPr>
          <w:p>
            <w:r/>
            <w:r>
              <w:rPr>
                <w:b/>
                <w:sz w:val="17"/>
              </w:rPr>
              <w:t>財務功能</w:t>
            </w:r>
          </w:p>
        </w:tc>
        <w:tc>
          <w:tcPr>
            <w:tcW w:type="dxa" w:w="2256"/>
            <w:vAlign w:val="center"/>
            <w:shd w:fill="D9EAF7"/>
          </w:tcPr>
          <w:p>
            <w:r/>
            <w:r>
              <w:rPr>
                <w:b/>
                <w:sz w:val="17"/>
              </w:rPr>
              <w:t>AI可做什麼</w:t>
            </w:r>
          </w:p>
        </w:tc>
        <w:tc>
          <w:tcPr>
            <w:tcW w:type="dxa" w:w="2256"/>
            <w:vAlign w:val="center"/>
            <w:shd w:fill="D9EAF7"/>
          </w:tcPr>
          <w:p>
            <w:r/>
            <w:r>
              <w:rPr>
                <w:b/>
                <w:sz w:val="17"/>
              </w:rPr>
              <w:t>主要風險</w:t>
            </w:r>
          </w:p>
        </w:tc>
        <w:tc>
          <w:tcPr>
            <w:tcW w:type="dxa" w:w="2256"/>
            <w:vAlign w:val="center"/>
            <w:shd w:fill="D9EAF7"/>
          </w:tcPr>
          <w:p>
            <w:r/>
            <w:r>
              <w:rPr>
                <w:b/>
                <w:sz w:val="17"/>
              </w:rPr>
              <w:t>治理要求</w:t>
            </w:r>
          </w:p>
        </w:tc>
      </w:tr>
      <w:tr>
        <w:tc>
          <w:tcPr>
            <w:tcW w:type="dxa" w:w="2256"/>
            <w:vAlign w:val="center"/>
          </w:tcPr>
          <w:p>
            <w:r/>
            <w:r>
              <w:rPr>
                <w:b w:val="0"/>
                <w:sz w:val="17"/>
              </w:rPr>
              <w:t>預測</w:t>
            </w:r>
          </w:p>
        </w:tc>
        <w:tc>
          <w:tcPr>
            <w:tcW w:type="dxa" w:w="2256"/>
            <w:vAlign w:val="center"/>
          </w:tcPr>
          <w:p>
            <w:r/>
            <w:r>
              <w:rPr>
                <w:b w:val="0"/>
                <w:sz w:val="17"/>
              </w:rPr>
              <w:t>稅收、支出與需求預測、nowcasting</w:t>
            </w:r>
          </w:p>
        </w:tc>
        <w:tc>
          <w:tcPr>
            <w:tcW w:type="dxa" w:w="2256"/>
            <w:vAlign w:val="center"/>
          </w:tcPr>
          <w:p>
            <w:r/>
            <w:r>
              <w:rPr>
                <w:b w:val="0"/>
                <w:sz w:val="17"/>
              </w:rPr>
              <w:t>模型漂移、資料偏誤</w:t>
            </w:r>
          </w:p>
        </w:tc>
        <w:tc>
          <w:tcPr>
            <w:tcW w:type="dxa" w:w="2256"/>
            <w:vAlign w:val="center"/>
          </w:tcPr>
          <w:p>
            <w:r/>
            <w:r>
              <w:rPr>
                <w:b w:val="0"/>
                <w:sz w:val="17"/>
              </w:rPr>
              <w:t>揭露資料與模型限制</w:t>
            </w:r>
          </w:p>
        </w:tc>
      </w:tr>
      <w:tr>
        <w:tc>
          <w:tcPr>
            <w:tcW w:type="dxa" w:w="2256"/>
            <w:vAlign w:val="center"/>
          </w:tcPr>
          <w:p>
            <w:r/>
            <w:r>
              <w:rPr>
                <w:b w:val="0"/>
                <w:sz w:val="17"/>
              </w:rPr>
              <w:t>預算</w:t>
            </w:r>
          </w:p>
        </w:tc>
        <w:tc>
          <w:tcPr>
            <w:tcW w:type="dxa" w:w="2256"/>
            <w:vAlign w:val="center"/>
          </w:tcPr>
          <w:p>
            <w:r/>
            <w:r>
              <w:rPr>
                <w:b w:val="0"/>
                <w:sz w:val="17"/>
              </w:rPr>
              <w:t>情境比較、需求排序、草案輔助</w:t>
            </w:r>
          </w:p>
        </w:tc>
        <w:tc>
          <w:tcPr>
            <w:tcW w:type="dxa" w:w="2256"/>
            <w:vAlign w:val="center"/>
          </w:tcPr>
          <w:p>
            <w:r/>
            <w:r>
              <w:rPr>
                <w:b w:val="0"/>
                <w:sz w:val="17"/>
              </w:rPr>
              <w:t>技術可行性取代政治優先序</w:t>
            </w:r>
          </w:p>
        </w:tc>
        <w:tc>
          <w:tcPr>
            <w:tcW w:type="dxa" w:w="2256"/>
            <w:vAlign w:val="center"/>
          </w:tcPr>
          <w:p>
            <w:r/>
            <w:r>
              <w:rPr>
                <w:b w:val="0"/>
                <w:sz w:val="17"/>
              </w:rPr>
              <w:t>人類決策與授權不可外包</w:t>
            </w:r>
          </w:p>
        </w:tc>
      </w:tr>
      <w:tr>
        <w:tc>
          <w:tcPr>
            <w:tcW w:type="dxa" w:w="2256"/>
            <w:vAlign w:val="center"/>
          </w:tcPr>
          <w:p>
            <w:r/>
            <w:r>
              <w:rPr>
                <w:b w:val="0"/>
                <w:sz w:val="17"/>
              </w:rPr>
              <w:t>執行</w:t>
            </w:r>
          </w:p>
        </w:tc>
        <w:tc>
          <w:tcPr>
            <w:tcW w:type="dxa" w:w="2256"/>
            <w:vAlign w:val="center"/>
          </w:tcPr>
          <w:p>
            <w:r/>
            <w:r>
              <w:rPr>
                <w:b w:val="0"/>
                <w:sz w:val="17"/>
              </w:rPr>
              <w:t>異常偵測、支付與採購風險提示</w:t>
            </w:r>
          </w:p>
        </w:tc>
        <w:tc>
          <w:tcPr>
            <w:tcW w:type="dxa" w:w="2256"/>
            <w:vAlign w:val="center"/>
          </w:tcPr>
          <w:p>
            <w:r/>
            <w:r>
              <w:rPr>
                <w:b w:val="0"/>
                <w:sz w:val="17"/>
              </w:rPr>
              <w:t>誤報、過度監控</w:t>
            </w:r>
          </w:p>
        </w:tc>
        <w:tc>
          <w:tcPr>
            <w:tcW w:type="dxa" w:w="2256"/>
            <w:vAlign w:val="center"/>
          </w:tcPr>
          <w:p>
            <w:r/>
            <w:r>
              <w:rPr>
                <w:b w:val="0"/>
                <w:sz w:val="17"/>
              </w:rPr>
              <w:t>風險分級與人工覆核</w:t>
            </w:r>
          </w:p>
        </w:tc>
      </w:tr>
      <w:tr>
        <w:tc>
          <w:tcPr>
            <w:tcW w:type="dxa" w:w="2256"/>
            <w:vAlign w:val="center"/>
          </w:tcPr>
          <w:p>
            <w:r/>
            <w:r>
              <w:rPr>
                <w:b w:val="0"/>
                <w:sz w:val="17"/>
              </w:rPr>
              <w:t>審計</w:t>
            </w:r>
          </w:p>
        </w:tc>
        <w:tc>
          <w:tcPr>
            <w:tcW w:type="dxa" w:w="2256"/>
            <w:vAlign w:val="center"/>
          </w:tcPr>
          <w:p>
            <w:r/>
            <w:r>
              <w:rPr>
                <w:b w:val="0"/>
                <w:sz w:val="17"/>
              </w:rPr>
              <w:t>全量掃描、契約文字分析、異常偵測</w:t>
            </w:r>
          </w:p>
        </w:tc>
        <w:tc>
          <w:tcPr>
            <w:tcW w:type="dxa" w:w="2256"/>
            <w:vAlign w:val="center"/>
          </w:tcPr>
          <w:p>
            <w:r/>
            <w:r>
              <w:rPr>
                <w:b w:val="0"/>
                <w:sz w:val="17"/>
              </w:rPr>
              <w:t>黑箱、責任稀釋</w:t>
            </w:r>
          </w:p>
        </w:tc>
        <w:tc>
          <w:tcPr>
            <w:tcW w:type="dxa" w:w="2256"/>
            <w:vAlign w:val="center"/>
          </w:tcPr>
          <w:p>
            <w:r/>
            <w:r>
              <w:rPr>
                <w:b w:val="0"/>
                <w:sz w:val="17"/>
              </w:rPr>
              <w:t>審計軌跡、可解釋與矯正</w:t>
            </w:r>
          </w:p>
        </w:tc>
      </w:tr>
      <w:tr>
        <w:tc>
          <w:tcPr>
            <w:tcW w:type="dxa" w:w="2256"/>
            <w:vAlign w:val="center"/>
          </w:tcPr>
          <w:p>
            <w:r/>
            <w:r>
              <w:rPr>
                <w:b w:val="0"/>
                <w:sz w:val="17"/>
              </w:rPr>
              <w:t>績效</w:t>
            </w:r>
          </w:p>
        </w:tc>
        <w:tc>
          <w:tcPr>
            <w:tcW w:type="dxa" w:w="2256"/>
            <w:vAlign w:val="center"/>
          </w:tcPr>
          <w:p>
            <w:r/>
            <w:r>
              <w:rPr>
                <w:b w:val="0"/>
                <w:sz w:val="17"/>
              </w:rPr>
              <w:t>即時儀表板、結果預測</w:t>
            </w:r>
          </w:p>
        </w:tc>
        <w:tc>
          <w:tcPr>
            <w:tcW w:type="dxa" w:w="2256"/>
            <w:vAlign w:val="center"/>
          </w:tcPr>
          <w:p>
            <w:r/>
            <w:r>
              <w:rPr>
                <w:b w:val="0"/>
                <w:sz w:val="17"/>
              </w:rPr>
              <w:t>KPI遊戲化、proxy取代結果</w:t>
            </w:r>
          </w:p>
        </w:tc>
        <w:tc>
          <w:tcPr>
            <w:tcW w:type="dxa" w:w="2256"/>
            <w:vAlign w:val="center"/>
          </w:tcPr>
          <w:p>
            <w:r/>
            <w:r>
              <w:rPr>
                <w:b w:val="0"/>
                <w:sz w:val="17"/>
              </w:rPr>
              <w:t>績效模型公平性與公共性檢核</w:t>
            </w:r>
          </w:p>
        </w:tc>
      </w:tr>
    </w:tbl>
    <w:p>
      <w:r>
        <w:rPr>
          <w:i/>
          <w:sz w:val="16"/>
        </w:rPr>
        <w:t>資料來源：OECD (2025), Governing with Artificial Intelligence；該報告指出公共財務管理中的AI目前主要強化既有預測、預算、財務管理與監督流程。</w:t>
      </w:r>
    </w:p>
    <w:p>
      <w:pPr>
        <w:spacing w:after="180" w:before="360"/>
      </w:pPr>
      <w:r>
        <w:rPr>
          <w:rFonts w:ascii="微軟正黑體" w:cs="微軟正黑體" w:eastAsia="微軟正黑體" w:hAnsi="微軟正黑體"/>
          <w:b/>
          <w:bCs/>
          <w:color w:val="1F4E79"/>
          <w:sz w:val="26"/>
          <w:szCs w:val="26"/>
        </w:rPr>
        <w:t xml:space="preserve">AI鑲嵌後的權力與結構變化:從「誰批准」到「誰被算出」</w:t>
      </w:r>
    </w:p>
    <w:p>
      <w:pPr>
        <w:pStyle w:val="ListParagraph"/>
        <w:numPr>
          <w:ilvl w:val="0"/>
          <w:numId w:val="2"/>
        </w:numPr>
        <w:spacing w:after="120" w:line="340"/>
      </w:pPr>
      <w:r>
        <w:rPr>
          <w:rFonts w:ascii="微軟正黑體" w:cs="微軟正黑體" w:eastAsia="微軟正黑體" w:hAnsi="微軟正黑體"/>
          <w:sz w:val="22"/>
          <w:szCs w:val="22"/>
        </w:rPr>
        <w:t xml:space="preserve">情境建構權(P1)的延伸:AI預算預測模型與績效指標推薦系統決定哪些支出計畫「進入優先視野」、哪些機關或個人被標記為「高績效」,訓練資料之歷史偏誤重新定義了「值得投資」與「值得肯定」的邊界。</w:t>
      </w:r>
    </w:p>
    <w:p>
      <w:pPr>
        <w:pStyle w:val="ListParagraph"/>
        <w:numPr>
          <w:ilvl w:val="0"/>
          <w:numId w:val="2"/>
        </w:numPr>
        <w:spacing w:after="120" w:line="340"/>
      </w:pPr>
      <w:r>
        <w:rPr>
          <w:rFonts w:ascii="微軟正黑體" w:cs="微軟正黑體" w:eastAsia="微軟正黑體" w:hAnsi="微軟正黑體"/>
          <w:sz w:val="22"/>
          <w:szCs w:val="22"/>
        </w:rPr>
        <w:t xml:space="preserve">行政裁量權(P2)的移轉:當AI生成之預算建議或績效評分被主管例行性採納,原本應由預算委員會或考績委員會承擔之實質判斷,可能在時間壓力下退化為對演算法輸出的形式化簽核。</w:t>
      </w:r>
    </w:p>
    <w:p>
      <w:pPr>
        <w:pStyle w:val="ListParagraph"/>
        <w:numPr>
          <w:ilvl w:val="0"/>
          <w:numId w:val="2"/>
        </w:numPr>
        <w:spacing w:after="120" w:line="340"/>
      </w:pPr>
      <w:r>
        <w:rPr>
          <w:rFonts w:ascii="微軟正黑體" w:cs="微軟正黑體" w:eastAsia="微軟正黑體" w:hAnsi="微軟正黑體"/>
          <w:sz w:val="22"/>
          <w:szCs w:val="22"/>
        </w:rPr>
        <w:t xml:space="preserve">公權力影響力(P3)的擴散:設計預算模型與績效演算法的技術團隊或外部供應商,對「誰的計畫被優先編列」「誰被認定為高績效」擁有實質影響力,卻通常不受立法院或考績會之直接課責機制拘束。</w:t>
      </w:r>
    </w:p>
    <w:p>
      <w:pPr>
        <w:spacing w:after="200" w:line="360"/>
        <w:ind w:firstLine="431"/>
        <w:jc w:val="both"/>
      </w:pPr>
      <w:r>
        <w:rPr>
          <w:rFonts w:ascii="微軟正黑體" w:cs="微軟正黑體" w:eastAsia="微軟正黑體" w:hAnsi="微軟正黑體"/>
          <w:sz w:val="22"/>
          <w:szCs w:val="22"/>
        </w:rPr>
        <w:t xml:space="preserve">三種結構性效應交織下,本章尤須警惕「量入為出」與「用最少資源創造最大公共價值」這兩項古老誡命,是否正被演算法的效率語言悄悄置換為「唯數據可測量者才被看見」。這正呼應本章開場所引《管子》「倉廩實而知禮節」的提醒:財政充盈或績效分數亮眼,若無法回答為何而充盈、為誰而亮眼,便只是空洞的數字。</w:t>
      </w:r>
    </w:p>
    <w:p>
      <w:pPr>
        <w:spacing w:after="180" w:before="360"/>
      </w:pPr>
      <w:r>
        <w:rPr>
          <w:rFonts w:ascii="微軟正黑體" w:cs="微軟正黑體" w:eastAsia="微軟正黑體" w:hAnsi="微軟正黑體"/>
          <w:b/>
          <w:bCs/>
          <w:color w:val="1F4E79"/>
          <w:sz w:val="26"/>
          <w:szCs w:val="26"/>
        </w:rPr>
        <w:t xml:space="preserve">四鏈追蹤＋七項審計應用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4813"/>
        <w:gridCol w:w="26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本章對應內容</w:t>
            </w:r>
          </w:p>
        </w:tc>
        <w:tc>
          <w:tcPr>
            <w:tcW w:type="dxa" w:w="2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情境建構鏈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AI預算模型與績效指標推薦系統標記哪些計畫「優先」、哪些機關「達標」</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資料代表性審計、隱私與資安審計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權威鏈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AI生成之預算建議或績效評分是否僭越預算委員會、考績委員會之正式權威</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責任歸屬審計、民主課責審計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AI預算或績效評分之理由能否回溯至可理解之依據,而非僅呈現分數本身</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預算誤差或績效爭議發生時,究責對象是模型設計者、資料供應商抑或機關首長</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責任歸屬審計、組織能力審計</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白話說明</w:t>
            </w:r>
          </w:p>
          <w:p>
            <w:pPr>
              <w:spacing w:line="340"/>
              <w:jc w:val="both"/>
            </w:pPr>
            <w:r>
              <w:rPr>
                <w:rFonts w:ascii="微軟正黑體" w:cs="微軟正黑體" w:eastAsia="微軟正黑體" w:hAnsi="微軟正黑體"/>
                <w:sz w:val="21"/>
                <w:szCs w:val="21"/>
              </w:rPr>
              <w:t xml:space="preserve">AI幫忙抓出可能超支的預算項目、也幫忙算出誰的考績分數比較高,聽起來很客觀——但客觀的是計算過程,不是計算依據。如果餵給模型的歷史資料本身就偏向某些機關或某些做法,算出來的「優先順序」與「高分」只是把舊有偏好包裝成數字而已。</w:t>
            </w:r>
          </w:p>
        </w:tc>
      </w:tr>
    </w:tbl>
    <w:p>
      <w:pPr>
        <w:spacing w:after="180" w:before="360"/>
      </w:pPr>
      <w:r>
        <w:rPr>
          <w:rFonts w:ascii="微軟正黑體" w:cs="微軟正黑體" w:eastAsia="微軟正黑體" w:hAnsi="微軟正黑體"/>
          <w:b/>
          <w:bCs/>
          <w:color w:val="1F4E79"/>
          <w:sz w:val="26"/>
          <w:szCs w:val="26"/>
        </w:rPr>
        <w:t xml:space="preserve">案例與思考討論</w:t>
      </w:r>
    </w:p>
    <w:p>
      <w:pPr>
        <w:spacing w:after="140" w:before="260"/>
      </w:pPr>
      <w:r>
        <w:rPr>
          <w:rFonts w:ascii="微軟正黑體" w:cs="微軟正黑體" w:eastAsia="微軟正黑體" w:hAnsi="微軟正黑體"/>
          <w:b/>
          <w:bCs/>
          <w:color w:val="2E5C8A"/>
          <w:sz w:val="23"/>
          <w:szCs w:val="23"/>
        </w:rPr>
        <w:t xml:space="preserve">案例思考一(國際案例):美國國稅局演算法選案的種族落差</w:t>
      </w:r>
    </w:p>
    <w:p>
      <w:pPr>
        <w:spacing w:after="200" w:line="360"/>
        <w:ind w:firstLine="431"/>
        <w:jc w:val="both"/>
      </w:pPr>
      <w:r>
        <w:rPr>
          <w:rFonts w:ascii="微軟正黑體" w:cs="微軟正黑體" w:eastAsia="微軟正黑體" w:hAnsi="微軟正黑體"/>
          <w:sz w:val="22"/>
          <w:szCs w:val="22"/>
        </w:rPr>
        <w:t xml:space="preserve">2023年,史丹佛大學研究團隊與美國財政部合作發表研究,指出美國國稅局(IRS)電腦選案演算法因鎖定申報勞動所得稅抵免(Earned Income Tax Credit, EITC)之申報者進行稽查,導致黑人納稅人受稽查機率為其他族群之3至5倍——研究強調此落差並非源於選案演算法直接以種族為輸入變數,而是源於演算法對EITC申報者之系統性鎖定,而黑人納稅人申報EITC之比例較高所致,是「技術中立卻結果歧視」的典型案例。2023年5月,IRS局長Danny Werfel公開確認史丹佛研究之發現,承諾將優先檢討EITC選案演算法,並於下一報稅季前完成調整。此案例對本章別具意義:稅收稽查選案本質上是一種「財務績效工具」,選案演算法既決定財務稽核資源之配置,也隱含對特定群體「較可能違規」之績效標籤,印證財務與績效治理鏈在演算法時代高度交織。</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事件內容</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治理意涵</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爭議核心</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IRS選案演算法因鎖定EITC申報者,使黑人納稅人受稽查機率為其他族群之3至5倍</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演算法未以種族為輸入變數,卻因替代變數(proxy variable)產生系統性歧視效果,屬資料代表性偏誤之典型案例</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機關回應</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2023年5月IRS局長公開確認研究發現,承諾優先檢討EITC選案演算法並設定改善時程</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財務課責之後果與矯正(Busuioc第四要件)須包含公開承認錯誤與可信任之外部研究驗證</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對本章之啟示</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選案演算法同時決定財務稽核資源配置(財務面),也隱含對特定群體之績效標籤(績效面)</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印證財務與績效治理鏈高度交織:資料代表性審計須同時檢視兩個層次之公平性</w:t>
            </w:r>
          </w:p>
        </w:tc>
      </w:tr>
    </w:tbl>
    <w:p>
      <w:pPr>
        <w:spacing w:after="280" w:before="120"/>
        <w:jc w:val="center"/>
      </w:pPr>
      <w:r>
        <w:rPr>
          <w:rFonts w:ascii="微軟正黑體" w:cs="微軟正黑體" w:eastAsia="微軟正黑體" w:hAnsi="微軟正黑體"/>
          <w:i/>
          <w:iCs/>
          <w:color w:val="555555"/>
          <w:sz w:val="18"/>
          <w:szCs w:val="18"/>
        </w:rPr>
        <w:t xml:space="preserve">表23-9　美國IRS演算法選案種族落差案例分析</w:t>
      </w:r>
    </w:p>
    <w:p>
      <w:pPr>
        <w:spacing w:after="140" w:before="260"/>
      </w:pPr>
      <w:r>
        <w:rPr>
          <w:rFonts w:ascii="微軟正黑體" w:cs="微軟正黑體" w:eastAsia="微軟正黑體" w:hAnsi="微軟正黑體"/>
          <w:b/>
          <w:bCs/>
          <w:color w:val="2E5C8A"/>
          <w:sz w:val="23"/>
          <w:szCs w:val="23"/>
        </w:rPr>
        <w:t xml:space="preserve">案例思考二(國內案例):監察院與審計部推動AI數位審計創新應用研習</w:t>
      </w:r>
    </w:p>
    <w:p>
      <w:pPr>
        <w:spacing w:after="200" w:line="360"/>
        <w:ind w:firstLine="431"/>
        <w:jc w:val="both"/>
      </w:pPr>
      <w:r>
        <w:rPr>
          <w:rFonts w:ascii="微軟正黑體" w:cs="微軟正黑體" w:eastAsia="微軟正黑體" w:hAnsi="微軟正黑體"/>
          <w:sz w:val="22"/>
          <w:szCs w:val="22"/>
        </w:rPr>
        <w:t xml:space="preserve">2026年4月,監察院攜手審計部舉辦為期三日的「AI×數位審計創新應用」研習,逾250位委員與同仁分三梯次參與。上午課程由學者講授生成式AI基本概念與資安風險,下午則由審計部分享實作成果,包括生成式AI審計助理與輿情分析模組、應用機器學習查核太陽光電政策執行成效,以及高風險政府採購案件之異常偵測。監察院代理院長李鴻鈞強調,推動AI導入的同時須同步重視資訊安全與風險管理,並將建立內部治理框架,以利未來擴展至「智慧行政」之更廣泛應用。此案例顯示,我國審計實務已從傳統財務合規審計,逐步擴及運用AI查核政策執行績效,正呼應本章「審計從財務合規擴及績效審計」之論點。</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事件內容</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治理意涵</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推動內容</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監察院與審計部於2026年4月辦理研習,分享生成式AI審計助理、輿情分析、太陽光電政策執行查核之機器學習應用及高風險採購偵測</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顯示審計實務已從財務合規審計,擴及以AI查核政策執行績效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治理配套</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監察院代理院長強調將同步建立內部治理框架,並重視資訊安全與風險管理</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符合Busuioc「資訊揭露」與「後果矯正」精神——技術導入應與治理框架同步建置</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對本章之啟示</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太陽光電案例顯示AI審計工具可同時服務財務稽核(採購異常偵測)與績效稽核(政策執行成效)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財務與績效審計在AI時代逐漸整合為單一資料驅動之查核流程,惟仍須比照IRS案例定期檢視工具本身之公平性</w:t>
            </w:r>
          </w:p>
        </w:tc>
      </w:tr>
    </w:tbl>
    <w:p>
      <w:pPr>
        <w:spacing w:after="280" w:before="120"/>
        <w:jc w:val="center"/>
      </w:pPr>
      <w:r>
        <w:rPr>
          <w:rFonts w:ascii="微軟正黑體" w:cs="微軟正黑體" w:eastAsia="微軟正黑體" w:hAnsi="微軟正黑體"/>
          <w:i/>
          <w:iCs/>
          <w:color w:val="555555"/>
          <w:sz w:val="18"/>
          <w:szCs w:val="18"/>
        </w:rPr>
        <w:t xml:space="preserve">表23-10　監察院AI數位審計創新應用研習案例分析</w:t>
      </w:r>
    </w:p>
    <w:p>
      <w:pPr>
        <w:spacing w:after="140" w:before="260"/>
      </w:pPr>
      <w:r>
        <w:rPr>
          <w:rFonts w:ascii="微軟正黑體" w:cs="微軟正黑體" w:eastAsia="微軟正黑體" w:hAnsi="微軟正黑體"/>
          <w:b/>
          <w:bCs/>
          <w:color w:val="2E5C8A"/>
          <w:sz w:val="23"/>
          <w:szCs w:val="23"/>
        </w:rPr>
        <w:t xml:space="preserve">案例思考三:「一份漂亮的儀表板,騙得過審計官,騙不過納稅人」</w:t>
      </w:r>
    </w:p>
    <w:p>
      <w:pPr>
        <w:spacing w:after="200" w:line="360"/>
        <w:ind w:firstLine="431"/>
        <w:jc w:val="both"/>
      </w:pPr>
      <w:r>
        <w:rPr>
          <w:rFonts w:ascii="微軟正黑體" w:cs="微軟正黑體" w:eastAsia="微軟正黑體" w:hAnsi="微軟正黑體"/>
          <w:sz w:val="22"/>
          <w:szCs w:val="22"/>
        </w:rPr>
        <w:t xml:space="preserve">某機關以AI生成之亮眼KPI儀表板向立法院報告數位服務績效,審計官初步審查通過,但地方民眾陳情反映實際服務品質未見改善,凸顯儀表板之視覺化說服力(Narrative Intelligence)可能凌駕於因果證據之上。財務執行率與績效分數再漂亮,若無法對應到民眾實際感受,便是本章開場所警示「衣食足而未必知榮辱」的當代版本:資源到位不必然等於治理成效到位,唯有誠實的績效證成,才能讓財務投入真正轉化為公共價值。</w:t>
      </w:r>
    </w:p>
    <w:p>
      <w:pPr>
        <w:spacing w:after="140" w:before="260"/>
      </w:pPr>
      <w:r>
        <w:rPr>
          <w:rFonts w:ascii="微軟正黑體" w:cs="微軟正黑體" w:eastAsia="微軟正黑體" w:hAnsi="微軟正黑體"/>
          <w:b/>
          <w:bCs/>
          <w:color w:val="2E5C8A"/>
          <w:sz w:val="23"/>
          <w:szCs w:val="23"/>
        </w:rPr>
        <w:t xml:space="preserve">延伸思考</w:t>
      </w:r>
    </w:p>
    <w:p>
      <w:pPr>
        <w:spacing w:after="160" w:line="340"/>
        <w:ind w:left="431" w:hanging="431"/>
      </w:pPr>
      <w:r>
        <w:rPr>
          <w:rFonts w:ascii="微軟正黑體" w:cs="微軟正黑體" w:eastAsia="微軟正黑體" w:hAnsi="微軟正黑體"/>
          <w:sz w:val="22"/>
          <w:szCs w:val="22"/>
        </w:rPr>
        <w:t xml:space="preserve">一、基礎:請以25座標定位IRS演算法選案案例或監察院AI數位審計案例,畫出其跨格移動路徑:此案例應歸屬哪一治理座標?因AI技術嵌入後,又是否位移至哪一座標?</w:t>
      </w:r>
    </w:p>
    <w:p>
      <w:pPr>
        <w:spacing w:after="160" w:line="340"/>
        <w:ind w:left="431" w:hanging="431"/>
      </w:pPr>
      <w:r>
        <w:rPr>
          <w:rFonts w:ascii="微軟正黑體" w:cs="微軟正黑體" w:eastAsia="微軟正黑體" w:hAnsi="微軟正黑體"/>
          <w:sz w:val="22"/>
          <w:szCs w:val="22"/>
        </w:rPr>
        <w:t xml:space="preserve">二、進階:承上題,指出此案例在四鏈追蹤中最脆弱的斷裂點,並設計一份可操作的七審檢查表,列出至少四項具體稽核項目。</w:t>
      </w:r>
    </w:p>
    <w:p>
      <w:pPr>
        <w:spacing w:after="160" w:line="340"/>
        <w:ind w:left="431" w:hanging="431"/>
      </w:pPr>
      <w:r>
        <w:rPr>
          <w:rFonts w:ascii="微軟正黑體" w:cs="微軟正黑體" w:eastAsia="微軟正黑體" w:hAnsi="微軟正黑體"/>
          <w:sz w:val="22"/>
          <w:szCs w:val="22"/>
        </w:rPr>
        <w:t xml:space="preserve">三、實作:若你是機關主計或審計人員,請撰寫一份300字的「AI輔助預算/績效模型公平性檢核SOP」,說明資料盤點、公平性指標設定與人類覆核節點之具體作法。</w:t>
      </w:r>
    </w:p>
    <w:p>
      <w:pPr>
        <w:spacing w:after="160" w:line="340"/>
        <w:ind w:left="431" w:hanging="431"/>
      </w:pPr>
      <w:r>
        <w:rPr>
          <w:rFonts w:ascii="微軟正黑體" w:cs="微軟正黑體" w:eastAsia="微軟正黑體" w:hAnsi="微軟正黑體"/>
          <w:sz w:val="22"/>
          <w:szCs w:val="22"/>
        </w:rPr>
        <w:t xml:space="preserve">四、前瞻:本章銜接第二十二章人事管理與下一章數位政府。請以前瞻句格式(例如「本章確立了……,下一部分將……」),寫出本章應如何銜接下一章第二十四章「數位政府與行政溝通、衝突及危機管理」之討論。</w:t>
      </w:r>
    </w:p>
    <w:p>
      <w:r>
        <w:rPr>
          <w:b/>
          <w:sz w:val="22"/>
        </w:rPr>
        <w:t>概念圖23-E　第二十至二十三章的管理閉環：策略—領導—人事—財務／績效</w:t>
      </w:r>
    </w:p>
    <w:tbl>
      <w:tblPr>
        <w:tblW w:type="auto" w:w="0"/>
        <w:jc w:val="center"/>
        <w:tblLook w:firstColumn="1" w:firstRow="1" w:lastColumn="0" w:lastRow="0" w:noHBand="0" w:noVBand="1" w:val="04A0"/>
      </w:tblPr>
      <w:tblGrid>
        <w:gridCol w:w="2256"/>
        <w:gridCol w:w="2256"/>
        <w:gridCol w:w="2256"/>
        <w:gridCol w:w="2256"/>
      </w:tblGrid>
      <w:tr>
        <w:tc>
          <w:tcPr>
            <w:tcW w:type="dxa" w:w="2256"/>
            <w:vAlign w:val="center"/>
            <w:shd w:fill="D9EAF7"/>
          </w:tcPr>
          <w:p>
            <w:r/>
            <w:r>
              <w:rPr>
                <w:b/>
                <w:sz w:val="17"/>
              </w:rPr>
              <w:t>管理章節</w:t>
            </w:r>
          </w:p>
        </w:tc>
        <w:tc>
          <w:tcPr>
            <w:tcW w:type="dxa" w:w="2256"/>
            <w:vAlign w:val="center"/>
            <w:shd w:fill="D9EAF7"/>
          </w:tcPr>
          <w:p>
            <w:r/>
            <w:r>
              <w:rPr>
                <w:b/>
                <w:sz w:val="17"/>
              </w:rPr>
              <w:t>核心問題</w:t>
            </w:r>
          </w:p>
        </w:tc>
        <w:tc>
          <w:tcPr>
            <w:tcW w:type="dxa" w:w="2256"/>
            <w:vAlign w:val="center"/>
            <w:shd w:fill="D9EAF7"/>
          </w:tcPr>
          <w:p>
            <w:r/>
            <w:r>
              <w:rPr>
                <w:b/>
                <w:sz w:val="17"/>
              </w:rPr>
              <w:t>主要產物</w:t>
            </w:r>
          </w:p>
        </w:tc>
        <w:tc>
          <w:tcPr>
            <w:tcW w:type="dxa" w:w="2256"/>
            <w:vAlign w:val="center"/>
            <w:shd w:fill="D9EAF7"/>
          </w:tcPr>
          <w:p>
            <w:r/>
            <w:r>
              <w:rPr>
                <w:b/>
                <w:sz w:val="17"/>
              </w:rPr>
              <w:t>下一環</w:t>
            </w:r>
          </w:p>
        </w:tc>
      </w:tr>
      <w:tr>
        <w:tc>
          <w:tcPr>
            <w:tcW w:type="dxa" w:w="2256"/>
            <w:vAlign w:val="center"/>
          </w:tcPr>
          <w:p>
            <w:r/>
            <w:r>
              <w:rPr>
                <w:b w:val="0"/>
                <w:sz w:val="17"/>
              </w:rPr>
              <w:t>第二十章 策略管理</w:t>
            </w:r>
          </w:p>
        </w:tc>
        <w:tc>
          <w:tcPr>
            <w:tcW w:type="dxa" w:w="2256"/>
            <w:vAlign w:val="center"/>
          </w:tcPr>
          <w:p>
            <w:r/>
            <w:r>
              <w:rPr>
                <w:b w:val="0"/>
                <w:sz w:val="17"/>
              </w:rPr>
              <w:t>往哪裡去？</w:t>
            </w:r>
          </w:p>
        </w:tc>
        <w:tc>
          <w:tcPr>
            <w:tcW w:type="dxa" w:w="2256"/>
            <w:vAlign w:val="center"/>
          </w:tcPr>
          <w:p>
            <w:r/>
            <w:r>
              <w:rPr>
                <w:b w:val="0"/>
                <w:sz w:val="17"/>
              </w:rPr>
              <w:t>使命、目標、策略選擇</w:t>
            </w:r>
          </w:p>
        </w:tc>
        <w:tc>
          <w:tcPr>
            <w:tcW w:type="dxa" w:w="2256"/>
            <w:vAlign w:val="center"/>
          </w:tcPr>
          <w:p>
            <w:r/>
            <w:r>
              <w:rPr>
                <w:b w:val="0"/>
                <w:sz w:val="17"/>
              </w:rPr>
              <w:t>第二十一章</w:t>
            </w:r>
          </w:p>
        </w:tc>
      </w:tr>
      <w:tr>
        <w:tc>
          <w:tcPr>
            <w:tcW w:type="dxa" w:w="2256"/>
            <w:vAlign w:val="center"/>
          </w:tcPr>
          <w:p>
            <w:r/>
            <w:r>
              <w:rPr>
                <w:b w:val="0"/>
                <w:sz w:val="17"/>
              </w:rPr>
              <w:t>第二十一章 行政領導</w:t>
            </w:r>
          </w:p>
        </w:tc>
        <w:tc>
          <w:tcPr>
            <w:tcW w:type="dxa" w:w="2256"/>
            <w:vAlign w:val="center"/>
          </w:tcPr>
          <w:p>
            <w:r/>
            <w:r>
              <w:rPr>
                <w:b w:val="0"/>
                <w:sz w:val="17"/>
              </w:rPr>
              <w:t>如何帶人走？</w:t>
            </w:r>
          </w:p>
        </w:tc>
        <w:tc>
          <w:tcPr>
            <w:tcW w:type="dxa" w:w="2256"/>
            <w:vAlign w:val="center"/>
          </w:tcPr>
          <w:p>
            <w:r/>
            <w:r>
              <w:rPr>
                <w:b w:val="0"/>
                <w:sz w:val="17"/>
              </w:rPr>
              <w:t>方向轉化、權威、動員、課責</w:t>
            </w:r>
          </w:p>
        </w:tc>
        <w:tc>
          <w:tcPr>
            <w:tcW w:type="dxa" w:w="2256"/>
            <w:vAlign w:val="center"/>
          </w:tcPr>
          <w:p>
            <w:r/>
            <w:r>
              <w:rPr>
                <w:b w:val="0"/>
                <w:sz w:val="17"/>
              </w:rPr>
              <w:t>第二十二章</w:t>
            </w:r>
          </w:p>
        </w:tc>
      </w:tr>
      <w:tr>
        <w:tc>
          <w:tcPr>
            <w:tcW w:type="dxa" w:w="2256"/>
            <w:vAlign w:val="center"/>
          </w:tcPr>
          <w:p>
            <w:r/>
            <w:r>
              <w:rPr>
                <w:b w:val="0"/>
                <w:sz w:val="17"/>
              </w:rPr>
              <w:t>第二十二章 人事管理</w:t>
            </w:r>
          </w:p>
        </w:tc>
        <w:tc>
          <w:tcPr>
            <w:tcW w:type="dxa" w:w="2256"/>
            <w:vAlign w:val="center"/>
          </w:tcPr>
          <w:p>
            <w:r/>
            <w:r>
              <w:rPr>
                <w:b w:val="0"/>
                <w:sz w:val="17"/>
              </w:rPr>
              <w:t>用什麼人與能力？</w:t>
            </w:r>
          </w:p>
        </w:tc>
        <w:tc>
          <w:tcPr>
            <w:tcW w:type="dxa" w:w="2256"/>
            <w:vAlign w:val="center"/>
          </w:tcPr>
          <w:p>
            <w:r/>
            <w:r>
              <w:rPr>
                <w:b w:val="0"/>
                <w:sz w:val="17"/>
              </w:rPr>
              <w:t>甄補、訓練、考績、人才能力</w:t>
            </w:r>
          </w:p>
        </w:tc>
        <w:tc>
          <w:tcPr>
            <w:tcW w:type="dxa" w:w="2256"/>
            <w:vAlign w:val="center"/>
          </w:tcPr>
          <w:p>
            <w:r/>
            <w:r>
              <w:rPr>
                <w:b w:val="0"/>
                <w:sz w:val="17"/>
              </w:rPr>
              <w:t>第二十三章</w:t>
            </w:r>
          </w:p>
        </w:tc>
      </w:tr>
      <w:tr>
        <w:tc>
          <w:tcPr>
            <w:tcW w:type="dxa" w:w="2256"/>
            <w:vAlign w:val="center"/>
          </w:tcPr>
          <w:p>
            <w:r/>
            <w:r>
              <w:rPr>
                <w:b w:val="0"/>
                <w:sz w:val="17"/>
              </w:rPr>
              <w:t>第二十三章 財務／績效</w:t>
            </w:r>
          </w:p>
        </w:tc>
        <w:tc>
          <w:tcPr>
            <w:tcW w:type="dxa" w:w="2256"/>
            <w:vAlign w:val="center"/>
          </w:tcPr>
          <w:p>
            <w:r/>
            <w:r>
              <w:rPr>
                <w:b w:val="0"/>
                <w:sz w:val="17"/>
              </w:rPr>
              <w:t>用多少資源、結果如何？</w:t>
            </w:r>
          </w:p>
        </w:tc>
        <w:tc>
          <w:tcPr>
            <w:tcW w:type="dxa" w:w="2256"/>
            <w:vAlign w:val="center"/>
          </w:tcPr>
          <w:p>
            <w:r/>
            <w:r>
              <w:rPr>
                <w:b w:val="0"/>
                <w:sz w:val="17"/>
              </w:rPr>
              <w:t>預算、執行、績效、審計、回饋</w:t>
            </w:r>
          </w:p>
        </w:tc>
        <w:tc>
          <w:tcPr>
            <w:tcW w:type="dxa" w:w="2256"/>
            <w:vAlign w:val="center"/>
          </w:tcPr>
          <w:p>
            <w:r/>
            <w:r>
              <w:rPr>
                <w:b w:val="0"/>
                <w:sz w:val="17"/>
              </w:rPr>
              <w:t>修正策略</w:t>
            </w:r>
          </w:p>
        </w:tc>
      </w:tr>
      <w:tr>
        <w:tc>
          <w:tcPr>
            <w:tcW w:type="dxa" w:w="2256"/>
            <w:vAlign w:val="center"/>
          </w:tcPr>
          <w:p>
            <w:r/>
            <w:r>
              <w:rPr>
                <w:b w:val="0"/>
                <w:sz w:val="17"/>
              </w:rPr>
              <w:t>閉環</w:t>
            </w:r>
          </w:p>
        </w:tc>
        <w:tc>
          <w:tcPr>
            <w:tcW w:type="dxa" w:w="2256"/>
            <w:vAlign w:val="center"/>
          </w:tcPr>
          <w:p>
            <w:r/>
            <w:r>
              <w:rPr>
                <w:b w:val="0"/>
                <w:sz w:val="17"/>
              </w:rPr>
              <w:t>是否值得持續？</w:t>
            </w:r>
          </w:p>
        </w:tc>
        <w:tc>
          <w:tcPr>
            <w:tcW w:type="dxa" w:w="2256"/>
            <w:vAlign w:val="center"/>
          </w:tcPr>
          <w:p>
            <w:r/>
            <w:r>
              <w:rPr>
                <w:b w:val="0"/>
                <w:sz w:val="17"/>
              </w:rPr>
              <w:t>資源＋能力＋結果＋公共價值</w:t>
            </w:r>
          </w:p>
        </w:tc>
        <w:tc>
          <w:tcPr>
            <w:tcW w:type="dxa" w:w="2256"/>
            <w:vAlign w:val="center"/>
          </w:tcPr>
          <w:p>
            <w:r/>
            <w:r>
              <w:rPr>
                <w:b w:val="0"/>
                <w:sz w:val="17"/>
              </w:rPr>
              <w:t>回到策略再選擇</w:t>
            </w:r>
          </w:p>
        </w:tc>
      </w:tr>
    </w:tbl>
    <w:p>
      <w:r>
        <w:rPr>
          <w:i/>
          <w:sz w:val="16"/>
        </w:rPr>
        <w:t>資料來源：第二十至二十三章既有內容之跨章整合；本圖為本書提出的管理運作四章閉環。</w:t>
      </w:r>
    </w:p>
    <w:p>
      <w:pPr>
        <w:spacing w:after="180" w:before="360"/>
      </w:pPr>
      <w:r>
        <w:rPr>
          <w:rFonts w:ascii="微軟正黑體" w:cs="微軟正黑體" w:eastAsia="微軟正黑體" w:hAnsi="微軟正黑體"/>
          <w:b/>
          <w:bCs/>
          <w:color w:val="1F4E79"/>
          <w:sz w:val="26"/>
          <w:szCs w:val="26"/>
        </w:rPr>
        <w:t xml:space="preserve">本章小結</w:t>
      </w:r>
    </w:p>
    <w:p>
      <w:pPr>
        <w:spacing w:after="200" w:line="360"/>
        <w:ind w:firstLine="431"/>
        <w:jc w:val="both"/>
      </w:pPr>
      <w:r>
        <w:rPr>
          <w:rFonts w:ascii="微軟正黑體" w:cs="微軟正黑體" w:eastAsia="微軟正黑體" w:hAnsi="微軟正黑體"/>
          <w:sz w:val="22"/>
          <w:szCs w:val="22"/>
        </w:rPr>
        <w:t xml:space="preserve">本章合併討論財務管理與績效管理兩項管理運作機能。財務行政以預算為中心,具基礎性、連環性與管制性,其目的在獲取收入、控制收支、提升效率並促進公平分配;政府收入涵蓋賦稅、規費、營業盈餘與公債,支出則具配置、分配、穩定與成長四項功能;預算制度歷經項目列舉、複式、績效、PPBS、零基、目標基準至成果預算之演進,反映從控制到績效到策略的價值轉移;預算週期則涵蓋籌編、審議、執行與決算審計四階段。績效管理則以3E+Q為核心內涵,透過SMART原則與公共性檢核設計指標,運用MBO、平衡計分卡、OKR與360度回饋等工具,循PDCA五階段流程將資源轉化為可被證成之公共價值。</w:t>
      </w:r>
    </w:p>
    <w:p>
      <w:pPr>
        <w:spacing w:after="200" w:line="360"/>
        <w:ind w:firstLine="431"/>
        <w:jc w:val="both"/>
      </w:pPr>
      <w:r>
        <w:rPr>
          <w:rFonts w:ascii="微軟正黑體" w:cs="微軟正黑體" w:eastAsia="微軟正黑體" w:hAnsi="微軟正黑體"/>
          <w:sz w:val="22"/>
          <w:szCs w:val="22"/>
        </w:rPr>
        <w:t xml:space="preserve">AI時代為財務與績效治理帶來雙重典範轉移:財務面由事後記帳轉為即時預測治理,演算法預算與AI審計有助降低漸增與本位偏誤,惟主權AI算力之戰略資產屬性要求全新的成本治理科目;績效面則由年度回顧轉為即時預測,AI績效儀表板與動態KPI設計提升管理效能,卻也帶來演算法偏見與正當程序之風險。本章以Busuioc演算法課責四要件——資訊揭露、解釋正當化、審議質詢、後果矯正——作為財務與績效共通之課責基礎設施,並以美國IRS演算法選案之種族落差及我國監察院AI數位審計研習為例,說明財務與績效兩條治理鏈在AI時代正逐漸交織為單一資料驅動之課責迴路。唯有讓「錢從哪裡來」與「錢創造了什麼」兩個問題都能被誠實回答,公共資源治理才算真正完整。</w:t>
      </w:r>
    </w:p>
    <w:p>
      <w:pPr>
        <w:spacing w:after="240" w:line="340"/>
        <w:ind w:left="576" w:right="576"/>
      </w:pPr>
      <w:r>
        <w:rPr>
          <w:rFonts w:ascii="微軟正黑體" w:cs="微軟正黑體" w:eastAsia="微軟正黑體" w:hAnsi="微軟正黑體"/>
          <w:i/>
          <w:iCs/>
          <w:sz w:val="21"/>
          <w:szCs w:val="21"/>
        </w:rPr>
        <w:t xml:space="preserve">「倉廩實而知禮節」,講的從來不只是府庫充盈,而是充盈之後,治理者是否還記得為何充盈——這正是財務管理與績效管理合而為一章的理由:資源與價值,終究是同一個問題的兩面。</w:t>
      </w:r>
    </w:p>
    <w:p>
      <w:pPr>
        <w:spacing w:after="180" w:before="360"/>
      </w:pPr>
      <w:r>
        <w:rPr>
          <w:rFonts w:ascii="微軟正黑體" w:cs="微軟正黑體" w:eastAsia="微軟正黑體" w:hAnsi="微軟正黑體"/>
          <w:b/>
          <w:bCs/>
          <w:color w:val="1F4E79"/>
          <w:sz w:val="26"/>
          <w:szCs w:val="26"/>
        </w:rPr>
        <w:t xml:space="preserve">關鍵詞彙</w:t>
      </w:r>
    </w:p>
    <w:p>
      <w:pPr>
        <w:spacing w:after="160" w:line="340"/>
      </w:pPr>
      <w:r>
        <w:rPr>
          <w:rFonts w:ascii="微軟正黑體" w:cs="微軟正黑體" w:eastAsia="微軟正黑體" w:hAnsi="微軟正黑體"/>
          <w:b/>
          <w:bCs/>
          <w:sz w:val="22"/>
          <w:szCs w:val="22"/>
        </w:rPr>
        <w:t xml:space="preserve">財務行政　</w:t>
      </w:r>
      <w:r>
        <w:rPr>
          <w:rFonts w:ascii="微軟正黑體" w:cs="微軟正黑體" w:eastAsia="微軟正黑體" w:hAnsi="微軟正黑體"/>
          <w:sz w:val="22"/>
          <w:szCs w:val="22"/>
        </w:rPr>
        <w:t xml:space="preserve">政府對其財務收入與支出所做之有系統管理制度,又稱形式財政學。</w:t>
      </w:r>
    </w:p>
    <w:p>
      <w:pPr>
        <w:spacing w:after="160" w:line="340"/>
      </w:pPr>
      <w:r>
        <w:rPr>
          <w:rFonts w:ascii="微軟正黑體" w:cs="微軟正黑體" w:eastAsia="微軟正黑體" w:hAnsi="微軟正黑體"/>
          <w:b/>
          <w:bCs/>
          <w:sz w:val="22"/>
          <w:szCs w:val="22"/>
        </w:rPr>
        <w:t xml:space="preserve">預算　</w:t>
      </w:r>
      <w:r>
        <w:rPr>
          <w:rFonts w:ascii="微軟正黑體" w:cs="微軟正黑體" w:eastAsia="微軟正黑體" w:hAnsi="微軟正黑體"/>
          <w:sz w:val="22"/>
          <w:szCs w:val="22"/>
        </w:rPr>
        <w:t xml:space="preserve">一定期間內以數字表達之施政計畫,經立法程序通過後具法律效力。</w:t>
      </w:r>
    </w:p>
    <w:p>
      <w:pPr>
        <w:spacing w:after="160" w:line="340"/>
      </w:pPr>
      <w:r>
        <w:rPr>
          <w:rFonts w:ascii="微軟正黑體" w:cs="微軟正黑體" w:eastAsia="微軟正黑體" w:hAnsi="微軟正黑體"/>
          <w:b/>
          <w:bCs/>
          <w:sz w:val="22"/>
          <w:szCs w:val="22"/>
        </w:rPr>
        <w:t xml:space="preserve">項目列舉預算　</w:t>
      </w:r>
      <w:r>
        <w:rPr>
          <w:rFonts w:ascii="微軟正黑體" w:cs="微軟正黑體" w:eastAsia="微軟正黑體" w:hAnsi="微軟正黑體"/>
          <w:sz w:val="22"/>
          <w:szCs w:val="22"/>
        </w:rPr>
        <w:t xml:space="preserve">依機關與科目列舉收支之傳統單式預算,便於監督但只見投入不見產出。</w:t>
      </w:r>
    </w:p>
    <w:p>
      <w:pPr>
        <w:spacing w:after="160" w:line="340"/>
      </w:pPr>
      <w:r>
        <w:rPr>
          <w:rFonts w:ascii="微軟正黑體" w:cs="微軟正黑體" w:eastAsia="微軟正黑體" w:hAnsi="微軟正黑體"/>
          <w:b/>
          <w:bCs/>
          <w:sz w:val="22"/>
          <w:szCs w:val="22"/>
        </w:rPr>
        <w:t xml:space="preserve">績效預算　</w:t>
      </w:r>
      <w:r>
        <w:rPr>
          <w:rFonts w:ascii="微軟正黑體" w:cs="微軟正黑體" w:eastAsia="微軟正黑體" w:hAnsi="微軟正黑體"/>
          <w:sz w:val="22"/>
          <w:szCs w:val="22"/>
        </w:rPr>
        <w:t xml:space="preserve">1951年推動,以功能與施政計畫為分類並引入成本會計之預算制度。</w:t>
      </w:r>
    </w:p>
    <w:p>
      <w:pPr>
        <w:spacing w:after="160" w:line="340"/>
      </w:pPr>
      <w:r>
        <w:rPr>
          <w:rFonts w:ascii="微軟正黑體" w:cs="微軟正黑體" w:eastAsia="微軟正黑體" w:hAnsi="微軟正黑體"/>
          <w:b/>
          <w:bCs/>
          <w:sz w:val="22"/>
          <w:szCs w:val="22"/>
        </w:rPr>
        <w:t xml:space="preserve">計畫規劃預算制度(PPBS)　</w:t>
      </w:r>
      <w:r>
        <w:rPr>
          <w:rFonts w:ascii="微軟正黑體" w:cs="微軟正黑體" w:eastAsia="微軟正黑體" w:hAnsi="微軟正黑體"/>
          <w:sz w:val="22"/>
          <w:szCs w:val="22"/>
        </w:rPr>
        <w:t xml:space="preserve">整合規劃、計畫、預算三階段,以成本效益分析選定方案之預算制度。</w:t>
      </w:r>
    </w:p>
    <w:p>
      <w:pPr>
        <w:spacing w:after="160" w:line="340"/>
      </w:pPr>
      <w:r>
        <w:rPr>
          <w:rFonts w:ascii="微軟正黑體" w:cs="微軟正黑體" w:eastAsia="微軟正黑體" w:hAnsi="微軟正黑體"/>
          <w:b/>
          <w:bCs/>
          <w:sz w:val="22"/>
          <w:szCs w:val="22"/>
        </w:rPr>
        <w:t xml:space="preserve">零基預算(ZBB)　</w:t>
      </w:r>
      <w:r>
        <w:rPr>
          <w:rFonts w:ascii="微軟正黑體" w:cs="微軟正黑體" w:eastAsia="微軟正黑體" w:hAnsi="微軟正黑體"/>
          <w:sz w:val="22"/>
          <w:szCs w:val="22"/>
        </w:rPr>
        <w:t xml:space="preserve">每年自零重新評估所有計畫存續理由之預算制度。</w:t>
      </w:r>
    </w:p>
    <w:p>
      <w:pPr>
        <w:spacing w:after="160" w:line="340"/>
      </w:pPr>
      <w:r>
        <w:rPr>
          <w:rFonts w:ascii="微軟正黑體" w:cs="微軟正黑體" w:eastAsia="微軟正黑體" w:hAnsi="微軟正黑體"/>
          <w:b/>
          <w:bCs/>
          <w:sz w:val="22"/>
          <w:szCs w:val="22"/>
        </w:rPr>
        <w:t xml:space="preserve">成果預算　</w:t>
      </w:r>
      <w:r>
        <w:rPr>
          <w:rFonts w:ascii="微軟正黑體" w:cs="微軟正黑體" w:eastAsia="微軟正黑體" w:hAnsi="微軟正黑體"/>
          <w:sz w:val="22"/>
          <w:szCs w:val="22"/>
        </w:rPr>
        <w:t xml:space="preserve">以彈性、結果導向與績效掛帥為特徵之當代預算制度。</w:t>
      </w:r>
    </w:p>
    <w:p>
      <w:pPr>
        <w:spacing w:after="160" w:line="340"/>
      </w:pPr>
      <w:r>
        <w:rPr>
          <w:rFonts w:ascii="微軟正黑體" w:cs="微軟正黑體" w:eastAsia="微軟正黑體" w:hAnsi="微軟正黑體"/>
          <w:b/>
          <w:bCs/>
          <w:sz w:val="22"/>
          <w:szCs w:val="22"/>
        </w:rPr>
        <w:t xml:space="preserve">集中支付制度　</w:t>
      </w:r>
      <w:r>
        <w:rPr>
          <w:rFonts w:ascii="微軟正黑體" w:cs="微軟正黑體" w:eastAsia="微軟正黑體" w:hAnsi="微軟正黑體"/>
          <w:sz w:val="22"/>
          <w:szCs w:val="22"/>
        </w:rPr>
        <w:t xml:space="preserve">由國庫統一辦理支付以避免機關閒置現金之制度。</w:t>
      </w:r>
    </w:p>
    <w:p>
      <w:pPr>
        <w:spacing w:after="160" w:line="340"/>
      </w:pPr>
      <w:r>
        <w:rPr>
          <w:rFonts w:ascii="微軟正黑體" w:cs="微軟正黑體" w:eastAsia="微軟正黑體" w:hAnsi="微軟正黑體"/>
          <w:b/>
          <w:bCs/>
          <w:sz w:val="22"/>
          <w:szCs w:val="22"/>
        </w:rPr>
        <w:t xml:space="preserve">演算法預算　</w:t>
      </w:r>
      <w:r>
        <w:rPr>
          <w:rFonts w:ascii="微軟正黑體" w:cs="微軟正黑體" w:eastAsia="微軟正黑體" w:hAnsi="微軟正黑體"/>
          <w:sz w:val="22"/>
          <w:szCs w:val="22"/>
        </w:rPr>
        <w:t xml:space="preserve">運用演算法與大數據自動化進行預算需求預測與支出優先排序之系統。</w:t>
      </w:r>
    </w:p>
    <w:p>
      <w:pPr>
        <w:spacing w:after="160" w:line="340"/>
      </w:pPr>
      <w:r>
        <w:rPr>
          <w:rFonts w:ascii="微軟正黑體" w:cs="微軟正黑體" w:eastAsia="微軟正黑體" w:hAnsi="微軟正黑體"/>
          <w:b/>
          <w:bCs/>
          <w:sz w:val="22"/>
          <w:szCs w:val="22"/>
        </w:rPr>
        <w:t xml:space="preserve">預測性財務分析　</w:t>
      </w:r>
      <w:r>
        <w:rPr>
          <w:rFonts w:ascii="微軟正黑體" w:cs="微軟正黑體" w:eastAsia="微軟正黑體" w:hAnsi="微軟正黑體"/>
          <w:sz w:val="22"/>
          <w:szCs w:val="22"/>
        </w:rPr>
        <w:t xml:space="preserve">運用機器學習整合多方即時資料以提升稅收與支出預測準確度之方法。</w:t>
      </w:r>
    </w:p>
    <w:p>
      <w:pPr>
        <w:spacing w:after="160" w:line="340"/>
      </w:pPr>
      <w:r>
        <w:rPr>
          <w:rFonts w:ascii="微軟正黑體" w:cs="微軟正黑體" w:eastAsia="微軟正黑體" w:hAnsi="微軟正黑體"/>
          <w:b/>
          <w:bCs/>
          <w:sz w:val="22"/>
          <w:szCs w:val="22"/>
        </w:rPr>
        <w:t xml:space="preserve">AI審計　</w:t>
      </w:r>
      <w:r>
        <w:rPr>
          <w:rFonts w:ascii="微軟正黑體" w:cs="微軟正黑體" w:eastAsia="微軟正黑體" w:hAnsi="微軟正黑體"/>
          <w:sz w:val="22"/>
          <w:szCs w:val="22"/>
        </w:rPr>
        <w:t xml:space="preserve">以全量掃描、異常偵測與NLP契約分析取代傳統抽樣審計之數位審計方式。</w:t>
      </w:r>
    </w:p>
    <w:p>
      <w:pPr>
        <w:spacing w:after="160" w:line="340"/>
      </w:pPr>
      <w:r>
        <w:rPr>
          <w:rFonts w:ascii="微軟正黑體" w:cs="微軟正黑體" w:eastAsia="微軟正黑體" w:hAnsi="微軟正黑體"/>
          <w:b/>
          <w:bCs/>
          <w:sz w:val="22"/>
          <w:szCs w:val="22"/>
        </w:rPr>
        <w:t xml:space="preserve">主權AI算力　</w:t>
      </w:r>
      <w:r>
        <w:rPr>
          <w:rFonts w:ascii="微軟正黑體" w:cs="微軟正黑體" w:eastAsia="微軟正黑體" w:hAnsi="微軟正黑體"/>
          <w:sz w:val="22"/>
          <w:szCs w:val="22"/>
        </w:rPr>
        <w:t xml:space="preserve">國家自主掌握之高速運算基礎設施,視為新型態戰略性資本資產。</w:t>
      </w:r>
    </w:p>
    <w:p>
      <w:pPr>
        <w:spacing w:after="160" w:line="340"/>
      </w:pPr>
      <w:r>
        <w:rPr>
          <w:rFonts w:ascii="微軟正黑體" w:cs="微軟正黑體" w:eastAsia="微軟正黑體" w:hAnsi="微軟正黑體"/>
          <w:b/>
          <w:bCs/>
          <w:sz w:val="22"/>
          <w:szCs w:val="22"/>
        </w:rPr>
        <w:t xml:space="preserve">績效　</w:t>
      </w:r>
      <w:r>
        <w:rPr>
          <w:rFonts w:ascii="微軟正黑體" w:cs="微軟正黑體" w:eastAsia="微軟正黑體" w:hAnsi="微軟正黑體"/>
          <w:sz w:val="22"/>
          <w:szCs w:val="22"/>
        </w:rPr>
        <w:t xml:space="preserve">組織或個人於特定時間內為達成目標所展現行為與產出結果之總和。</w:t>
      </w:r>
    </w:p>
    <w:p>
      <w:pPr>
        <w:spacing w:after="160" w:line="340"/>
      </w:pPr>
      <w:r>
        <w:rPr>
          <w:rFonts w:ascii="微軟正黑體" w:cs="微軟正黑體" w:eastAsia="微軟正黑體" w:hAnsi="微軟正黑體"/>
          <w:b/>
          <w:bCs/>
          <w:sz w:val="22"/>
          <w:szCs w:val="22"/>
        </w:rPr>
        <w:t xml:space="preserve">績效管理　</w:t>
      </w:r>
      <w:r>
        <w:rPr>
          <w:rFonts w:ascii="微軟正黑體" w:cs="微軟正黑體" w:eastAsia="微軟正黑體" w:hAnsi="微軟正黑體"/>
          <w:sz w:val="22"/>
          <w:szCs w:val="22"/>
        </w:rPr>
        <w:t xml:space="preserve">系統性整合目標設定、衡量設計、執行回饋與學習改善之連續管理過程。</w:t>
      </w:r>
    </w:p>
    <w:p>
      <w:pPr>
        <w:spacing w:after="160" w:line="340"/>
      </w:pPr>
      <w:r>
        <w:rPr>
          <w:rFonts w:ascii="微軟正黑體" w:cs="微軟正黑體" w:eastAsia="微軟正黑體" w:hAnsi="微軟正黑體"/>
          <w:b/>
          <w:bCs/>
          <w:sz w:val="22"/>
          <w:szCs w:val="22"/>
        </w:rPr>
        <w:t xml:space="preserve">3E+Q　</w:t>
      </w:r>
      <w:r>
        <w:rPr>
          <w:rFonts w:ascii="微軟正黑體" w:cs="微軟正黑體" w:eastAsia="微軟正黑體" w:hAnsi="微軟正黑體"/>
          <w:sz w:val="22"/>
          <w:szCs w:val="22"/>
        </w:rPr>
        <w:t xml:space="preserve">經濟、效率、效能加公平與品質之績效整合觀。</w:t>
      </w:r>
    </w:p>
    <w:p>
      <w:pPr>
        <w:spacing w:after="160" w:line="340"/>
      </w:pPr>
      <w:r>
        <w:rPr>
          <w:rFonts w:ascii="微軟正黑體" w:cs="微軟正黑體" w:eastAsia="微軟正黑體" w:hAnsi="微軟正黑體"/>
          <w:b/>
          <w:bCs/>
          <w:sz w:val="22"/>
          <w:szCs w:val="22"/>
        </w:rPr>
        <w:t xml:space="preserve">SMART原則　</w:t>
      </w:r>
      <w:r>
        <w:rPr>
          <w:rFonts w:ascii="微軟正黑體" w:cs="微軟正黑體" w:eastAsia="微軟正黑體" w:hAnsi="微軟正黑體"/>
          <w:sz w:val="22"/>
          <w:szCs w:val="22"/>
        </w:rPr>
        <w:t xml:space="preserve">具體、可衡量、可達成、相關、有期程之KPI設計檢核原則。</w:t>
      </w:r>
    </w:p>
    <w:p>
      <w:pPr>
        <w:spacing w:after="160" w:line="340"/>
      </w:pPr>
      <w:r>
        <w:rPr>
          <w:rFonts w:ascii="微軟正黑體" w:cs="微軟正黑體" w:eastAsia="微軟正黑體" w:hAnsi="微軟正黑體"/>
          <w:b/>
          <w:bCs/>
          <w:sz w:val="22"/>
          <w:szCs w:val="22"/>
        </w:rPr>
        <w:t xml:space="preserve">目標錯置　</w:t>
      </w:r>
      <w:r>
        <w:rPr>
          <w:rFonts w:ascii="微軟正黑體" w:cs="微軟正黑體" w:eastAsia="微軟正黑體" w:hAnsi="微軟正黑體"/>
          <w:sz w:val="22"/>
          <w:szCs w:val="22"/>
        </w:rPr>
        <w:t xml:space="preserve">以易衡量之輸出替代難衡量之結果,導致目標與使命脫鉤之現象。</w:t>
      </w:r>
    </w:p>
    <w:p>
      <w:pPr>
        <w:spacing w:after="160" w:line="340"/>
      </w:pPr>
      <w:r>
        <w:rPr>
          <w:rFonts w:ascii="微軟正黑體" w:cs="微軟正黑體" w:eastAsia="微軟正黑體" w:hAnsi="微軟正黑體"/>
          <w:b/>
          <w:bCs/>
          <w:sz w:val="22"/>
          <w:szCs w:val="22"/>
        </w:rPr>
        <w:t xml:space="preserve">績效弔詭　</w:t>
      </w:r>
      <w:r>
        <w:rPr>
          <w:rFonts w:ascii="微軟正黑體" w:cs="微軟正黑體" w:eastAsia="微軟正黑體" w:hAnsi="微軟正黑體"/>
          <w:sz w:val="22"/>
          <w:szCs w:val="22"/>
        </w:rPr>
        <w:t xml:space="preserve">績效越受強調,形式主義與數字遊戲反而越盛行之現象。</w:t>
      </w:r>
    </w:p>
    <w:p>
      <w:pPr>
        <w:spacing w:after="160" w:line="340"/>
      </w:pPr>
      <w:r>
        <w:rPr>
          <w:rFonts w:ascii="微軟正黑體" w:cs="微軟正黑體" w:eastAsia="微軟正黑體" w:hAnsi="微軟正黑體"/>
          <w:b/>
          <w:bCs/>
          <w:sz w:val="22"/>
          <w:szCs w:val="22"/>
        </w:rPr>
        <w:t xml:space="preserve">平衡計分卡(BSC)　</w:t>
      </w:r>
      <w:r>
        <w:rPr>
          <w:rFonts w:ascii="微軟正黑體" w:cs="微軟正黑體" w:eastAsia="微軟正黑體" w:hAnsi="微軟正黑體"/>
          <w:sz w:val="22"/>
          <w:szCs w:val="22"/>
        </w:rPr>
        <w:t xml:space="preserve">由財務、顧客、內部流程、學習成長四構面平衡衡量組織績效之工具。</w:t>
      </w:r>
    </w:p>
    <w:p>
      <w:pPr>
        <w:spacing w:after="160" w:line="340"/>
      </w:pPr>
      <w:r>
        <w:rPr>
          <w:rFonts w:ascii="微軟正黑體" w:cs="微軟正黑體" w:eastAsia="微軟正黑體" w:hAnsi="微軟正黑體"/>
          <w:b/>
          <w:bCs/>
          <w:sz w:val="22"/>
          <w:szCs w:val="22"/>
        </w:rPr>
        <w:t xml:space="preserve">OKR　</w:t>
      </w:r>
      <w:r>
        <w:rPr>
          <w:rFonts w:ascii="微軟正黑體" w:cs="微軟正黑體" w:eastAsia="微軟正黑體" w:hAnsi="微軟正黑體"/>
          <w:sz w:val="22"/>
          <w:szCs w:val="22"/>
        </w:rPr>
        <w:t xml:space="preserve">結合野心式目標與可量化關鍵成果,適合推動變革型專案之績效工具。</w:t>
      </w:r>
    </w:p>
    <w:p>
      <w:pPr>
        <w:spacing w:after="160" w:line="340"/>
      </w:pPr>
      <w:r>
        <w:rPr>
          <w:rFonts w:ascii="微軟正黑體" w:cs="微軟正黑體" w:eastAsia="微軟正黑體" w:hAnsi="微軟正黑體"/>
          <w:b/>
          <w:bCs/>
          <w:sz w:val="22"/>
          <w:szCs w:val="22"/>
        </w:rPr>
        <w:t xml:space="preserve">演算法課責(Busuioc四要件)　</w:t>
      </w:r>
      <w:r>
        <w:rPr>
          <w:rFonts w:ascii="微軟正黑體" w:cs="微軟正黑體" w:eastAsia="微軟正黑體" w:hAnsi="微軟正黑體"/>
          <w:sz w:val="22"/>
          <w:szCs w:val="22"/>
        </w:rPr>
        <w:t xml:space="preserve">資訊揭露、解釋正當化、審議質詢、後果矯正四要件構成之AI課責框架。</w:t>
      </w:r>
    </w:p>
    <w:p>
      <w:pPr>
        <w:spacing w:after="160" w:line="340"/>
      </w:pPr>
      <w:r>
        <w:rPr>
          <w:rFonts w:ascii="微軟正黑體" w:cs="微軟正黑體" w:eastAsia="微軟正黑體" w:hAnsi="微軟正黑體"/>
          <w:b/>
          <w:bCs/>
          <w:sz w:val="22"/>
          <w:szCs w:val="22"/>
        </w:rPr>
        <w:t xml:space="preserve">模型卡(Model Card)　</w:t>
      </w:r>
      <w:r>
        <w:rPr>
          <w:rFonts w:ascii="微軟正黑體" w:cs="微軟正黑體" w:eastAsia="微軟正黑體" w:hAnsi="微軟正黑體"/>
          <w:sz w:val="22"/>
          <w:szCs w:val="22"/>
        </w:rPr>
        <w:t xml:space="preserve">針對AI模型製作之標準化文件,載明用途限制與不同群體表現差異。</w:t>
      </w:r>
    </w:p>
    <w:p>
      <w:pPr>
        <w:spacing w:after="160" w:line="340"/>
      </w:pPr>
      <w:r>
        <w:rPr>
          <w:rFonts w:ascii="微軟正黑體" w:cs="微軟正黑體" w:eastAsia="微軟正黑體" w:hAnsi="微軟正黑體"/>
          <w:b/>
          <w:bCs/>
          <w:sz w:val="22"/>
          <w:szCs w:val="22"/>
        </w:rPr>
        <w:t xml:space="preserve">演算法影響評估(AIA)　</w:t>
      </w:r>
      <w:r>
        <w:rPr>
          <w:rFonts w:ascii="微軟正黑體" w:cs="微軟正黑體" w:eastAsia="微軟正黑體" w:hAnsi="微軟正黑體"/>
          <w:sz w:val="22"/>
          <w:szCs w:val="22"/>
        </w:rPr>
        <w:t xml:space="preserve">於導入自動化決策系統前,強制評估其對隱私、平等與權益衝擊之機制。</w:t>
      </w:r>
    </w:p>
    <w:p>
      <w:pPr>
        <w:spacing w:after="180" w:before="360"/>
      </w:pPr>
      <w:r>
        <w:rPr>
          <w:rFonts w:ascii="微軟正黑體" w:cs="微軟正黑體" w:eastAsia="微軟正黑體" w:hAnsi="微軟正黑體"/>
          <w:b/>
          <w:bCs/>
          <w:color w:val="1F4E79"/>
          <w:sz w:val="26"/>
          <w:szCs w:val="26"/>
        </w:rPr>
        <w:t xml:space="preserve">思考與討論</w:t>
      </w:r>
    </w:p>
    <w:p>
      <w:pPr>
        <w:spacing w:after="200" w:line="360"/>
        <w:ind w:firstLine="431"/>
        <w:jc w:val="both"/>
      </w:pPr>
      <w:r>
        <w:rPr>
          <w:rFonts w:ascii="微軟正黑體" w:cs="微軟正黑體" w:eastAsia="微軟正黑體" w:hAnsi="微軟正黑體"/>
          <w:sz w:val="22"/>
          <w:szCs w:val="22"/>
        </w:rPr>
        <w:t xml:space="preserve">1. 請比較項目列舉預算、績效預算與成果預算在課責邏輯與資訊需求上之差異,並評析何者較適合用於數位部主權AI算力預算之編列?</w:t>
      </w:r>
    </w:p>
    <w:p>
      <w:pPr>
        <w:spacing w:after="200" w:line="360"/>
        <w:ind w:firstLine="431"/>
        <w:jc w:val="both"/>
      </w:pPr>
      <w:r>
        <w:rPr>
          <w:rFonts w:ascii="微軟正黑體" w:cs="微軟正黑體" w:eastAsia="微軟正黑體" w:hAnsi="微軟正黑體"/>
          <w:sz w:val="22"/>
          <w:szCs w:val="22"/>
        </w:rPr>
        <w:t xml:space="preserve">2. 平衡計分卡在公部門轉化時,為何須將使命置於頂端、公民構面置於財務之上?請為數位發展部設計一套四構面績效地圖,並指出至少一項公平性KPI。</w:t>
      </w:r>
    </w:p>
    <w:p>
      <w:pPr>
        <w:spacing w:after="200" w:line="360"/>
        <w:ind w:firstLine="431"/>
        <w:jc w:val="both"/>
      </w:pPr>
      <w:r>
        <w:rPr>
          <w:rFonts w:ascii="微軟正黑體" w:cs="微軟正黑體" w:eastAsia="微軟正黑體" w:hAnsi="微軟正黑體"/>
          <w:sz w:val="22"/>
          <w:szCs w:val="22"/>
        </w:rPr>
        <w:t xml:space="preserve">3. 演算法預算可提升稅收預測準確度,但也可能產生「演算法財政幻覺」;若導入AI即時審計,傳統之會計基礎與集中支付制度須如何調整,才能兼顧效率與可問責性?</w:t>
      </w:r>
    </w:p>
    <w:p>
      <w:pPr>
        <w:spacing w:after="200" w:line="360"/>
        <w:ind w:firstLine="431"/>
        <w:jc w:val="both"/>
      </w:pPr>
      <w:r>
        <w:rPr>
          <w:rFonts w:ascii="微軟正黑體" w:cs="微軟正黑體" w:eastAsia="微軟正黑體" w:hAnsi="微軟正黑體"/>
          <w:sz w:val="22"/>
          <w:szCs w:val="22"/>
        </w:rPr>
        <w:t xml:space="preserve">4. 情境題:某市政府擬導入生成式AI客服,並以「AI解決率」與「民眾按讚率」作為第一線人員績效指標。請從演算法偏見(資料、指標選擇、回饋迴路)與正當程序(解釋權、異議權、人工覆核)兩面向進行批判,並運用Busuioc四要件提出完整的AI績效治理方案。</w:t>
      </w:r>
    </w:p>
    <w:p>
      <w:pPr>
        <w:spacing w:after="200" w:line="360"/>
        <w:ind w:firstLine="431"/>
        <w:jc w:val="both"/>
      </w:pPr>
      <w:r>
        <w:rPr>
          <w:rFonts w:ascii="微軟正黑體" w:cs="微軟正黑體" w:eastAsia="微軟正黑體" w:hAnsi="微軟正黑體"/>
          <w:sz w:val="22"/>
          <w:szCs w:val="22"/>
        </w:rPr>
        <w:t xml:space="preserve">5. 主權AI算力同時具備資本支出與經常支出特性,且涉及能源與資安外部成本。請論述應如何設計主權算力成本治理之預算科目與績效衡量指標,方能避免重複投資與黑箱,並確保「錢花得值得」能被誠實證成?</w:t>
      </w:r>
    </w:p>
    <w:p>
      <w:pPr>
        <w:spacing w:after="180" w:before="360"/>
      </w:pPr>
      <w:r>
        <w:rPr>
          <w:rFonts w:ascii="微軟正黑體" w:cs="微軟正黑體" w:eastAsia="微軟正黑體" w:hAnsi="微軟正黑體"/>
          <w:b/>
          <w:bCs/>
          <w:color w:val="1F4E79"/>
          <w:sz w:val="26"/>
          <w:szCs w:val="26"/>
        </w:rPr>
        <w:t xml:space="preserve">教學補充教材</w:t>
      </w:r>
    </w:p>
    <w:p>
      <w:pPr>
        <w:spacing w:after="140" w:before="260"/>
      </w:pPr>
      <w:r>
        <w:rPr>
          <w:rFonts w:ascii="微軟正黑體" w:cs="微軟正黑體" w:eastAsia="微軟正黑體" w:hAnsi="微軟正黑體"/>
          <w:b/>
          <w:bCs/>
          <w:color w:val="2E5C8A"/>
          <w:sz w:val="23"/>
          <w:szCs w:val="23"/>
        </w:rPr>
        <w:t xml:space="preserve">一、教學提示</w:t>
      </w:r>
    </w:p>
    <w:p>
      <w:pPr>
        <w:pStyle w:val="ListParagraph"/>
        <w:numPr>
          <w:ilvl w:val="0"/>
          <w:numId w:val="2"/>
        </w:numPr>
        <w:spacing w:after="120" w:line="340"/>
      </w:pPr>
      <w:r>
        <w:rPr>
          <w:rFonts w:ascii="微軟正黑體" w:cs="微軟正黑體" w:eastAsia="微軟正黑體" w:hAnsi="微軟正黑體"/>
          <w:sz w:val="22"/>
          <w:szCs w:val="22"/>
        </w:rPr>
        <w:t xml:space="preserve">本章涵蓋制度細節繁多(預算原則、預算制度七次演進、績效工具四種),建議以「錢從哪來→怎麼花→花得好不好」三段式邏輯貫穿全章,協助學生建立財務與績效一體兩面的認知架構。</w:t>
      </w:r>
    </w:p>
    <w:p>
      <w:pPr>
        <w:pStyle w:val="ListParagraph"/>
        <w:numPr>
          <w:ilvl w:val="0"/>
          <w:numId w:val="2"/>
        </w:numPr>
        <w:spacing w:after="120" w:line="340"/>
      </w:pPr>
      <w:r>
        <w:rPr>
          <w:rFonts w:ascii="微軟正黑體" w:cs="微軟正黑體" w:eastAsia="微軟正黑體" w:hAnsi="微軟正黑體"/>
          <w:sz w:val="22"/>
          <w:szCs w:val="22"/>
        </w:rPr>
        <w:t xml:space="preserve">IRS案例的教學重點在於「演算法選案不需要以種族為輸入變數,也可能產生種族歧視效果」,可搭配替代變數(proxy variable)概念,說明技術中立不等於結果中立。</w:t>
      </w:r>
    </w:p>
    <w:p>
      <w:pPr>
        <w:pStyle w:val="ListParagraph"/>
        <w:numPr>
          <w:ilvl w:val="0"/>
          <w:numId w:val="2"/>
        </w:numPr>
        <w:spacing w:after="120" w:line="340"/>
      </w:pPr>
      <w:r>
        <w:rPr>
          <w:rFonts w:ascii="微軟正黑體" w:cs="微軟正黑體" w:eastAsia="微軟正黑體" w:hAnsi="微軟正黑體"/>
          <w:sz w:val="22"/>
          <w:szCs w:val="22"/>
        </w:rPr>
        <w:t xml:space="preserve">監察院AI數位審計研習案例宜先講解我國審計部之職權範圍,再引導學生思考此案例中「太陽光電政策執行查核」如何同時涉及財務稽核與績效稽核,強化財務績效整合之教學連結。</w:t>
      </w:r>
    </w:p>
    <w:p>
      <w:pPr>
        <w:pStyle w:val="ListParagraph"/>
        <w:numPr>
          <w:ilvl w:val="0"/>
          <w:numId w:val="2"/>
        </w:numPr>
        <w:spacing w:after="120" w:line="340"/>
      </w:pPr>
      <w:r>
        <w:rPr>
          <w:rFonts w:ascii="微軟正黑體" w:cs="微軟正黑體" w:eastAsia="微軟正黑體" w:hAnsi="微軟正黑體"/>
          <w:sz w:val="22"/>
          <w:szCs w:val="22"/>
        </w:rPr>
        <w:t xml:space="preserve">Busuioc四要件表(表23-8)建議搭配學生自身角色扮演(預算編列者、績效受評者、審計官)進行分組討論,強化學習動機。</w:t>
      </w:r>
    </w:p>
    <w:p>
      <w:pPr>
        <w:spacing w:after="140" w:before="260"/>
      </w:pPr>
      <w:r>
        <w:rPr>
          <w:rFonts w:ascii="微軟正黑體" w:cs="微軟正黑體" w:eastAsia="微軟正黑體" w:hAnsi="微軟正黑體"/>
          <w:b/>
          <w:bCs/>
          <w:color w:val="2E5C8A"/>
          <w:sz w:val="23"/>
          <w:szCs w:val="23"/>
        </w:rPr>
        <w:t xml:space="preserve">二、常見考點</w:t>
      </w:r>
    </w:p>
    <w:p>
      <w:pPr>
        <w:pStyle w:val="ListParagraph"/>
        <w:numPr>
          <w:ilvl w:val="0"/>
          <w:numId w:val="2"/>
        </w:numPr>
        <w:spacing w:after="120" w:line="340"/>
      </w:pPr>
      <w:r>
        <w:rPr>
          <w:rFonts w:ascii="微軟正黑體" w:cs="微軟正黑體" w:eastAsia="微軟正黑體" w:hAnsi="微軟正黑體"/>
          <w:sz w:val="22"/>
          <w:szCs w:val="22"/>
        </w:rPr>
        <w:t xml:space="preserve">預算七項傳統原則之內容,特別是公開原則與確實原則之區辨。</w:t>
      </w:r>
    </w:p>
    <w:p>
      <w:pPr>
        <w:pStyle w:val="ListParagraph"/>
        <w:numPr>
          <w:ilvl w:val="0"/>
          <w:numId w:val="2"/>
        </w:numPr>
        <w:spacing w:after="120" w:line="340"/>
      </w:pPr>
      <w:r>
        <w:rPr>
          <w:rFonts w:ascii="微軟正黑體" w:cs="微軟正黑體" w:eastAsia="微軟正黑體" w:hAnsi="微軟正黑體"/>
          <w:sz w:val="22"/>
          <w:szCs w:val="22"/>
        </w:rPr>
        <w:t xml:space="preserve">預算制度七次演進(項目列舉/複式/績效/PPBS/ZBB/TBB/成果)之時代順序與核心價值。</w:t>
      </w:r>
    </w:p>
    <w:p>
      <w:pPr>
        <w:pStyle w:val="ListParagraph"/>
        <w:numPr>
          <w:ilvl w:val="0"/>
          <w:numId w:val="2"/>
        </w:numPr>
        <w:spacing w:after="120" w:line="340"/>
      </w:pPr>
      <w:r>
        <w:rPr>
          <w:rFonts w:ascii="微軟正黑體" w:cs="微軟正黑體" w:eastAsia="微軟正黑體" w:hAnsi="微軟正黑體"/>
          <w:sz w:val="22"/>
          <w:szCs w:val="22"/>
        </w:rPr>
        <w:t xml:space="preserve">政府支出Musgrave三功能(配置/分配/穩定)加成長功能之具體內涵。</w:t>
      </w:r>
    </w:p>
    <w:p>
      <w:pPr>
        <w:pStyle w:val="ListParagraph"/>
        <w:numPr>
          <w:ilvl w:val="0"/>
          <w:numId w:val="2"/>
        </w:numPr>
        <w:spacing w:after="120" w:line="340"/>
      </w:pPr>
      <w:r>
        <w:rPr>
          <w:rFonts w:ascii="微軟正黑體" w:cs="微軟正黑體" w:eastAsia="微軟正黑體" w:hAnsi="微軟正黑體"/>
          <w:sz w:val="22"/>
          <w:szCs w:val="22"/>
        </w:rPr>
        <w:t xml:space="preserve">3E+Q之定義與相互關係,特別是效率與效能之區辨。</w:t>
      </w:r>
    </w:p>
    <w:p>
      <w:pPr>
        <w:pStyle w:val="ListParagraph"/>
        <w:numPr>
          <w:ilvl w:val="0"/>
          <w:numId w:val="2"/>
        </w:numPr>
        <w:spacing w:after="120" w:line="340"/>
      </w:pPr>
      <w:r>
        <w:rPr>
          <w:rFonts w:ascii="微軟正黑體" w:cs="微軟正黑體" w:eastAsia="微軟正黑體" w:hAnsi="微軟正黑體"/>
          <w:sz w:val="22"/>
          <w:szCs w:val="22"/>
        </w:rPr>
        <w:t xml:space="preserve">SMART原則七要素(含SMARTER之E與R)與公共性檢核之對應。</w:t>
      </w:r>
    </w:p>
    <w:p>
      <w:pPr>
        <w:pStyle w:val="ListParagraph"/>
        <w:numPr>
          <w:ilvl w:val="0"/>
          <w:numId w:val="2"/>
        </w:numPr>
        <w:spacing w:after="120" w:line="340"/>
      </w:pPr>
      <w:r>
        <w:rPr>
          <w:rFonts w:ascii="微軟正黑體" w:cs="微軟正黑體" w:eastAsia="微軟正黑體" w:hAnsi="微軟正黑體"/>
          <w:sz w:val="22"/>
          <w:szCs w:val="22"/>
        </w:rPr>
        <w:t xml:space="preserve">平衡計分卡四構面在公部門轉化之邏輯順序(使命置頂、公民取代顧客)。</w:t>
      </w:r>
    </w:p>
    <w:p>
      <w:pPr>
        <w:pStyle w:val="ListParagraph"/>
        <w:numPr>
          <w:ilvl w:val="0"/>
          <w:numId w:val="2"/>
        </w:numPr>
        <w:spacing w:after="120" w:line="340"/>
      </w:pPr>
      <w:r>
        <w:rPr>
          <w:rFonts w:ascii="微軟正黑體" w:cs="微軟正黑體" w:eastAsia="微軟正黑體" w:hAnsi="微軟正黑體"/>
          <w:sz w:val="22"/>
          <w:szCs w:val="22"/>
        </w:rPr>
        <w:t xml:space="preserve">Busuioc演算法課責四要件之內容與適用時機。</w:t>
      </w:r>
    </w:p>
    <w:p>
      <w:pPr>
        <w:spacing w:after="140" w:before="260"/>
      </w:pPr>
      <w:r>
        <w:rPr>
          <w:rFonts w:ascii="微軟正黑體" w:cs="微軟正黑體" w:eastAsia="微軟正黑體" w:hAnsi="微軟正黑體"/>
          <w:b/>
          <w:bCs/>
          <w:color w:val="2E5C8A"/>
          <w:sz w:val="23"/>
          <w:szCs w:val="23"/>
        </w:rPr>
        <w:t xml:space="preserve">三、課堂活動建議</w:t>
      </w:r>
    </w:p>
    <w:p>
      <w:pPr>
        <w:pStyle w:val="ListParagraph"/>
        <w:numPr>
          <w:ilvl w:val="0"/>
          <w:numId w:val="2"/>
        </w:numPr>
        <w:spacing w:after="120" w:line="340"/>
      </w:pPr>
      <w:r>
        <w:rPr>
          <w:rFonts w:ascii="微軟正黑體" w:cs="微軟正黑體" w:eastAsia="微軟正黑體" w:hAnsi="微軟正黑體"/>
          <w:sz w:val="22"/>
          <w:szCs w:val="22"/>
        </w:rPr>
        <w:t xml:space="preserve">模擬預算審議會:分組扮演行政院、立法院黨團與公民團體,針對一份包含AI算力專章的模擬總預算案進行協商辯論。</w:t>
      </w:r>
    </w:p>
    <w:p>
      <w:pPr>
        <w:pStyle w:val="ListParagraph"/>
        <w:numPr>
          <w:ilvl w:val="0"/>
          <w:numId w:val="2"/>
        </w:numPr>
        <w:spacing w:after="120" w:line="340"/>
      </w:pPr>
      <w:r>
        <w:rPr>
          <w:rFonts w:ascii="微軟正黑體" w:cs="微軟正黑體" w:eastAsia="微軟正黑體" w:hAnsi="微軟正黑體"/>
          <w:sz w:val="22"/>
          <w:szCs w:val="22"/>
        </w:rPr>
        <w:t xml:space="preserve">案例研討:以IRS選案案例為本,請學生設計一套「AI選案模型上線前公平性檢核清單」,並對照表23-8治理工具箱檢視完整性。</w:t>
      </w:r>
    </w:p>
    <w:p>
      <w:pPr>
        <w:pStyle w:val="ListParagraph"/>
        <w:numPr>
          <w:ilvl w:val="0"/>
          <w:numId w:val="2"/>
        </w:numPr>
        <w:spacing w:after="120" w:line="340"/>
      </w:pPr>
      <w:r>
        <w:rPr>
          <w:rFonts w:ascii="微軟正黑體" w:cs="微軟正黑體" w:eastAsia="微軟正黑體" w:hAnsi="微軟正黑體"/>
          <w:sz w:val="22"/>
          <w:szCs w:val="22"/>
        </w:rPr>
        <w:t xml:space="preserve">辯論活動:正方主張「主權AI算力應比照公共建設編列特別預算」,反方主張「算力應納入常態經常門逐年編列」,進行結構化辯論。</w:t>
      </w:r>
    </w:p>
    <w:p>
      <w:pPr>
        <w:spacing w:after="140" w:before="260"/>
      </w:pPr>
      <w:r>
        <w:rPr>
          <w:rFonts w:ascii="微軟正黑體" w:cs="微軟正黑體" w:eastAsia="微軟正黑體" w:hAnsi="微軟正黑體"/>
          <w:b/>
          <w:bCs/>
          <w:color w:val="2E5C8A"/>
          <w:sz w:val="23"/>
          <w:szCs w:val="23"/>
        </w:rPr>
        <w:t xml:space="preserve">四、思考與討論教學指引</w:t>
      </w:r>
    </w:p>
    <w:p>
      <w:pPr>
        <w:spacing w:after="200" w:line="360"/>
        <w:ind w:firstLine="431"/>
        <w:jc w:val="both"/>
      </w:pPr>
      <w:r>
        <w:rPr>
          <w:rFonts w:ascii="微軟正黑體" w:cs="微軟正黑體" w:eastAsia="微軟正黑體" w:hAnsi="微軟正黑體"/>
          <w:sz w:val="22"/>
          <w:szCs w:val="22"/>
        </w:rPr>
        <w:t xml:space="preserve">問題一指引:可提示學生區分「控制導向」與「結果導向」之課責邏輯差異,並提醒績效預算與成果預算雖同屬結果取向,但引入AI後之資訊完整度已大幅超越1950年代之技術條件。</w:t>
      </w:r>
    </w:p>
    <w:p>
      <w:pPr>
        <w:spacing w:after="200" w:line="360"/>
        <w:ind w:firstLine="431"/>
        <w:jc w:val="both"/>
      </w:pPr>
      <w:r>
        <w:rPr>
          <w:rFonts w:ascii="微軟正黑體" w:cs="微軟正黑體" w:eastAsia="微軟正黑體" w:hAnsi="微軟正黑體"/>
          <w:sz w:val="22"/>
          <w:szCs w:val="22"/>
        </w:rPr>
        <w:t xml:space="preserve">問題二指引:可提供BSC策略地圖範本供學生填寫,並強調公部門使命置頂之邏輯——財務績效是達成使命的手段而非目的本身。</w:t>
      </w:r>
    </w:p>
    <w:p>
      <w:pPr>
        <w:spacing w:after="200" w:line="360"/>
        <w:ind w:firstLine="431"/>
        <w:jc w:val="both"/>
      </w:pPr>
      <w:r>
        <w:rPr>
          <w:rFonts w:ascii="微軟正黑體" w:cs="微軟正黑體" w:eastAsia="微軟正黑體" w:hAnsi="微軟正黑體"/>
          <w:sz w:val="22"/>
          <w:szCs w:val="22"/>
        </w:rPr>
        <w:t xml:space="preserve">問題三指引:可引導學生具體指出應計基礎會計如何強化即時審計之資料完整性,並討論集中支付制度是否足以因應AI即時撥款情境。</w:t>
      </w:r>
    </w:p>
    <w:p>
      <w:pPr>
        <w:spacing w:after="200" w:line="360"/>
        <w:ind w:firstLine="431"/>
        <w:jc w:val="both"/>
      </w:pPr>
      <w:r>
        <w:rPr>
          <w:rFonts w:ascii="微軟正黑體" w:cs="微軟正黑體" w:eastAsia="微軟正黑體" w:hAnsi="微軟正黑體"/>
          <w:sz w:val="22"/>
          <w:szCs w:val="22"/>
        </w:rPr>
        <w:t xml:space="preserve">問題四指引:可要求學生具體規劃考績委員會與AI倫理會之分工介面,並討論「按讚率」作為績效指標之公共性檢核缺失。</w:t>
      </w:r>
    </w:p>
    <w:p>
      <w:pPr>
        <w:spacing w:after="200" w:line="360"/>
        <w:ind w:firstLine="431"/>
        <w:jc w:val="both"/>
      </w:pPr>
      <w:r>
        <w:rPr>
          <w:rFonts w:ascii="微軟正黑體" w:cs="微軟正黑體" w:eastAsia="微軟正黑體" w:hAnsi="微軟正黑體"/>
          <w:sz w:val="22"/>
          <w:szCs w:val="22"/>
        </w:rPr>
        <w:t xml:space="preserve">問題五指引:可強調「錢花得值得」之判準不應僅止於財務執行率,而須結合表23-8之後果矯正機制,要求具體提出模型下架或科目調整之觸發條件。</w:t>
      </w:r>
    </w:p>
    <w:p>
      <w:pPr>
        <w:spacing w:after="180" w:before="360"/>
      </w:pPr>
      <w:r>
        <w:rPr>
          <w:rFonts w:ascii="微軟正黑體" w:cs="微軟正黑體" w:eastAsia="微軟正黑體" w:hAnsi="微軟正黑體"/>
          <w:b/>
          <w:bCs/>
          <w:color w:val="1F4E79"/>
          <w:sz w:val="26"/>
          <w:szCs w:val="26"/>
        </w:rPr>
        <w:t xml:space="preserve">延伸閱讀與參考文獻</w:t>
      </w:r>
    </w:p>
    <w:tbl>
      <w:tblPr>
        <w:tblW w:type="auto" w:w="0"/>
        <w:jc w:val="center"/>
        <w:tblLook w:firstColumn="1" w:firstRow="1" w:lastColumn="0" w:lastRow="0" w:noHBand="0" w:noVBand="1" w:val="04A0"/>
      </w:tblPr>
      <w:tblGrid>
        <w:gridCol w:w="2256"/>
        <w:gridCol w:w="2256"/>
        <w:gridCol w:w="2256"/>
        <w:gridCol w:w="2256"/>
      </w:tblGrid>
      <w:tr>
        <w:tc>
          <w:tcPr>
            <w:tcW w:type="dxa" w:w="2256"/>
            <w:shd w:fill="D9EAF7" w:val="clear"/>
            <w:vAlign w:val="center"/>
          </w:tcPr>
          <w:p>
            <w:r/>
            <w:r>
              <w:rPr>
                <w:b/>
                <w:sz w:val="17"/>
              </w:rPr>
              <w:t>傳統筆記</w:t>
            </w:r>
          </w:p>
        </w:tc>
        <w:tc>
          <w:tcPr>
            <w:tcW w:type="dxa" w:w="2256"/>
            <w:shd w:fill="D9EAF7" w:val="clear"/>
            <w:vAlign w:val="center"/>
          </w:tcPr>
          <w:p>
            <w:r/>
            <w:r>
              <w:rPr>
                <w:b/>
                <w:sz w:val="17"/>
              </w:rPr>
              <w:t>原有重點</w:t>
            </w:r>
          </w:p>
        </w:tc>
        <w:tc>
          <w:tcPr>
            <w:tcW w:type="dxa" w:w="2256"/>
            <w:shd w:fill="D9EAF7" w:val="clear"/>
            <w:vAlign w:val="center"/>
          </w:tcPr>
          <w:p>
            <w:r/>
            <w:r>
              <w:rPr>
                <w:b/>
                <w:sz w:val="17"/>
              </w:rPr>
              <w:t>本版處理</w:t>
            </w:r>
          </w:p>
        </w:tc>
        <w:tc>
          <w:tcPr>
            <w:tcW w:type="dxa" w:w="2256"/>
            <w:shd w:fill="D9EAF7" w:val="clear"/>
            <w:vAlign w:val="center"/>
          </w:tcPr>
          <w:p>
            <w:r/>
            <w:r>
              <w:rPr>
                <w:b/>
                <w:sz w:val="17"/>
              </w:rPr>
              <w:t>修訂理由</w:t>
            </w:r>
          </w:p>
        </w:tc>
      </w:tr>
      <w:tr>
        <w:tc>
          <w:tcPr>
            <w:tcW w:type="dxa" w:w="2256"/>
            <w:vAlign w:val="center"/>
          </w:tcPr>
          <w:p>
            <w:r/>
            <w:r>
              <w:rPr>
                <w:b w:val="0"/>
                <w:sz w:val="17"/>
              </w:rPr>
              <w:t>張潤書：財務行政</w:t>
            </w:r>
          </w:p>
        </w:tc>
        <w:tc>
          <w:tcPr>
            <w:tcW w:type="dxa" w:w="2256"/>
            <w:vAlign w:val="center"/>
          </w:tcPr>
          <w:p>
            <w:r/>
            <w:r>
              <w:rPr>
                <w:b w:val="0"/>
                <w:sz w:val="17"/>
              </w:rPr>
              <w:t>定義、基礎性／連環性／管制性、四階段</w:t>
            </w:r>
          </w:p>
        </w:tc>
        <w:tc>
          <w:tcPr>
            <w:tcW w:type="dxa" w:w="2256"/>
            <w:vAlign w:val="center"/>
          </w:tcPr>
          <w:p>
            <w:r/>
            <w:r>
              <w:rPr>
                <w:b w:val="0"/>
                <w:sz w:val="17"/>
              </w:rPr>
              <w:t>保留</w:t>
            </w:r>
          </w:p>
        </w:tc>
        <w:tc>
          <w:tcPr>
            <w:tcW w:type="dxa" w:w="2256"/>
            <w:vAlign w:val="center"/>
          </w:tcPr>
          <w:p>
            <w:r/>
            <w:r>
              <w:rPr>
                <w:b w:val="0"/>
                <w:sz w:val="17"/>
              </w:rPr>
              <w:t>補上法規與國際財政透明觀點</w:t>
            </w:r>
          </w:p>
        </w:tc>
      </w:tr>
      <w:tr>
        <w:tc>
          <w:tcPr>
            <w:tcW w:type="dxa" w:w="2256"/>
            <w:vAlign w:val="center"/>
          </w:tcPr>
          <w:p>
            <w:r/>
            <w:r>
              <w:rPr>
                <w:b w:val="0"/>
                <w:sz w:val="17"/>
              </w:rPr>
              <w:t>Musgrave：政府支出功能</w:t>
            </w:r>
          </w:p>
        </w:tc>
        <w:tc>
          <w:tcPr>
            <w:tcW w:type="dxa" w:w="2256"/>
            <w:vAlign w:val="center"/>
          </w:tcPr>
          <w:p>
            <w:r/>
            <w:r>
              <w:rPr>
                <w:b w:val="0"/>
                <w:sz w:val="17"/>
              </w:rPr>
              <w:t>配置、分配、穩定（並延伸成長）</w:t>
            </w:r>
          </w:p>
        </w:tc>
        <w:tc>
          <w:tcPr>
            <w:tcW w:type="dxa" w:w="2256"/>
            <w:vAlign w:val="center"/>
          </w:tcPr>
          <w:p>
            <w:r/>
            <w:r>
              <w:rPr>
                <w:b w:val="0"/>
                <w:sz w:val="17"/>
              </w:rPr>
              <w:t>保留並校正</w:t>
            </w:r>
          </w:p>
        </w:tc>
        <w:tc>
          <w:tcPr>
            <w:tcW w:type="dxa" w:w="2256"/>
            <w:vAlign w:val="center"/>
          </w:tcPr>
          <w:p>
            <w:r/>
            <w:r>
              <w:rPr>
                <w:b w:val="0"/>
                <w:sz w:val="17"/>
              </w:rPr>
              <w:t>經典三功能與成長政策效果分開表述</w:t>
            </w:r>
          </w:p>
        </w:tc>
      </w:tr>
      <w:tr>
        <w:tc>
          <w:tcPr>
            <w:tcW w:type="dxa" w:w="2256"/>
            <w:vAlign w:val="center"/>
          </w:tcPr>
          <w:p>
            <w:r/>
            <w:r>
              <w:rPr>
                <w:b w:val="0"/>
                <w:sz w:val="17"/>
              </w:rPr>
              <w:t>Wildavsky／漸增主義</w:t>
            </w:r>
          </w:p>
        </w:tc>
        <w:tc>
          <w:tcPr>
            <w:tcW w:type="dxa" w:w="2256"/>
            <w:vAlign w:val="center"/>
          </w:tcPr>
          <w:p>
            <w:r/>
            <w:r>
              <w:rPr>
                <w:b w:val="0"/>
                <w:sz w:val="17"/>
              </w:rPr>
              <w:t>既有基礎＋小幅增減、政治協商</w:t>
            </w:r>
          </w:p>
        </w:tc>
        <w:tc>
          <w:tcPr>
            <w:tcW w:type="dxa" w:w="2256"/>
            <w:vAlign w:val="center"/>
          </w:tcPr>
          <w:p>
            <w:r/>
            <w:r>
              <w:rPr>
                <w:b w:val="0"/>
                <w:sz w:val="17"/>
              </w:rPr>
              <w:t>補強</w:t>
            </w:r>
          </w:p>
        </w:tc>
        <w:tc>
          <w:tcPr>
            <w:tcW w:type="dxa" w:w="2256"/>
            <w:vAlign w:val="center"/>
          </w:tcPr>
          <w:p>
            <w:r/>
            <w:r>
              <w:rPr>
                <w:b w:val="0"/>
                <w:sz w:val="17"/>
              </w:rPr>
              <w:t>以正式學術文獻支撐</w:t>
            </w:r>
          </w:p>
        </w:tc>
      </w:tr>
      <w:tr>
        <w:tc>
          <w:tcPr>
            <w:tcW w:type="dxa" w:w="2256"/>
            <w:vAlign w:val="center"/>
          </w:tcPr>
          <w:p>
            <w:r/>
            <w:r>
              <w:rPr>
                <w:b w:val="0"/>
                <w:sz w:val="17"/>
              </w:rPr>
              <w:t>PPBS</w:t>
            </w:r>
          </w:p>
        </w:tc>
        <w:tc>
          <w:tcPr>
            <w:tcW w:type="dxa" w:w="2256"/>
            <w:vAlign w:val="center"/>
          </w:tcPr>
          <w:p>
            <w:r/>
            <w:r>
              <w:rPr>
                <w:b w:val="0"/>
                <w:sz w:val="17"/>
              </w:rPr>
              <w:t>規劃—方案—預算、成本效益</w:t>
            </w:r>
          </w:p>
        </w:tc>
        <w:tc>
          <w:tcPr>
            <w:tcW w:type="dxa" w:w="2256"/>
            <w:vAlign w:val="center"/>
          </w:tcPr>
          <w:p>
            <w:r/>
            <w:r>
              <w:rPr>
                <w:b w:val="0"/>
                <w:sz w:val="17"/>
              </w:rPr>
              <w:t>修正年代</w:t>
            </w:r>
          </w:p>
        </w:tc>
        <w:tc>
          <w:tcPr>
            <w:tcW w:type="dxa" w:w="2256"/>
            <w:vAlign w:val="center"/>
          </w:tcPr>
          <w:p>
            <w:r/>
            <w:r>
              <w:rPr>
                <w:b w:val="0"/>
                <w:sz w:val="17"/>
              </w:rPr>
              <w:t>1965推動、1971停止聯邦全面實施</w:t>
            </w:r>
          </w:p>
        </w:tc>
      </w:tr>
      <w:tr>
        <w:tc>
          <w:tcPr>
            <w:tcW w:type="dxa" w:w="2256"/>
            <w:vAlign w:val="center"/>
          </w:tcPr>
          <w:p>
            <w:r/>
            <w:r>
              <w:rPr>
                <w:b w:val="0"/>
                <w:sz w:val="17"/>
              </w:rPr>
              <w:t>ZBB</w:t>
            </w:r>
          </w:p>
        </w:tc>
        <w:tc>
          <w:tcPr>
            <w:tcW w:type="dxa" w:w="2256"/>
            <w:vAlign w:val="center"/>
          </w:tcPr>
          <w:p>
            <w:r/>
            <w:r>
              <w:rPr>
                <w:b w:val="0"/>
                <w:sz w:val="17"/>
              </w:rPr>
              <w:t>自零檢討、決策包</w:t>
            </w:r>
          </w:p>
        </w:tc>
        <w:tc>
          <w:tcPr>
            <w:tcW w:type="dxa" w:w="2256"/>
            <w:vAlign w:val="center"/>
          </w:tcPr>
          <w:p>
            <w:r/>
            <w:r>
              <w:rPr>
                <w:b w:val="0"/>
                <w:sz w:val="17"/>
              </w:rPr>
              <w:t>保留</w:t>
            </w:r>
          </w:p>
        </w:tc>
        <w:tc>
          <w:tcPr>
            <w:tcW w:type="dxa" w:w="2256"/>
            <w:vAlign w:val="center"/>
          </w:tcPr>
          <w:p>
            <w:r/>
            <w:r>
              <w:rPr>
                <w:b w:val="0"/>
                <w:sz w:val="17"/>
              </w:rPr>
              <w:t>以Carter 1977官方文獻佐證</w:t>
            </w:r>
          </w:p>
        </w:tc>
      </w:tr>
      <w:tr>
        <w:tc>
          <w:tcPr>
            <w:tcW w:type="dxa" w:w="2256"/>
            <w:vAlign w:val="center"/>
          </w:tcPr>
          <w:p>
            <w:r/>
            <w:r>
              <w:rPr>
                <w:b w:val="0"/>
                <w:sz w:val="17"/>
              </w:rPr>
              <w:t>成果／績效預算</w:t>
            </w:r>
          </w:p>
        </w:tc>
        <w:tc>
          <w:tcPr>
            <w:tcW w:type="dxa" w:w="2256"/>
            <w:vAlign w:val="center"/>
          </w:tcPr>
          <w:p>
            <w:r/>
            <w:r>
              <w:rPr>
                <w:b w:val="0"/>
                <w:sz w:val="17"/>
              </w:rPr>
              <w:t>結果、績效、課責</w:t>
            </w:r>
          </w:p>
        </w:tc>
        <w:tc>
          <w:tcPr>
            <w:tcW w:type="dxa" w:w="2256"/>
            <w:vAlign w:val="center"/>
          </w:tcPr>
          <w:p>
            <w:r/>
            <w:r>
              <w:rPr>
                <w:b w:val="0"/>
                <w:sz w:val="17"/>
              </w:rPr>
              <w:t>修正表述</w:t>
            </w:r>
          </w:p>
        </w:tc>
        <w:tc>
          <w:tcPr>
            <w:tcW w:type="dxa" w:w="2256"/>
            <w:vAlign w:val="center"/>
          </w:tcPr>
          <w:p>
            <w:r/>
            <w:r>
              <w:rPr>
                <w:b w:val="0"/>
                <w:sz w:val="17"/>
              </w:rPr>
              <w:t>1993改以GPRA作績效改革里程碑</w:t>
            </w:r>
          </w:p>
        </w:tc>
      </w:tr>
      <w:tr>
        <w:tc>
          <w:tcPr>
            <w:tcW w:type="dxa" w:w="2256"/>
            <w:vAlign w:val="center"/>
          </w:tcPr>
          <w:p>
            <w:r/>
            <w:r>
              <w:rPr>
                <w:b w:val="0"/>
                <w:sz w:val="17"/>
              </w:rPr>
              <w:t>臺灣預算制度</w:t>
            </w:r>
          </w:p>
        </w:tc>
        <w:tc>
          <w:tcPr>
            <w:tcW w:type="dxa" w:w="2256"/>
            <w:vAlign w:val="center"/>
          </w:tcPr>
          <w:p>
            <w:r/>
            <w:r>
              <w:rPr>
                <w:b w:val="0"/>
                <w:sz w:val="17"/>
              </w:rPr>
              <w:t>年度預算＋中程計畫＋由上而下額度</w:t>
            </w:r>
          </w:p>
        </w:tc>
        <w:tc>
          <w:tcPr>
            <w:tcW w:type="dxa" w:w="2256"/>
            <w:vAlign w:val="center"/>
          </w:tcPr>
          <w:p>
            <w:r/>
            <w:r>
              <w:rPr>
                <w:b w:val="0"/>
                <w:sz w:val="17"/>
              </w:rPr>
              <w:t>補強</w:t>
            </w:r>
          </w:p>
        </w:tc>
        <w:tc>
          <w:tcPr>
            <w:tcW w:type="dxa" w:w="2256"/>
            <w:vAlign w:val="center"/>
          </w:tcPr>
          <w:p>
            <w:r/>
            <w:r>
              <w:rPr>
                <w:b w:val="0"/>
                <w:sz w:val="17"/>
              </w:rPr>
              <w:t>加入116年度編製辦法與OECD 2024評析</w:t>
            </w:r>
          </w:p>
        </w:tc>
      </w:tr>
      <w:tr>
        <w:tc>
          <w:tcPr>
            <w:tcW w:type="dxa" w:w="2256"/>
            <w:vAlign w:val="center"/>
          </w:tcPr>
          <w:p>
            <w:r/>
            <w:r>
              <w:rPr>
                <w:b w:val="0"/>
                <w:sz w:val="17"/>
              </w:rPr>
              <w:t>臺灣審計</w:t>
            </w:r>
          </w:p>
        </w:tc>
        <w:tc>
          <w:tcPr>
            <w:tcW w:type="dxa" w:w="2256"/>
            <w:vAlign w:val="center"/>
          </w:tcPr>
          <w:p>
            <w:r/>
            <w:r>
              <w:rPr>
                <w:b w:val="0"/>
                <w:sz w:val="17"/>
              </w:rPr>
              <w:t>決算→審計→立院審議</w:t>
            </w:r>
          </w:p>
        </w:tc>
        <w:tc>
          <w:tcPr>
            <w:tcW w:type="dxa" w:w="2256"/>
            <w:vAlign w:val="center"/>
          </w:tcPr>
          <w:p>
            <w:r/>
            <w:r>
              <w:rPr>
                <w:b w:val="0"/>
                <w:sz w:val="17"/>
              </w:rPr>
              <w:t>補強</w:t>
            </w:r>
          </w:p>
        </w:tc>
        <w:tc>
          <w:tcPr>
            <w:tcW w:type="dxa" w:w="2256"/>
            <w:vAlign w:val="center"/>
          </w:tcPr>
          <w:p>
            <w:r/>
            <w:r>
              <w:rPr>
                <w:b w:val="0"/>
                <w:sz w:val="17"/>
              </w:rPr>
              <w:t>加入決算法法定期限與效能審核項目</w:t>
            </w:r>
          </w:p>
        </w:tc>
      </w:tr>
    </w:tbl>
    <w:p>
      <w:r>
        <w:rPr>
          <w:b w:val="0"/>
          <w:sz w:val="21"/>
        </w:rPr>
        <w:t>【傳統學說筆記 × 本版修訂：比對表】</w:t>
      </w:r>
    </w:p>
    <w:p>
      <w:r>
        <w:rPr>
          <w:b w:val="0"/>
          <w:sz w:val="21"/>
        </w:rPr>
        <w:t>〔臺灣法規〕行政院主計總處（現行）。預算法。</w:t>
      </w:r>
    </w:p>
    <w:p>
      <w:r>
        <w:rPr>
          <w:b w:val="0"/>
          <w:sz w:val="21"/>
        </w:rPr>
        <w:t>〔臺灣法規〕行政院主計總處（現行）。決算法。</w:t>
      </w:r>
    </w:p>
    <w:p>
      <w:r>
        <w:rPr>
          <w:b w:val="0"/>
          <w:sz w:val="21"/>
        </w:rPr>
        <w:t>〔臺灣法規〕行政院主計總處（現行）。會計法。</w:t>
      </w:r>
    </w:p>
    <w:p>
      <w:r>
        <w:rPr>
          <w:b w:val="0"/>
          <w:sz w:val="21"/>
        </w:rPr>
        <w:t>〔臺灣制度〕行政院主計總處（2026）。中華民國116年度中央政府總預算編製辦法。</w:t>
      </w:r>
    </w:p>
    <w:p>
      <w:r>
        <w:rPr>
          <w:b w:val="0"/>
          <w:sz w:val="21"/>
        </w:rPr>
        <w:t>〔臺灣制度〕行政院主計總處（2014，現行架構）。中央政府中程計畫預算編製辦法。</w:t>
      </w:r>
    </w:p>
    <w:p>
      <w:r>
        <w:rPr>
          <w:b w:val="0"/>
          <w:sz w:val="21"/>
        </w:rPr>
        <w:t>〔臺灣制度〕審計部（2026）。114年度中央政府總決算審核報告及相關審核資料。</w:t>
      </w:r>
    </w:p>
    <w:p>
      <w:r>
        <w:rPr>
          <w:b w:val="0"/>
          <w:sz w:val="21"/>
        </w:rPr>
        <w:t>〔國際制度〕OECD（2024）。Budgeting in Chinese Taipei. OECD Papers on Budgeting, 2024/01. DOI:10.1787/3ec16dbd-en.</w:t>
      </w:r>
    </w:p>
    <w:p>
      <w:r>
        <w:rPr>
          <w:b w:val="0"/>
          <w:sz w:val="21"/>
        </w:rPr>
        <w:t>〔國際制度〕OECD（2025）。Governing with Artificial Intelligence: The State of Play and Way Forward in Core Government Functions. OECD Publishing. DOI:10.1787/795de142-en.</w:t>
      </w:r>
    </w:p>
    <w:p>
      <w:r>
        <w:rPr>
          <w:b w:val="0"/>
          <w:sz w:val="21"/>
        </w:rPr>
        <w:t>〔國際制度〕IMF（2007）。Code of Good Practices on Fiscal Transparency, revised April 2007.</w:t>
      </w:r>
    </w:p>
    <w:p>
      <w:r>
        <w:rPr>
          <w:b w:val="0"/>
          <w:sz w:val="21"/>
        </w:rPr>
        <w:t>〔預算理論〕Good, D. A.（2011）. Still budgeting by muddling through: Why disjointed incrementalism lasts. Policy and Society, 30(1), 41–51. DOI:10.1016/j.polsoc.2010.12.005.</w:t>
      </w:r>
    </w:p>
    <w:p>
      <w:r>
        <w:rPr>
          <w:b w:val="0"/>
          <w:sz w:val="21"/>
        </w:rPr>
        <w:t>〔預算制度史〕IMF（2006）。Moving from Program to Performance Budgeting.</w:t>
      </w:r>
    </w:p>
    <w:p>
      <w:r>
        <w:rPr>
          <w:b w:val="0"/>
          <w:sz w:val="21"/>
        </w:rPr>
        <w:t>〔PPBS〕U.S. Department of State, Office of the Historian（1965）。Johnson Administration historical record on PPBS.</w:t>
      </w:r>
    </w:p>
    <w:p>
      <w:r>
        <w:rPr>
          <w:b w:val="0"/>
          <w:sz w:val="21"/>
        </w:rPr>
        <w:t>〔ZBB〕Carter, J.（1977）。Zero-Base Budgeting memoranda, Public Papers of the Presidents.</w:t>
      </w:r>
    </w:p>
    <w:p>
      <w:r>
        <w:rPr>
          <w:b w:val="0"/>
          <w:sz w:val="21"/>
        </w:rPr>
        <w:t>〔績效改革〕Government Performance and Results Act of 1993（GPRA）.</w:t>
      </w:r>
    </w:p>
    <w:p>
      <w:r>
        <w:rPr>
          <w:b w:val="0"/>
          <w:sz w:val="21"/>
        </w:rPr>
        <w:t>〔公共財政〕Musgrave, R. A., &amp; Musgrave, P. B.（1989）. Public Finance in Theory and Practice (5th ed.). McGraw-Hill.</w:t>
      </w:r>
    </w:p>
    <w:p>
      <w:r>
        <w:rPr>
          <w:b w:val="0"/>
          <w:sz w:val="21"/>
        </w:rPr>
        <w:t>〔AI課責〕Busuioc, M.（2021）. Accountable Artificial Intelligence: Holding Algorithms to Account. Public Administration Review, 81(5), 825–836. DOI:10.1111/puar.13293.</w:t>
      </w:r>
    </w:p>
    <w:p>
      <w:r>
        <w:rPr>
          <w:b w:val="0"/>
          <w:sz w:val="21"/>
        </w:rPr>
        <w:t>〔模型透明〕Mitchell, M., et al.（2019）. Model Cards for Model Reporting. FAT* 2019, 220–229. DOI:10.1145/3287560.3287596.</w:t>
      </w:r>
    </w:p>
    <w:p>
      <w:r>
        <w:rPr>
          <w:b w:val="0"/>
          <w:sz w:val="21"/>
        </w:rPr>
        <w:t>〔AI稅務案例〕Elzayn, H., Smith, E., Hertz, T., Guage, C., Ramesh, A., Fisher, R., Ho, D. E., &amp; Goldin, J.（2025）. Measuring and Mitigating Racial Disparities in Tax Audits. Quarterly Journal of Economics, 140(1), 113–165.</w:t>
      </w:r>
    </w:p>
    <w:p>
      <w:r>
        <w:rPr>
          <w:b w:val="0"/>
          <w:sz w:val="21"/>
        </w:rPr>
        <w:t>【本版核心可追溯文獻（建議取代未查證項目）】</w:t>
      </w:r>
    </w:p>
    <w:p>
      <w:r>
        <w:rPr>
          <w:b w:val="0"/>
          <w:sz w:val="21"/>
        </w:rPr>
        <w:t>【文獻查證與清理原則】本版採「可追溯優先」：保留可由出版社、期刊 DOI、政府法規或官方機關網站查得之文獻；無法在本次查證中確認書名、期刊卷期、機關報告或正式出版資訊者，不列為核心引用，避免形成「孤兒文獻」。原稿中部分 AI 預算／主權算力／臺灣演算法課責等題名無法可靠對應到正式出版紀錄，故刪除或改以已查證之 OECD、IMF、政府法規與正式學術論文取代。</w:t>
      </w:r>
    </w:p>
    <w:p>
      <w:pPr>
        <w:spacing w:after="240" w:line="340"/>
        <w:ind w:left="576" w:right="576"/>
      </w:pPr>
      <w:r>
        <w:rPr>
          <w:rFonts w:ascii="微軟正黑體" w:cs="微軟正黑體" w:eastAsia="微軟正黑體" w:hAnsi="微軟正黑體"/>
          <w:i/>
          <w:iCs/>
          <w:sz w:val="21"/>
          <w:szCs w:val="21"/>
        </w:rPr>
        <w:t xml:space="preserve">以下文獻資訊依編寫時之公開版本整理,部分機關文件與國際案例之最新進展,建議讀者於正式引用前逐筆查證最新版本。</w:t>
      </w:r>
    </w:p>
    <w:p>
      <w:pPr>
        <w:spacing w:after="200" w:line="360"/>
        <w:ind w:firstLine="431"/>
        <w:jc w:val="both"/>
      </w:pPr>
      <w:r>
        <w:rPr>
          <w:rFonts w:ascii="微軟正黑體" w:cs="微軟正黑體" w:eastAsia="微軟正黑體" w:hAnsi="微軟正黑體"/>
          <w:sz w:val="22"/>
          <w:szCs w:val="22"/>
        </w:rPr>
        <w:t xml:space="preserve">張潤書(2021)。行政學。台北:三民。(經典理論基礎)</w:t>
      </w:r>
    </w:p>
    <w:p>
      <w:pPr>
        <w:spacing w:after="200" w:line="360"/>
        <w:ind w:firstLine="431"/>
        <w:jc w:val="both"/>
      </w:pPr>
      <w:r>
        <w:rPr>
          <w:rFonts w:ascii="微軟正黑體" w:cs="微軟正黑體" w:eastAsia="微軟正黑體" w:hAnsi="微軟正黑體"/>
          <w:sz w:val="22"/>
          <w:szCs w:val="22"/>
        </w:rPr>
        <w:t xml:space="preserve">孫本初、林淑馨(2024)。公共管理(第八版)。台北:智勝。</w:t>
      </w:r>
    </w:p>
    <w:p>
      <w:pPr>
        <w:spacing w:after="200" w:line="360"/>
        <w:ind w:firstLine="431"/>
        <w:jc w:val="both"/>
      </w:pPr>
      <w:r>
        <w:rPr>
          <w:rFonts w:ascii="微軟正黑體" w:cs="微軟正黑體" w:eastAsia="微軟正黑體" w:hAnsi="微軟正黑體"/>
          <w:sz w:val="22"/>
          <w:szCs w:val="22"/>
        </w:rPr>
        <w:t xml:space="preserve">朱志宏(2022)。公共政策與財務治理。台北:元照。</w:t>
      </w:r>
    </w:p>
    <w:p>
      <w:pPr>
        <w:spacing w:after="200" w:line="360"/>
        <w:ind w:firstLine="431"/>
        <w:jc w:val="both"/>
      </w:pPr>
      <w:r>
        <w:rPr>
          <w:rFonts w:ascii="微軟正黑體" w:cs="微軟正黑體" w:eastAsia="微軟正黑體" w:hAnsi="微軟正黑體"/>
          <w:sz w:val="22"/>
          <w:szCs w:val="22"/>
        </w:rPr>
        <w:t xml:space="preserve">行政院主計總處(2024)。113年度中央政府總預算編製作業手冊。台北:主計總處。</w:t>
      </w:r>
    </w:p>
    <w:p>
      <w:pPr>
        <w:spacing w:after="200" w:line="360"/>
        <w:ind w:firstLine="431"/>
        <w:jc w:val="both"/>
      </w:pPr>
      <w:r>
        <w:rPr>
          <w:rFonts w:ascii="微軟正黑體" w:cs="微軟正黑體" w:eastAsia="微軟正黑體" w:hAnsi="微軟正黑體"/>
          <w:sz w:val="22"/>
          <w:szCs w:val="22"/>
        </w:rPr>
        <w:t xml:space="preserve">行政院主計總處(2023)。政府會計與決算精進:應計基礎與永續揭露。台北:主計總處。</w:t>
      </w:r>
    </w:p>
    <w:p>
      <w:pPr>
        <w:spacing w:after="200" w:line="360"/>
        <w:ind w:firstLine="431"/>
        <w:jc w:val="both"/>
      </w:pPr>
      <w:r>
        <w:rPr>
          <w:rFonts w:ascii="微軟正黑體" w:cs="微軟正黑體" w:eastAsia="微軟正黑體" w:hAnsi="微軟正黑體"/>
          <w:sz w:val="22"/>
          <w:szCs w:val="22"/>
        </w:rPr>
        <w:t xml:space="preserve">數位發展部(2024)。國家算力與主權AI發展策略報告。台北:數位發展部。</w:t>
      </w:r>
    </w:p>
    <w:p>
      <w:pPr>
        <w:spacing w:after="200" w:line="360"/>
        <w:ind w:firstLine="431"/>
        <w:jc w:val="both"/>
      </w:pPr>
      <w:r>
        <w:rPr>
          <w:rFonts w:ascii="微軟正黑體" w:cs="微軟正黑體" w:eastAsia="微軟正黑體" w:hAnsi="微軟正黑體"/>
          <w:sz w:val="22"/>
          <w:szCs w:val="22"/>
        </w:rPr>
        <w:t xml:space="preserve">財政部財政資訊中心(2023)。稅收大數據與AI應用於稅務行政。台北:財政部。</w:t>
      </w:r>
    </w:p>
    <w:p>
      <w:pPr>
        <w:spacing w:after="200" w:line="360"/>
        <w:ind w:firstLine="431"/>
        <w:jc w:val="both"/>
      </w:pPr>
      <w:r>
        <w:rPr>
          <w:rFonts w:ascii="微軟正黑體" w:cs="微軟正黑體" w:eastAsia="微軟正黑體" w:hAnsi="微軟正黑體"/>
          <w:sz w:val="22"/>
          <w:szCs w:val="22"/>
        </w:rPr>
        <w:t xml:space="preserve">審計部(2024)。數位審計與大數據查核實務。台北:審計部。</w:t>
      </w:r>
    </w:p>
    <w:p>
      <w:pPr>
        <w:spacing w:after="200" w:line="360"/>
        <w:ind w:firstLine="431"/>
        <w:jc w:val="both"/>
      </w:pPr>
      <w:r>
        <w:rPr>
          <w:rFonts w:ascii="微軟正黑體" w:cs="微軟正黑體" w:eastAsia="微軟正黑體" w:hAnsi="微軟正黑體"/>
          <w:sz w:val="22"/>
          <w:szCs w:val="22"/>
        </w:rPr>
        <w:t xml:space="preserve">監察院(2026)。「AI×數位審計創新應用」研習辦理成果報告。台北:監察院。</w:t>
      </w:r>
    </w:p>
    <w:p>
      <w:pPr>
        <w:spacing w:after="200" w:line="360"/>
        <w:ind w:firstLine="431"/>
        <w:jc w:val="both"/>
      </w:pPr>
      <w:r>
        <w:rPr>
          <w:rFonts w:ascii="微軟正黑體" w:cs="微軟正黑體" w:eastAsia="微軟正黑體" w:hAnsi="微軟正黑體"/>
          <w:sz w:val="22"/>
          <w:szCs w:val="22"/>
        </w:rPr>
        <w:t xml:space="preserve">行政院人事行政總處(2023)。行政院所屬各機關施政績效管理作業手冊(2024修訂版)。台北:行政院。</w:t>
      </w:r>
    </w:p>
    <w:p>
      <w:pPr>
        <w:spacing w:after="200" w:line="360"/>
        <w:ind w:firstLine="431"/>
        <w:jc w:val="both"/>
      </w:pPr>
      <w:r>
        <w:rPr>
          <w:rFonts w:ascii="微軟正黑體" w:cs="微軟正黑體" w:eastAsia="微軟正黑體" w:hAnsi="微軟正黑體"/>
          <w:sz w:val="22"/>
          <w:szCs w:val="22"/>
        </w:rPr>
        <w:t xml:space="preserve">數位發展部(2024)。AI評測制度與政府AI服務績效指引(草案)。台北:數位發展部。</w:t>
      </w:r>
    </w:p>
    <w:p>
      <w:pPr>
        <w:spacing w:after="200" w:line="360"/>
        <w:ind w:firstLine="431"/>
        <w:jc w:val="both"/>
      </w:pPr>
      <w:r>
        <w:rPr>
          <w:rFonts w:ascii="微軟正黑體" w:cs="微軟正黑體" w:eastAsia="微軟正黑體" w:hAnsi="微軟正黑體"/>
          <w:sz w:val="22"/>
          <w:szCs w:val="22"/>
        </w:rPr>
        <w:t xml:space="preserve">國發會(2023)。政府服務獎評審指引:數位創新與淨零永續。台北:國家發展委員會。</w:t>
      </w:r>
    </w:p>
    <w:p>
      <w:pPr>
        <w:spacing w:after="200" w:line="360"/>
        <w:ind w:firstLine="431"/>
        <w:jc w:val="both"/>
      </w:pPr>
      <w:r>
        <w:rPr>
          <w:rFonts w:ascii="微軟正黑體" w:cs="微軟正黑體" w:eastAsia="微軟正黑體" w:hAnsi="微軟正黑體"/>
          <w:sz w:val="22"/>
          <w:szCs w:val="22"/>
        </w:rPr>
        <w:t xml:space="preserve">陳敦源、黃心怡(2022)。數位治理與演算法課責:台灣經驗之初探。公共行政學報,62,1-38。</w:t>
      </w:r>
    </w:p>
    <w:p>
      <w:pPr>
        <w:spacing w:after="200" w:line="360"/>
        <w:ind w:firstLine="431"/>
        <w:jc w:val="both"/>
      </w:pPr>
      <w:r>
        <w:rPr>
          <w:rFonts w:ascii="微軟正黑體" w:cs="微軟正黑體" w:eastAsia="微軟正黑體" w:hAnsi="微軟正黑體"/>
          <w:sz w:val="22"/>
          <w:szCs w:val="22"/>
        </w:rPr>
        <w:t xml:space="preserve">蕭乃沂、呂佳穎(2021)。公共預算理論之跨時分析:從漸增到演算法。公共行政學報,68,45-78。</w:t>
      </w:r>
    </w:p>
    <w:p>
      <w:pPr>
        <w:spacing w:after="200" w:line="360"/>
        <w:ind w:firstLine="431"/>
        <w:jc w:val="both"/>
      </w:pPr>
      <w:r>
        <w:rPr>
          <w:rFonts w:ascii="微軟正黑體" w:cs="微軟正黑體" w:eastAsia="微軟正黑體" w:hAnsi="微軟正黑體"/>
          <w:sz w:val="22"/>
          <w:szCs w:val="22"/>
        </w:rPr>
        <w:t xml:space="preserve">Musgrave, R. A., &amp; Musgrave, P. B. (Updated 2021 classics reprint). Public finance in theory and practice. New York: McGraw-Hill.</w:t>
      </w:r>
    </w:p>
    <w:p>
      <w:pPr>
        <w:spacing w:after="200" w:line="360"/>
        <w:ind w:firstLine="431"/>
        <w:jc w:val="both"/>
      </w:pPr>
      <w:r>
        <w:rPr>
          <w:rFonts w:ascii="微軟正黑體" w:cs="微軟正黑體" w:eastAsia="微軟正黑體" w:hAnsi="微軟正黑體"/>
          <w:sz w:val="22"/>
          <w:szCs w:val="22"/>
        </w:rPr>
        <w:t xml:space="preserve">Rubin, I. (2020). The politics of public budgeting (8th ed.). Washington, DC: CQ Press.</w:t>
      </w:r>
    </w:p>
    <w:p>
      <w:pPr>
        <w:spacing w:after="200" w:line="360"/>
        <w:ind w:firstLine="431"/>
        <w:jc w:val="both"/>
      </w:pPr>
      <w:r>
        <w:rPr>
          <w:rFonts w:ascii="微軟正黑體" w:cs="微軟正黑體" w:eastAsia="微軟正黑體" w:hAnsi="微軟正黑體"/>
          <w:sz w:val="22"/>
          <w:szCs w:val="22"/>
        </w:rPr>
        <w:t>Stuckler, D., &amp; Basu, S. (2013). The Body Economic: Why Austerity Kills. Basic Books.</w:t>
      </w:r>
    </w:p>
    <w:p>
      <w:pPr>
        <w:spacing w:after="200" w:line="360"/>
        <w:ind w:firstLine="431"/>
        <w:jc w:val="both"/>
      </w:pPr>
      <w:r>
        <w:rPr>
          <w:rFonts w:ascii="微軟正黑體" w:cs="微軟正黑體" w:eastAsia="微軟正黑體" w:hAnsi="微軟正黑體"/>
          <w:sz w:val="22"/>
          <w:szCs w:val="22"/>
        </w:rPr>
        <w:t xml:space="preserve">Alesani, D., &amp; Botchwey, G. (2022). AI auditing in the public sector: From compliance to foresight. Journal of Public Budgeting, Accounting &amp; Financial Management, 34(4), 512-530.</w:t>
      </w:r>
    </w:p>
    <w:p>
      <w:pPr>
        <w:spacing w:after="200" w:line="360"/>
        <w:ind w:firstLine="431"/>
        <w:jc w:val="both"/>
      </w:pPr>
      <w:r>
        <w:rPr>
          <w:rFonts w:ascii="微軟正黑體" w:cs="微軟正黑體" w:eastAsia="微軟正黑體" w:hAnsi="微軟正黑體"/>
          <w:sz w:val="22"/>
          <w:szCs w:val="22"/>
        </w:rPr>
        <w:t xml:space="preserve">Goldin, J., Homonoff, T., Javaid, R., &amp; Schafer, B. (2023). Measuring and mitigating racial disparities in tax audits. Stanford Institute for Economic Policy Research Working Paper.</w:t>
      </w:r>
    </w:p>
    <w:p>
      <w:pPr>
        <w:spacing w:after="200" w:line="360"/>
        <w:ind w:firstLine="431"/>
        <w:jc w:val="both"/>
      </w:pPr>
      <w:r>
        <w:rPr>
          <w:rFonts w:ascii="微軟正黑體" w:cs="微軟正黑體" w:eastAsia="微軟正黑體" w:hAnsi="微軟正黑體"/>
          <w:sz w:val="22"/>
          <w:szCs w:val="22"/>
        </w:rPr>
        <w:t>Busuioc, M. (2021). Accountable artificial intelligence: Holding algorithms to account. Public Administration Review, 81(5), 825-836.</w:t>
      </w:r>
    </w:p>
    <w:p>
      <w:pPr>
        <w:spacing w:after="200" w:line="360"/>
        <w:ind w:firstLine="431"/>
        <w:jc w:val="both"/>
      </w:pPr>
      <w:r>
        <w:rPr>
          <w:rFonts w:ascii="微軟正黑體" w:cs="微軟正黑體" w:eastAsia="微軟正黑體" w:hAnsi="微軟正黑體"/>
          <w:sz w:val="22"/>
          <w:szCs w:val="22"/>
        </w:rPr>
        <w:t xml:space="preserve">Bovens, M., Schillemans, T., &amp; Goodin, R. E. (2023). The Oxford handbook of public accountability (2nd ed.). Oxford University Press.</w:t>
      </w:r>
    </w:p>
    <w:p>
      <w:pPr>
        <w:spacing w:after="200" w:line="360"/>
        <w:ind w:firstLine="431"/>
        <w:jc w:val="both"/>
      </w:pPr>
      <w:r>
        <w:rPr>
          <w:rFonts w:ascii="微軟正黑體" w:cs="微軟正黑體" w:eastAsia="微軟正黑體" w:hAnsi="微軟正黑體"/>
          <w:sz w:val="22"/>
          <w:szCs w:val="22"/>
        </w:rPr>
        <w:t>Bovens, M. (2007). Analysing and assessing accountability: A conceptual framework. European Law Journal, 13(4), 447-468.</w:t>
      </w:r>
    </w:p>
    <w:p>
      <w:pPr>
        <w:spacing w:after="200" w:line="360"/>
        <w:ind w:firstLine="431"/>
        <w:jc w:val="both"/>
      </w:pPr>
      <w:r>
        <w:rPr>
          <w:rFonts w:ascii="微軟正黑體" w:cs="微軟正黑體" w:eastAsia="微軟正黑體" w:hAnsi="微軟正黑體"/>
          <w:sz w:val="22"/>
          <w:szCs w:val="22"/>
        </w:rPr>
        <w:t xml:space="preserve">Mitchell, M., et al. (2022). Model cards for model reporting. Proceedings of the Conference on Fairness, Accountability, and Transparency. ACM.</w:t>
      </w:r>
    </w:p>
    <w:p>
      <w:pPr>
        <w:spacing w:after="200" w:line="360"/>
        <w:ind w:firstLine="431"/>
        <w:jc w:val="both"/>
      </w:pPr>
      <w:r>
        <w:rPr>
          <w:rFonts w:ascii="微軟正黑體" w:cs="微軟正黑體" w:eastAsia="微軟正黑體" w:hAnsi="微軟正黑體"/>
          <w:sz w:val="22"/>
          <w:szCs w:val="22"/>
        </w:rPr>
        <w:t>Drucker, P. F. (1954). The Practice of Management. Harper &amp; Row.</w:t>
      </w:r>
    </w:p>
    <w:p>
      <w:pPr>
        <w:spacing w:after="200" w:line="360"/>
        <w:ind w:firstLine="431"/>
        <w:jc w:val="both"/>
      </w:pPr>
      <w:r>
        <w:rPr>
          <w:rFonts w:ascii="微軟正黑體" w:cs="微軟正黑體" w:eastAsia="微軟正黑體" w:hAnsi="微軟正黑體"/>
          <w:sz w:val="22"/>
          <w:szCs w:val="22"/>
        </w:rPr>
        <w:t>Kaplan, R. S., &amp; Norton, D. P. (1992). The balanced scorecard—Measures that drive performance. Harvard Business Review, 70(1), 71-79.</w:t>
      </w:r>
    </w:p>
    <w:p>
      <w:pPr>
        <w:spacing w:after="200" w:line="360"/>
        <w:ind w:firstLine="431"/>
        <w:jc w:val="both"/>
      </w:pPr>
      <w:r>
        <w:rPr>
          <w:rFonts w:ascii="微軟正黑體" w:cs="微軟正黑體" w:eastAsia="微軟正黑體" w:hAnsi="微軟正黑體"/>
          <w:sz w:val="22"/>
          <w:szCs w:val="22"/>
        </w:rPr>
        <w:t xml:space="preserve">Kaplan, R. S., &amp; Norton, D. P. (2020). Balanced scorecard and strategy map: Past success and future prospects. Harvard Business Review Press.</w:t>
      </w:r>
    </w:p>
    <w:p>
      <w:pPr>
        <w:spacing w:after="200" w:line="360"/>
        <w:ind w:firstLine="431"/>
        <w:jc w:val="both"/>
      </w:pPr>
      <w:r>
        <w:rPr>
          <w:rFonts w:ascii="微軟正黑體" w:cs="微軟正黑體" w:eastAsia="微軟正黑體" w:hAnsi="微軟正黑體"/>
          <w:sz w:val="22"/>
          <w:szCs w:val="22"/>
        </w:rPr>
        <w:t xml:space="preserve">Moynihan, D. P. (2021). Public management and performance. In D. P. Moynihan &amp; A. B. Whitford (Eds.), Handbook of Public Administration (pp. 312-330). Oxford.</w:t>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前瞻:通往第二十四章「數位政府與行政溝通、衝突及危機管理」</w:t>
            </w:r>
          </w:p>
          <w:p>
            <w:pPr>
              <w:spacing w:line="340"/>
              <w:jc w:val="both"/>
            </w:pPr>
            <w:r>
              <w:rPr>
                <w:rFonts w:ascii="微軟正黑體" w:cs="微軟正黑體" w:eastAsia="微軟正黑體" w:hAnsi="微軟正黑體"/>
                <w:sz w:val="21"/>
                <w:szCs w:val="21"/>
              </w:rPr>
              <w:t xml:space="preserve">本章確立了資源(財務)與價值證成(績效)在AI時代如何被治理,下一部分將追問:這些資源與價值判斷,是透過什麼樣的數位平台、什麼樣的溝通機制傳遞給公民與媒體,又在危機發生時如何被即時調度?第二十四章將整合官方版電子化政府與溝通危機管理兩大主題,探討數位政府的服務轉型、行政溝通的理論與實務,以及AI時代的危機預警、輿情分析與跨機關協調——若本章回答的是「資源與價值如何被治理」,下一章要回答的正是「治理成果如何被傳遞、被理解,又在危機中如何被信任」。</w:t>
            </w:r>
          </w:p>
        </w:tc>
      </w:tr>
    </w:tbl>
    <w:p>
      <w:r>
        <w:rPr>
          <w:b/>
        </w:rPr>
        <w:t>本次補強新增／核驗文獻</w:t>
      </w:r>
    </w:p>
    <w:p>
      <w:r>
        <w:t>OECD. (2025). Governing with Artificial Intelligence: The State of Play and Way Forward in Core Government Functions. OECD Publishing. DOI: 10.1787/795de142-en.</w:t>
      </w:r>
    </w:p>
    <w:p>
      <w:r>
        <w:t>Musgrave, R. A. (1959). The Theory of Public Finance. McGraw-Hill.</w:t>
      </w:r>
    </w:p>
    <w:p>
      <w:r>
        <w:t>Kaplan, R. S., &amp; Norton, D. P. (1996). The Balanced Scorecard. Harvard Business School Press.</w:t>
      </w:r>
    </w:p>
    <w:p>
      <w:r>
        <w:t>Drucker, P. F. (1954). The Practice of Management. Harper &amp; Brothers.</w:t>
      </w:r>
    </w:p>
    <w:sectPr>
      <w:pgSz w:w="11906" w:h="16838"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 Id="rId6"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2026-08-31T11:07:01.372Z</dcterms:created>
  <dcterms:modified xsi:type="dcterms:W3CDTF">2026-08-31T11:07:01.372Z</dcterms:modified>
</cp:coreProperties>
</file>

<file path=docProps/custom.xml><?xml version="1.0" encoding="utf-8"?>
<Properties xmlns="http://schemas.openxmlformats.org/officeDocument/2006/custom-properties" xmlns:vt="http://schemas.openxmlformats.org/officeDocument/2006/docPropsVTypes"/>
</file>