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第二十二章　人事管理</w:t>
      </w:r>
    </w:p>
    <w:p>
      <w:pPr>
        <w:spacing w:after="400"/>
        <w:jc w:val="center"/>
      </w:pPr>
      <w:r>
        <w:rPr>
          <w:rFonts w:ascii="微軟正黑體" w:cs="微軟正黑體" w:eastAsia="微軟正黑體" w:hAnsi="微軟正黑體"/>
          <w:i/>
          <w:iCs/>
          <w:color w:val="777777"/>
          <w:sz w:val="22"/>
          <w:szCs w:val="22"/>
        </w:rPr>
        <w:t xml:space="preserve">——考銓制度、功績制與AI時代的人機共構人力</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定位於第五層「管理運作」×「個人」單位,為管理運作七大構面(策略管理、行政領導、人事管理、財務管理、電子化政府、績效管理、溝通與危機管理)之人本核心。人事管理不僅是幕僚功能,更是策略性人力資源管理,負責將組織策略轉譯為人才佈局、能力建構與文化形塑;主要對應責任鏈——AI輔助人事甄補與考評之決定,錯誤發生時責任應歸屬招募設計者、模型供應商抑或用人主管,並以責任歸屬審計及裁量邊界審計檢視功績制與行政中立是否受演算法侵蝕。若行政領導回答「如何影響成員行動」,本章人事管理回答的正是「以何種人力資本去行動」。</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能理解人事行政的定義、範圍與功績制核心價值,掌握我國考銓制度之憲政架構。</w:t>
      </w:r>
    </w:p>
    <w:p>
      <w:pPr>
        <w:pStyle w:val="ListParagraph"/>
        <w:numPr>
          <w:ilvl w:val="0"/>
          <w:numId w:val="2"/>
        </w:numPr>
        <w:spacing w:after="120" w:line="340"/>
      </w:pPr>
      <w:r>
        <w:rPr>
          <w:rFonts w:ascii="微軟正黑體" w:cs="微軟正黑體" w:eastAsia="微軟正黑體" w:hAnsi="微軟正黑體"/>
          <w:sz w:val="22"/>
          <w:szCs w:val="22"/>
        </w:rPr>
        <w:t xml:space="preserve">能系統分析人事行政體制類型、職位分類制度與官職併立制之運作邏輯。</w:t>
      </w:r>
    </w:p>
    <w:p>
      <w:pPr>
        <w:pStyle w:val="ListParagraph"/>
        <w:numPr>
          <w:ilvl w:val="0"/>
          <w:numId w:val="2"/>
        </w:numPr>
        <w:spacing w:after="120" w:line="340"/>
      </w:pPr>
      <w:r>
        <w:rPr>
          <w:rFonts w:ascii="微軟正黑體" w:cs="微軟正黑體" w:eastAsia="微軟正黑體" w:hAnsi="微軟正黑體"/>
          <w:sz w:val="22"/>
          <w:szCs w:val="22"/>
        </w:rPr>
        <w:t xml:space="preserve">能掌握公務人力甄補、訓練、考績、俸給、保障與倫理之完整流程與法制意涵,理解專業異議與申訴救濟機制之保障功能。</w:t>
      </w:r>
    </w:p>
    <w:p>
      <w:pPr>
        <w:pStyle w:val="ListParagraph"/>
        <w:numPr>
          <w:ilvl w:val="0"/>
          <w:numId w:val="2"/>
        </w:numPr>
        <w:spacing w:after="120" w:line="340"/>
      </w:pPr>
      <w:r>
        <w:rPr>
          <w:rFonts w:ascii="微軟正黑體" w:cs="微軟正黑體" w:eastAsia="微軟正黑體" w:hAnsi="微軟正黑體"/>
          <w:sz w:val="22"/>
          <w:szCs w:val="22"/>
        </w:rPr>
        <w:t xml:space="preserve">能探討AI時代人事管理的功能變異、人機共構人力與公務員AI素養之時代需求。</w:t>
      </w:r>
    </w:p>
    <w:p>
      <w:pPr>
        <w:pStyle w:val="ListParagraph"/>
        <w:numPr>
          <w:ilvl w:val="0"/>
          <w:numId w:val="2"/>
        </w:numPr>
        <w:spacing w:after="120" w:line="340"/>
      </w:pPr>
      <w:r>
        <w:rPr>
          <w:rFonts w:ascii="微軟正黑體" w:cs="微軟正黑體" w:eastAsia="微軟正黑體" w:hAnsi="微軟正黑體"/>
          <w:sz w:val="22"/>
          <w:szCs w:val="22"/>
        </w:rPr>
        <w:t xml:space="preserve">能剖析人事領域AI治理之公平性、課責性與人本價值,運用AIA、模型卡、演算法審計與HITL工具,建構可信賴的智慧人事治理框架。</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「為政在人,取人以身,修身以道,修道以仁。」——《禮記·中庸》</w:t>
      </w:r>
    </w:p>
    <w:p>
      <w:pPr>
        <w:spacing w:after="200" w:line="360"/>
        <w:ind w:firstLine="431"/>
        <w:jc w:val="both"/>
      </w:pPr>
      <w:r>
        <w:rPr>
          <w:rFonts w:ascii="微軟正黑體" w:cs="微軟正黑體" w:eastAsia="微軟正黑體" w:hAnsi="微軟正黑體"/>
          <w:sz w:val="22"/>
          <w:szCs w:val="22"/>
        </w:rPr>
        <w:t xml:space="preserve">承第二十一章「行政領導」確立領導者如何影響成員朝方向行動後,本章追問下一個問題:領導者所帶領的,究竟是什麼樣的人?《禮記·中庸》指出,治理國家的根本在於得人,而選拔人才的關鍵在於領導者自身之修為——這句古語點出一項歷久彌新的洞見:再完美的制度設計,終究要靠具體的人去執行;人事管理,正是將抽象的組織使命,轉化為一個個具體職位、一次次甄補決定、一份份考績評語的關鍵樞紐。</w:t>
      </w:r>
    </w:p>
    <w:p>
      <w:pPr>
        <w:spacing w:after="200" w:line="360"/>
        <w:ind w:firstLine="431"/>
        <w:jc w:val="both"/>
      </w:pPr>
      <w:r>
        <w:rPr>
          <w:rFonts w:ascii="微軟正黑體" w:cs="微軟正黑體" w:eastAsia="微軟正黑體" w:hAnsi="微軟正黑體"/>
          <w:sz w:val="22"/>
          <w:szCs w:val="22"/>
        </w:rPr>
        <w:t xml:space="preserve">本章從人事行政的基本意涵出發,經人事體制與職位分類、甄補考選任用、訓練與能力發展、考績與課責、俸給保障與倫理,進入AI時代人事管理之功能變異,最後以AI治理專節深入辨證:當AI可以篩選履歷、預測適職度、監測績效數據,人事管理所仰賴的功績制核心——用人唯才、同工同酬、程序公正——是否依然站得住腳?抑或正在演算法的黑箱中悄悄鬆動?</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人事行政的制度基礎:定義與範圍、功績制核心理念、西方文官制度演進;我國人事體制類型(獨立制與幕僚制、部外制與部內制)、職位分類制度(官等職等並立制)。</w:t>
      </w:r>
    </w:p>
    <w:p>
      <w:pPr>
        <w:pStyle w:val="ListParagraph"/>
        <w:numPr>
          <w:ilvl w:val="0"/>
          <w:numId w:val="2"/>
        </w:numPr>
        <w:spacing w:after="120" w:line="340"/>
      </w:pPr>
      <w:r>
        <w:rPr>
          <w:rFonts w:ascii="微軟正黑體" w:cs="微軟正黑體" w:eastAsia="微軟正黑體" w:hAnsi="微軟正黑體"/>
          <w:sz w:val="22"/>
          <w:szCs w:val="22"/>
        </w:rPr>
        <w:t xml:space="preserve">人力資源的完整流程:甄補(考選與任用、政務官與事務官)、訓練與能力發展、考績與課責、俸給與保障、行政中立與倫理。</w:t>
      </w:r>
    </w:p>
    <w:p>
      <w:pPr>
        <w:pStyle w:val="ListParagraph"/>
        <w:numPr>
          <w:ilvl w:val="0"/>
          <w:numId w:val="2"/>
        </w:numPr>
        <w:spacing w:after="120" w:line="340"/>
      </w:pPr>
      <w:r>
        <w:rPr>
          <w:rFonts w:ascii="微軟正黑體" w:cs="微軟正黑體" w:eastAsia="微軟正黑體" w:hAnsi="微軟正黑體"/>
          <w:sz w:val="22"/>
          <w:szCs w:val="22"/>
        </w:rPr>
        <w:t xml:space="preserve">AI時代的人事升級:甄補、訓練、考績、俸給四大功能之變異與人機共構,以及AI治理專節之台灣路徑與治理工具箱。</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人事行政意涵與功績制核心　→　我國人事體制與職位分類　→　甄補:考選與任用　→　訓練與能力發展　→　考績與課責　→　俸給、保障與倫理　→　AI時代人事管理四大功能變異　→　銜接第二十三章財務管理與績效管理</w:t>
            </w:r>
          </w:p>
        </w:tc>
      </w:tr>
    </w:tbl>
    <w:p>
      <w:pPr>
        <w:spacing w:after="200" w:line="360"/>
        <w:ind w:firstLine="431"/>
        <w:jc w:val="both"/>
      </w:pPr>
      <w:r>
        <w:rPr>
          <w:rFonts w:ascii="微軟正黑體" w:cs="微軟正黑體" w:eastAsia="微軟正黑體" w:hAnsi="微軟正黑體"/>
          <w:sz w:val="22"/>
          <w:szCs w:val="22"/>
        </w:rPr>
        <w:t xml:space="preserve">這個架構顯示,人事管理理論百年演進的核心關懷始終未變:如何在「用人唯才」與「程序公正」之間找到平衡,讓對的人被放在對的位置上。當這項判斷逐漸交由演算法初篩、AI評分儀表板輔助時,「唯才」與「公正」的具體判準,也隨之面臨重新定義的壓力。</w:t>
      </w:r>
    </w:p>
    <w:p>
      <w:r>
        <w:rPr>
          <w:b/>
          <w:sz w:val="22"/>
        </w:rPr>
        <w:t>概念圖22-A　人事行政的理論演進：從「控制人事」到「建構國家能力」</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階段</w:t>
            </w:r>
          </w:p>
        </w:tc>
        <w:tc>
          <w:tcPr>
            <w:tcW w:type="dxa" w:w="2256"/>
            <w:vAlign w:val="center"/>
            <w:shd w:fill="D9EAF7"/>
          </w:tcPr>
          <w:p>
            <w:r/>
            <w:r>
              <w:rPr>
                <w:b/>
                <w:sz w:val="17"/>
              </w:rPr>
              <w:t>核心制度觀</w:t>
            </w:r>
          </w:p>
        </w:tc>
        <w:tc>
          <w:tcPr>
            <w:tcW w:type="dxa" w:w="2256"/>
            <w:vAlign w:val="center"/>
            <w:shd w:fill="D9EAF7"/>
          </w:tcPr>
          <w:p>
            <w:r/>
            <w:r>
              <w:rPr>
                <w:b/>
                <w:sz w:val="17"/>
              </w:rPr>
              <w:t>主要價值</w:t>
            </w:r>
          </w:p>
        </w:tc>
        <w:tc>
          <w:tcPr>
            <w:tcW w:type="dxa" w:w="2256"/>
            <w:vAlign w:val="center"/>
            <w:shd w:fill="D9EAF7"/>
          </w:tcPr>
          <w:p>
            <w:r/>
            <w:r>
              <w:rPr>
                <w:b/>
                <w:sz w:val="17"/>
              </w:rPr>
              <w:t>當代轉化</w:t>
            </w:r>
          </w:p>
        </w:tc>
      </w:tr>
      <w:tr>
        <w:tc>
          <w:tcPr>
            <w:tcW w:type="dxa" w:w="2256"/>
            <w:vAlign w:val="center"/>
          </w:tcPr>
          <w:p>
            <w:r/>
            <w:r>
              <w:rPr>
                <w:b w:val="0"/>
                <w:sz w:val="17"/>
              </w:rPr>
              <w:t>傳統人事行政</w:t>
            </w:r>
          </w:p>
        </w:tc>
        <w:tc>
          <w:tcPr>
            <w:tcW w:type="dxa" w:w="2256"/>
            <w:vAlign w:val="center"/>
          </w:tcPr>
          <w:p>
            <w:r/>
            <w:r>
              <w:rPr>
                <w:b w:val="0"/>
                <w:sz w:val="17"/>
              </w:rPr>
              <w:t>規則、職位、任用秩序</w:t>
            </w:r>
          </w:p>
        </w:tc>
        <w:tc>
          <w:tcPr>
            <w:tcW w:type="dxa" w:w="2256"/>
            <w:vAlign w:val="center"/>
          </w:tcPr>
          <w:p>
            <w:r/>
            <w:r>
              <w:rPr>
                <w:b w:val="0"/>
                <w:sz w:val="17"/>
              </w:rPr>
              <w:t>合法性、穩定、功績</w:t>
            </w:r>
          </w:p>
        </w:tc>
        <w:tc>
          <w:tcPr>
            <w:tcW w:type="dxa" w:w="2256"/>
            <w:vAlign w:val="center"/>
          </w:tcPr>
          <w:p>
            <w:r/>
            <w:r>
              <w:rPr>
                <w:b w:val="0"/>
                <w:sz w:val="17"/>
              </w:rPr>
              <w:t>法制與程序保障</w:t>
            </w:r>
          </w:p>
        </w:tc>
      </w:tr>
      <w:tr>
        <w:tc>
          <w:tcPr>
            <w:tcW w:type="dxa" w:w="2256"/>
            <w:vAlign w:val="center"/>
          </w:tcPr>
          <w:p>
            <w:r/>
            <w:r>
              <w:rPr>
                <w:b w:val="0"/>
                <w:sz w:val="17"/>
              </w:rPr>
              <w:t>功績制深化</w:t>
            </w:r>
          </w:p>
        </w:tc>
        <w:tc>
          <w:tcPr>
            <w:tcW w:type="dxa" w:w="2256"/>
            <w:vAlign w:val="center"/>
          </w:tcPr>
          <w:p>
            <w:r/>
            <w:r>
              <w:rPr>
                <w:b w:val="0"/>
                <w:sz w:val="17"/>
              </w:rPr>
              <w:t>公開競爭、資格與考選</w:t>
            </w:r>
          </w:p>
        </w:tc>
        <w:tc>
          <w:tcPr>
            <w:tcW w:type="dxa" w:w="2256"/>
            <w:vAlign w:val="center"/>
          </w:tcPr>
          <w:p>
            <w:r/>
            <w:r>
              <w:rPr>
                <w:b w:val="0"/>
                <w:sz w:val="17"/>
              </w:rPr>
              <w:t>公平、專業、中立</w:t>
            </w:r>
          </w:p>
        </w:tc>
        <w:tc>
          <w:tcPr>
            <w:tcW w:type="dxa" w:w="2256"/>
            <w:vAlign w:val="center"/>
          </w:tcPr>
          <w:p>
            <w:r/>
            <w:r>
              <w:rPr>
                <w:b w:val="0"/>
                <w:sz w:val="17"/>
              </w:rPr>
              <w:t>職能與適才適所</w:t>
            </w:r>
          </w:p>
        </w:tc>
      </w:tr>
      <w:tr>
        <w:tc>
          <w:tcPr>
            <w:tcW w:type="dxa" w:w="2256"/>
            <w:vAlign w:val="center"/>
          </w:tcPr>
          <w:p>
            <w:r/>
            <w:r>
              <w:rPr>
                <w:b w:val="0"/>
                <w:sz w:val="17"/>
              </w:rPr>
              <w:t>人力資源管理</w:t>
            </w:r>
          </w:p>
        </w:tc>
        <w:tc>
          <w:tcPr>
            <w:tcW w:type="dxa" w:w="2256"/>
            <w:vAlign w:val="center"/>
          </w:tcPr>
          <w:p>
            <w:r/>
            <w:r>
              <w:rPr>
                <w:b w:val="0"/>
                <w:sz w:val="17"/>
              </w:rPr>
              <w:t>激勵、訓練、績效與發展</w:t>
            </w:r>
          </w:p>
        </w:tc>
        <w:tc>
          <w:tcPr>
            <w:tcW w:type="dxa" w:w="2256"/>
            <w:vAlign w:val="center"/>
          </w:tcPr>
          <w:p>
            <w:r/>
            <w:r>
              <w:rPr>
                <w:b w:val="0"/>
                <w:sz w:val="17"/>
              </w:rPr>
              <w:t>人本、效率、組織績效</w:t>
            </w:r>
          </w:p>
        </w:tc>
        <w:tc>
          <w:tcPr>
            <w:tcW w:type="dxa" w:w="2256"/>
            <w:vAlign w:val="center"/>
          </w:tcPr>
          <w:p>
            <w:r/>
            <w:r>
              <w:rPr>
                <w:b w:val="0"/>
                <w:sz w:val="17"/>
              </w:rPr>
              <w:t>人才生命週期管理</w:t>
            </w:r>
          </w:p>
        </w:tc>
      </w:tr>
      <w:tr>
        <w:tc>
          <w:tcPr>
            <w:tcW w:type="dxa" w:w="2256"/>
            <w:vAlign w:val="center"/>
          </w:tcPr>
          <w:p>
            <w:r/>
            <w:r>
              <w:rPr>
                <w:b w:val="0"/>
                <w:sz w:val="17"/>
              </w:rPr>
              <w:t>策略性人力資源管理</w:t>
            </w:r>
          </w:p>
        </w:tc>
        <w:tc>
          <w:tcPr>
            <w:tcW w:type="dxa" w:w="2256"/>
            <w:vAlign w:val="center"/>
          </w:tcPr>
          <w:p>
            <w:r/>
            <w:r>
              <w:rPr>
                <w:b w:val="0"/>
                <w:sz w:val="17"/>
              </w:rPr>
              <w:t>人力與組織策略連結</w:t>
            </w:r>
          </w:p>
        </w:tc>
        <w:tc>
          <w:tcPr>
            <w:tcW w:type="dxa" w:w="2256"/>
            <w:vAlign w:val="center"/>
          </w:tcPr>
          <w:p>
            <w:r/>
            <w:r>
              <w:rPr>
                <w:b w:val="0"/>
                <w:sz w:val="17"/>
              </w:rPr>
              <w:t>能力、人才配置、文化</w:t>
            </w:r>
          </w:p>
        </w:tc>
        <w:tc>
          <w:tcPr>
            <w:tcW w:type="dxa" w:w="2256"/>
            <w:vAlign w:val="center"/>
          </w:tcPr>
          <w:p>
            <w:r/>
            <w:r>
              <w:rPr>
                <w:b w:val="0"/>
                <w:sz w:val="17"/>
              </w:rPr>
              <w:t>把人力視為組織能力來源</w:t>
            </w:r>
          </w:p>
        </w:tc>
      </w:tr>
      <w:tr>
        <w:tc>
          <w:tcPr>
            <w:tcW w:type="dxa" w:w="2256"/>
            <w:vAlign w:val="center"/>
          </w:tcPr>
          <w:p>
            <w:r/>
            <w:r>
              <w:rPr>
                <w:b w:val="0"/>
                <w:sz w:val="17"/>
              </w:rPr>
              <w:t>AI-ready public workforce</w:t>
            </w:r>
          </w:p>
        </w:tc>
        <w:tc>
          <w:tcPr>
            <w:tcW w:type="dxa" w:w="2256"/>
            <w:vAlign w:val="center"/>
          </w:tcPr>
          <w:p>
            <w:r/>
            <w:r>
              <w:rPr>
                <w:b w:val="0"/>
                <w:sz w:val="17"/>
              </w:rPr>
              <w:t>人機協作、數位能力與治理</w:t>
            </w:r>
          </w:p>
        </w:tc>
        <w:tc>
          <w:tcPr>
            <w:tcW w:type="dxa" w:w="2256"/>
            <w:vAlign w:val="center"/>
          </w:tcPr>
          <w:p>
            <w:r/>
            <w:r>
              <w:rPr>
                <w:b w:val="0"/>
                <w:sz w:val="17"/>
              </w:rPr>
              <w:t>效率＋公平＋課責</w:t>
            </w:r>
          </w:p>
        </w:tc>
        <w:tc>
          <w:tcPr>
            <w:tcW w:type="dxa" w:w="2256"/>
            <w:vAlign w:val="center"/>
          </w:tcPr>
          <w:p>
            <w:r/>
            <w:r>
              <w:rPr>
                <w:b w:val="0"/>
                <w:sz w:val="17"/>
              </w:rPr>
              <w:t>AI素養、模型治理、人類覆核</w:t>
            </w:r>
          </w:p>
        </w:tc>
      </w:tr>
    </w:tbl>
    <w:p>
      <w:r>
        <w:rPr>
          <w:i/>
          <w:sz w:val="16"/>
        </w:rPr>
        <w:t>資料來源：Perry (2010)；OECD (2021, 2025, 2026)；World Bank (2026), Public Workforce Performance and Prosperity。後兩階段依本章公共人事脈絡整理。</w:t>
      </w:r>
    </w:p>
    <w:p>
      <w:pPr>
        <w:spacing w:after="180" w:before="360"/>
      </w:pPr>
      <w:r>
        <w:rPr>
          <w:rFonts w:ascii="微軟正黑體" w:cs="微軟正黑體" w:eastAsia="微軟正黑體" w:hAnsi="微軟正黑體"/>
          <w:b/>
          <w:bCs/>
          <w:color w:val="1F4E79"/>
          <w:sz w:val="26"/>
          <w:szCs w:val="26"/>
        </w:rPr>
        <w:t xml:space="preserve">第一節　人事行政的基本意涵</w:t>
      </w:r>
    </w:p>
    <w:p>
      <w:pPr>
        <w:spacing w:after="140" w:before="260"/>
      </w:pPr>
      <w:r>
        <w:rPr>
          <w:rFonts w:ascii="微軟正黑體" w:cs="微軟正黑體" w:eastAsia="微軟正黑體" w:hAnsi="微軟正黑體"/>
          <w:b/>
          <w:bCs/>
          <w:color w:val="2E5C8A"/>
          <w:sz w:val="23"/>
          <w:szCs w:val="23"/>
        </w:rPr>
        <w:t xml:space="preserve">一、人事行政的定義與範圍</w:t>
      </w:r>
    </w:p>
    <w:p>
      <w:pPr>
        <w:spacing w:after="200" w:line="360"/>
        <w:ind w:firstLine="431"/>
        <w:jc w:val="both"/>
      </w:pPr>
      <w:r>
        <w:rPr>
          <w:rFonts w:ascii="微軟正黑體" w:cs="微軟正黑體" w:eastAsia="微軟正黑體" w:hAnsi="微軟正黑體"/>
          <w:sz w:val="22"/>
          <w:szCs w:val="22"/>
        </w:rPr>
        <w:t xml:space="preserve">文官制度廣義上包含政務官與事務官,政務官基於政治任命,代表民意、負政治責任,隨政黨進退;事務官則為常任文官,基於功績制考選,依法執行公共政策。人事行政主要以功績制下常任文官為對象,又稱考銓制度、公務員制度,其定義為政府機關對其所需人員所為之選拔、任用、培育、評核、激勵與管理的一套法制與實務體系,範圍涵蓋考選、銓敘、任免、考績、級俸、升遷、褒獎、保障、撫卹、退休、訓練、福利與倫理等。</w:t>
      </w:r>
    </w:p>
    <w:p>
      <w:pPr>
        <w:spacing w:after="200" w:line="360"/>
        <w:ind w:firstLine="431"/>
        <w:jc w:val="both"/>
      </w:pPr>
      <w:r>
        <w:rPr>
          <w:rFonts w:ascii="微軟正黑體" w:cs="微軟正黑體" w:eastAsia="微軟正黑體" w:hAnsi="微軟正黑體"/>
          <w:sz w:val="22"/>
          <w:szCs w:val="22"/>
        </w:rPr>
        <w:t xml:space="preserve">許南雄教授歸納人事制度四個要旨,構成人事哲學基礎:人才主義強調用人唯才、選賢舉能;人本主義強調滿足人員生理心理需求,發揮人性與潛能;合作主義強調團隊精神與協調整合;效率主義強調人盡其才、物盡其用,達致效能。此四要旨從工具理性擴展至價值理性,預示當代策略性人力資源管理以人為本、兼顧效率與公平之取向。</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要旨</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當代轉化</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人才主義</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用人唯才、選賢任能</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由資格導向轉向職能導向,重視職能模型</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人本主義</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滿足人員需求、發揮人性</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員工協助方案、職場心理健康、工作生活平衡</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合作主義</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團隊精神與協調</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跨域團隊、社群實務、公私協力人力網絡</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效率主義</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發揮最大潛力、零浪費</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績效導向、證據導向之人事決策</w:t>
            </w:r>
          </w:p>
        </w:tc>
      </w:tr>
    </w:tbl>
    <w:p>
      <w:pPr>
        <w:spacing w:after="280" w:before="120"/>
        <w:jc w:val="center"/>
      </w:pPr>
      <w:r>
        <w:rPr>
          <w:rFonts w:ascii="微軟正黑體" w:cs="微軟正黑體" w:eastAsia="微軟正黑體" w:hAnsi="微軟正黑體"/>
          <w:i/>
          <w:iCs/>
          <w:color w:val="555555"/>
          <w:sz w:val="18"/>
          <w:szCs w:val="18"/>
        </w:rPr>
        <w:t xml:space="preserve">表22-1　人事行政制度四要旨</w:t>
      </w:r>
    </w:p>
    <w:p>
      <w:pPr>
        <w:spacing w:after="140" w:before="260"/>
      </w:pPr>
      <w:r>
        <w:rPr>
          <w:rFonts w:ascii="微軟正黑體" w:cs="微軟正黑體" w:eastAsia="微軟正黑體" w:hAnsi="微軟正黑體"/>
          <w:b/>
          <w:bCs/>
          <w:color w:val="2E5C8A"/>
          <w:sz w:val="23"/>
          <w:szCs w:val="23"/>
        </w:rPr>
        <w:t xml:space="preserve">二、功績制度的核心理念</w:t>
      </w:r>
    </w:p>
    <w:p>
      <w:pPr>
        <w:spacing w:after="200" w:line="360"/>
        <w:ind w:firstLine="431"/>
        <w:jc w:val="both"/>
      </w:pPr>
      <w:r>
        <w:rPr>
          <w:rFonts w:ascii="微軟正黑體" w:cs="微軟正黑體" w:eastAsia="微軟正黑體" w:hAnsi="微軟正黑體"/>
          <w:sz w:val="22"/>
          <w:szCs w:val="22"/>
        </w:rPr>
        <w:t xml:space="preserve">功績制(Merit System)係現代人事制度之基石,包含才能與成就兩因素,主張以個人能力與工作表現為人事管理依據,取代恩賜制與分贓制之人身依附,其理想可歸為效率、效能、經濟、理性與科學。美國1978年文官改革法揭示功績制九原則:才能取向與公開競爭、平等就業機會、同工同酬與績優獎賞、維護忠勤紀律、維持工作效能、獎優汰劣、健全訓練、防止徇私與政治迫害、保障吹哨者。功績制並非排斥政治回應,而是透過制度設計確保常任文官體系之專業、中立與連續性,使政務領導與事務執行得以分工制衡。值得注意的是,功績制九原則中之「保障吹哨者」,正是本章後續將深入探討之專業異議與申訴救濟機制之制度根源。</w:t>
      </w:r>
    </w:p>
    <w:p>
      <w:pPr>
        <w:spacing w:after="140" w:before="260"/>
      </w:pPr>
      <w:r>
        <w:rPr>
          <w:rFonts w:ascii="微軟正黑體" w:cs="微軟正黑體" w:eastAsia="微軟正黑體" w:hAnsi="微軟正黑體"/>
          <w:b/>
          <w:bCs/>
          <w:color w:val="2E5C8A"/>
          <w:sz w:val="23"/>
          <w:szCs w:val="23"/>
        </w:rPr>
        <w:t xml:space="preserve">三、西方文官制度的演進</w:t>
      </w:r>
    </w:p>
    <w:p>
      <w:pPr>
        <w:spacing w:after="200" w:line="360"/>
        <w:ind w:firstLine="431"/>
        <w:jc w:val="both"/>
      </w:pPr>
      <w:r>
        <w:rPr>
          <w:rFonts w:ascii="微軟正黑體" w:cs="微軟正黑體" w:eastAsia="微軟正黑體" w:hAnsi="微軟正黑體"/>
          <w:sz w:val="22"/>
          <w:szCs w:val="22"/>
        </w:rPr>
        <w:t xml:space="preserve">西方文官制度史可依選任基礎分為四階段:恩賜制(君主恩寵授官)、贍養制(退休官員酬庸)、分贓制(政黨勝選酬庸支持者)與功績制(公開競爭、專業化)。英美法德皆經歷由分贓走向功績之改革,例如美國1883年《潘德頓法案》廢除分贓、設立文官委員會,1978年改革法進一步強化功績與彈性。現代趨勢則朝向民主化(平權、代表性官僚)、彈性化(多元進用、活化退休)、人性化與策略化發展,近年更因AI與數位治理而出現智慧官僚(Cyber-bureaucracy)之新脈動。</w:t>
      </w:r>
    </w:p>
    <w:p>
      <w:pPr>
        <w:spacing w:after="180" w:before="360"/>
      </w:pPr>
      <w:r>
        <w:rPr>
          <w:rFonts w:ascii="微軟正黑體" w:cs="微軟正黑體" w:eastAsia="微軟正黑體" w:hAnsi="微軟正黑體"/>
          <w:b/>
          <w:bCs/>
          <w:color w:val="1F4E79"/>
          <w:sz w:val="26"/>
          <w:szCs w:val="26"/>
        </w:rPr>
        <w:t xml:space="preserve">第二節　人事行政體制與職位分類</w:t>
      </w:r>
    </w:p>
    <w:p>
      <w:pPr>
        <w:spacing w:after="140" w:before="260"/>
      </w:pPr>
      <w:r>
        <w:rPr>
          <w:rFonts w:ascii="微軟正黑體" w:cs="微軟正黑體" w:eastAsia="微軟正黑體" w:hAnsi="微軟正黑體"/>
          <w:b/>
          <w:bCs/>
          <w:color w:val="2E5C8A"/>
          <w:sz w:val="23"/>
          <w:szCs w:val="23"/>
        </w:rPr>
        <w:t xml:space="preserve">一、人事行政體制類型</w:t>
      </w:r>
    </w:p>
    <w:p>
      <w:pPr>
        <w:spacing w:after="200" w:line="360"/>
        <w:ind w:firstLine="431"/>
        <w:jc w:val="both"/>
      </w:pPr>
      <w:r>
        <w:rPr>
          <w:rFonts w:ascii="微軟正黑體" w:cs="微軟正黑體" w:eastAsia="微軟正黑體" w:hAnsi="微軟正黑體"/>
          <w:sz w:val="22"/>
          <w:szCs w:val="22"/>
        </w:rPr>
        <w:t xml:space="preserve">人事機關之設置反映人事權歸屬。若人事權隸屬於行政首長,作為其幕僚功能,稱為幕僚制;若獨立於行政權之外,則稱獨立制或院外制,此為垂直權限面向。另依是否設獨立機構,可分部外制(行政部門外另設超然人事機構,不受行政首長指揮,如我國考試院、美國1883-1978年文官委員會)與部內制(各行政部門內設人事單位,人事權由行政首長掌理,如美國現行人事管理局)。折衷制則兼有二者,如日本兼設人事院與內閣人事局。我國屬獨立制與一條鞭制之結合:憲法本文與增修條文第6條明定考試院掌理考試、銓敘、保障、撫卹、退休之執行與任免、考績、級俸、升遷、褒獎之法制事項;行政院人事行政總處則掌理人事政策規劃、執行與發展。許南雄教授因而稱之為「雙重首長制」,二者共理人事,但決策與執行協調成本較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部外制(獨立制)</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部內制(幕僚制)</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權責歸屬</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獨立超然於行政機關外</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隸屬最高行政首長或各部會</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優點</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客觀公正、減少政治干預、可通盤規劃採公開競爭</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配合實務需要、事權統一、機動迅速</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缺點</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易與用人機關脫節、削弱機關首長領導權</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易各自為政、難以客觀選才、政令分歧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代表案例</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我國考試院、早期美國文官委員會</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美國人事管理局、我國各機關人事業務單位</w:t>
            </w:r>
          </w:p>
        </w:tc>
      </w:tr>
    </w:tbl>
    <w:p>
      <w:pPr>
        <w:spacing w:after="280" w:before="120"/>
        <w:jc w:val="center"/>
      </w:pPr>
      <w:r>
        <w:rPr>
          <w:rFonts w:ascii="微軟正黑體" w:cs="微軟正黑體" w:eastAsia="微軟正黑體" w:hAnsi="微軟正黑體"/>
          <w:i/>
          <w:iCs/>
          <w:color w:val="555555"/>
          <w:sz w:val="18"/>
          <w:szCs w:val="18"/>
        </w:rPr>
        <w:t xml:space="preserve">表22-2　部外制與部內制之比較</w:t>
      </w:r>
    </w:p>
    <w:p>
      <w:pPr>
        <w:spacing w:after="200" w:line="360"/>
        <w:ind w:firstLine="431"/>
        <w:jc w:val="both"/>
      </w:pPr>
      <w:r>
        <w:rPr>
          <w:rFonts w:ascii="微軟正黑體" w:cs="微軟正黑體" w:eastAsia="微軟正黑體" w:hAnsi="微軟正黑體"/>
          <w:sz w:val="22"/>
          <w:szCs w:val="22"/>
        </w:rPr>
        <w:t xml:space="preserve">我國人事體制特色包括:考試權與行政權分立、一條鞭制(行政院所屬各級人事人員在業務上受人事行政總處指揮監督,兼受所在機關長官指揮之人事雙重隸屬)、人事法規法制化程度高,以及考選與任用兼採封閉與有限開放。</w:t>
      </w:r>
    </w:p>
    <w:p>
      <w:pPr>
        <w:spacing w:after="140" w:before="260"/>
      </w:pPr>
      <w:r>
        <w:rPr>
          <w:rFonts w:ascii="微軟正黑體" w:cs="微軟正黑體" w:eastAsia="微軟正黑體" w:hAnsi="微軟正黑體"/>
          <w:b/>
          <w:bCs/>
          <w:color w:val="2E5C8A"/>
          <w:sz w:val="23"/>
          <w:szCs w:val="23"/>
        </w:rPr>
        <w:t xml:space="preserve">二、職位分類制度</w:t>
      </w:r>
    </w:p>
    <w:p>
      <w:pPr>
        <w:spacing w:after="200" w:line="360"/>
        <w:ind w:firstLine="431"/>
        <w:jc w:val="both"/>
      </w:pPr>
      <w:r>
        <w:rPr>
          <w:rFonts w:ascii="微軟正黑體" w:cs="微軟正黑體" w:eastAsia="微軟正黑體" w:hAnsi="微軟正黑體"/>
          <w:sz w:val="22"/>
          <w:szCs w:val="22"/>
        </w:rPr>
        <w:t xml:space="preserve">職位分類是人事管理基礎,係對事而非對人分類。西方有二基本類型:品位分類制(Rank Classification)以人為中心,依人員資格地位分等,官等可有官無職,具彈性與名位激勵效果,但易有官大職小;職位分類制(Position Classification)以事為中心,依工作性質、難易、責任、資格條件區分為職系、職等、職級,符合同工同酬、專業分工,但程序繁複、彈性低。我國採官等職等並立制(併立制),兼具二者:官等分簡任(10-14職等,國家元首任命)、薦任(6-9職等,用人機關薦請總統任命)、委任(1-5職等,用人機關委任);職等分為1至14等,為職責程度區分;職系為工作性質與學識相似之職務集合,計96職系;職組為性質相近職系集合,計43職組。此制兼顧激勵與專業,但亦有列等僵化、升遷塞車等問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2542"/>
        <w:gridCol w:w="2542"/>
        <w:gridCol w:w="2542"/>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官等</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職等</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任命權</w:t>
            </w:r>
          </w:p>
        </w:tc>
        <w:tc>
          <w:tcPr>
            <w:tcW w:type="dxa" w:w="2542"/>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任用資格來源</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簡任</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10-14職等</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總統任命</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高考一級、一等特考升等</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薦任</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6-9職等</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總統任命(薦舉)</w:t>
            </w:r>
          </w:p>
        </w:tc>
        <w:tc>
          <w:tcPr>
            <w:tcW w:type="dxa" w:w="2542"/>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高考二、三級、二、三等特考</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委任</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1-5職等</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用人機關任命</w:t>
            </w:r>
          </w:p>
        </w:tc>
        <w:tc>
          <w:tcPr>
            <w:tcW w:type="dxa" w:w="2542"/>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普考、四等特考、初考</w:t>
            </w:r>
          </w:p>
        </w:tc>
      </w:tr>
    </w:tbl>
    <w:p>
      <w:pPr>
        <w:spacing w:after="280" w:before="120"/>
        <w:jc w:val="center"/>
      </w:pPr>
      <w:r>
        <w:rPr>
          <w:rFonts w:ascii="微軟正黑體" w:cs="微軟正黑體" w:eastAsia="微軟正黑體" w:hAnsi="微軟正黑體"/>
          <w:i/>
          <w:iCs/>
          <w:color w:val="555555"/>
          <w:sz w:val="18"/>
          <w:szCs w:val="18"/>
        </w:rPr>
        <w:t xml:space="preserve">表22-3　我國官等職等並立制對照</w:t>
      </w:r>
    </w:p>
    <w:p>
      <w:pPr>
        <w:spacing w:after="180" w:before="360"/>
      </w:pPr>
      <w:r>
        <w:rPr>
          <w:rFonts w:ascii="微軟正黑體" w:cs="微軟正黑體" w:eastAsia="微軟正黑體" w:hAnsi="微軟正黑體"/>
          <w:b/>
          <w:bCs/>
          <w:color w:val="1F4E79"/>
          <w:sz w:val="26"/>
          <w:szCs w:val="26"/>
        </w:rPr>
        <w:t xml:space="preserve">第三節　甄補:考選與任用</w:t>
      </w:r>
    </w:p>
    <w:p>
      <w:pPr>
        <w:spacing w:after="200" w:line="360"/>
        <w:ind w:firstLine="431"/>
        <w:jc w:val="both"/>
      </w:pPr>
      <w:r>
        <w:rPr>
          <w:rFonts w:ascii="微軟正黑體" w:cs="微軟正黑體" w:eastAsia="微軟正黑體" w:hAnsi="微軟正黑體"/>
          <w:sz w:val="22"/>
          <w:szCs w:val="22"/>
        </w:rPr>
        <w:t xml:space="preserve">甄補(Staffing)包括招募、甄選與任用,為組織獲取人力之端口。公務員甄選基本原則為公開競爭、擇優錄取、平等機會、程序與實質公平。程序公平指公開競爭、考試方法多元與標準一致;實質公平指考試效度能預測未來績效,兼顧平權措施。我國採集中式考選權,由考選部主辦,採資格考與任用考結合,錄取者分發任用。我國公務人員考試分高等、普通、初等及特種考試(因應特殊機關性質或保障原住民族、身心障礙者就業權益),考試方法包括筆試、口試、心理測驗、體能測驗與實地測驗等,現代考選趨向職能導向,重視情境判斷測驗與結構式面試。</w:t>
      </w:r>
    </w:p>
    <w:p>
      <w:pPr>
        <w:spacing w:after="200" w:line="360"/>
        <w:ind w:firstLine="431"/>
        <w:jc w:val="both"/>
      </w:pPr>
      <w:r>
        <w:rPr>
          <w:rFonts w:ascii="微軟正黑體" w:cs="微軟正黑體" w:eastAsia="微軟正黑體" w:hAnsi="微軟正黑體"/>
          <w:sz w:val="22"/>
          <w:szCs w:val="22"/>
        </w:rPr>
        <w:t xml:space="preserve">任用指依法派代、送審、銓敘與任命之過程,我國任用依官等職等,兼顧學歷、考試等級與職系專長,強調因事擇人,任用來源有初任、升任、轉任、調任。政務官與事務官區分是任用體制重要面向:政務官基於政治信任,職務具政策性、隨政黨進退、負政治責任;事務官基於功績考試,職務具管理與事務性、受身分保障、負行政與法律責任。二者在進入途徑、角色功能、責任類型、任期與退撫皆有差異,此區分旨在兼顧民主回應與行政專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政務官</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事務官</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進入方式</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政治任命</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考選及格</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角色</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政策決定、政務領導</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政策執行、專業管理</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政治責任為主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行政與法律責任為主</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任期保障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隨政黨進退,無身分保障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受憲法保障,屆齡退休</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退撫</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適用政務人員退撫條例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適用公務人員退撫法</w:t>
            </w:r>
          </w:p>
        </w:tc>
      </w:tr>
    </w:tbl>
    <w:p>
      <w:pPr>
        <w:spacing w:after="280" w:before="120"/>
        <w:jc w:val="center"/>
      </w:pPr>
      <w:r>
        <w:rPr>
          <w:rFonts w:ascii="微軟正黑體" w:cs="微軟正黑體" w:eastAsia="微軟正黑體" w:hAnsi="微軟正黑體"/>
          <w:i/>
          <w:iCs/>
          <w:color w:val="555555"/>
          <w:sz w:val="18"/>
          <w:szCs w:val="18"/>
        </w:rPr>
        <w:t xml:space="preserve">表22-4　政務官與事務官之比較</w:t>
      </w:r>
    </w:p>
    <w:p>
      <w:pPr>
        <w:spacing w:after="180" w:before="360"/>
      </w:pPr>
      <w:r>
        <w:rPr>
          <w:rFonts w:ascii="微軟正黑體" w:cs="微軟正黑體" w:eastAsia="微軟正黑體" w:hAnsi="微軟正黑體"/>
          <w:b/>
          <w:bCs/>
          <w:color w:val="1F4E79"/>
          <w:sz w:val="26"/>
          <w:szCs w:val="26"/>
        </w:rPr>
        <w:t xml:space="preserve">第四節　訓練與能力發展</w:t>
      </w:r>
    </w:p>
    <w:p>
      <w:pPr>
        <w:spacing w:after="200" w:line="360"/>
        <w:ind w:firstLine="431"/>
        <w:jc w:val="both"/>
      </w:pPr>
      <w:r>
        <w:rPr>
          <w:rFonts w:ascii="微軟正黑體" w:cs="微軟正黑體" w:eastAsia="微軟正黑體" w:hAnsi="微軟正黑體"/>
          <w:sz w:val="22"/>
          <w:szCs w:val="22"/>
        </w:rPr>
        <w:t xml:space="preserve">訓練是確保人力資本與組織目標同步之機制,分為基礎訓練、專業訓練、管理訓練與發展性訓練。我國訓練主管機關為保訓會及其所屬國家文官學院,負責考試錄取人員訓練、升任官等訓練與高階文官培訓;公務人力發展學院負責行政院所屬人員之在職訓練。依訓練進修法,公務人員享有終身學習機會,包含國內外進修、數位學習與職務輪調。傳統訓練方法包含講授法、個案法、角色扮演、情境模擬與行動學習,評鑑採Kirkpatrick四層次:反應、學習、行為改變與成果。近年由訓練轉向學習,強調70-20-10法則(70%在職體驗、20%社群學習、10%正式課程)、微學習與數位學習,AI時代更需重視數位職能與AI素養,從工具使用提升至倫理反思與批判思考。</w:t>
      </w:r>
    </w:p>
    <w:p>
      <w:pPr>
        <w:spacing w:after="180" w:before="360"/>
      </w:pPr>
      <w:r>
        <w:rPr>
          <w:rFonts w:ascii="微軟正黑體" w:cs="微軟正黑體" w:eastAsia="微軟正黑體" w:hAnsi="微軟正黑體"/>
          <w:b/>
          <w:bCs/>
          <w:color w:val="1F4E79"/>
          <w:sz w:val="26"/>
          <w:szCs w:val="26"/>
        </w:rPr>
        <w:t xml:space="preserve">第五節　考績與課責</w:t>
      </w:r>
    </w:p>
    <w:p>
      <w:pPr>
        <w:spacing w:after="200" w:line="360"/>
        <w:ind w:firstLine="431"/>
        <w:jc w:val="both"/>
      </w:pPr>
      <w:r>
        <w:rPr>
          <w:rFonts w:ascii="微軟正黑體" w:cs="微軟正黑體" w:eastAsia="微軟正黑體" w:hAnsi="微軟正黑體"/>
          <w:sz w:val="22"/>
          <w:szCs w:val="22"/>
        </w:rPr>
        <w:t xml:space="preserve">考績是人事管理核心,功能在獎優汰劣、回饋激勵、作為俸給、升遷、訓練與汰除依據。我國考績種類依考績法分為年終考績、另予考績與專案考績。年終考績綜合工作(65%)、操行(15%)、學識(10%)、才能(10%)評分,等第分甲(80分以上)、乙(70-79)、丙(60-69)、丁(60以下)。另予考績係年中任職未滿一年或重大功過者辦理;專案考績係有重大功過且影響機關績效者,一次記二大功或二大過,二大過即予免職。考績程序須經考績委員會初評與覆核,該會由機關首長指定與票選委員組成,任一性別不得低於三分之一,以確保民主參與與程序正義。年終考績結果須送銓敘部銓敘審定。考績救濟依保障法可提起申訴與再申訴,懲戒與懲處體系並行:懲處屬行政內部處分(申誡、記過等),懲戒則由監察院移送懲戒法院審理,處分包含免職、撤職、減俸、罰款等,並已改革兼顧正當程序與再審保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項目</w:t>
            </w:r>
          </w:p>
        </w:tc>
        <w:tc>
          <w:tcPr>
            <w:tcW w:type="dxa" w:w="6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制度設計</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種類</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年終考績、另予考績、專案考績</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評分構面</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工作65%、操行15%、學識10%、才能10%</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等第</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甲等80分以上、乙等70-79、丙等60-69、丁等未滿60</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程序</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主管評擬→考績委員會初核→機關長官覆核→銓敘部審定</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效果</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甲等晉本俸一級並給與獎金;乙等以上始得升等;丙等留原俸;丁等免職;連續二年丙等或累積亦有汰除機制</w:t>
            </w:r>
          </w:p>
        </w:tc>
      </w:tr>
    </w:tbl>
    <w:p>
      <w:pPr>
        <w:spacing w:after="280" w:before="120"/>
        <w:jc w:val="center"/>
      </w:pPr>
      <w:r>
        <w:rPr>
          <w:rFonts w:ascii="微軟正黑體" w:cs="微軟正黑體" w:eastAsia="微軟正黑體" w:hAnsi="微軟正黑體"/>
          <w:i/>
          <w:iCs/>
          <w:color w:val="555555"/>
          <w:sz w:val="18"/>
          <w:szCs w:val="18"/>
        </w:rPr>
        <w:t xml:space="preserve">表22-5　公務人員考績制度要點</w:t>
      </w:r>
    </w:p>
    <w:p>
      <w:pPr>
        <w:spacing w:after="180" w:before="360"/>
      </w:pPr>
      <w:r>
        <w:rPr>
          <w:rFonts w:ascii="微軟正黑體" w:cs="微軟正黑體" w:eastAsia="微軟正黑體" w:hAnsi="微軟正黑體"/>
          <w:b/>
          <w:bCs/>
          <w:color w:val="1F4E79"/>
          <w:sz w:val="26"/>
          <w:szCs w:val="26"/>
        </w:rPr>
        <w:t xml:space="preserve">第六節　俸給、保障與倫理</w:t>
      </w:r>
    </w:p>
    <w:p>
      <w:pPr>
        <w:spacing w:after="140" w:before="260"/>
      </w:pPr>
      <w:r>
        <w:rPr>
          <w:rFonts w:ascii="微軟正黑體" w:cs="微軟正黑體" w:eastAsia="微軟正黑體" w:hAnsi="微軟正黑體"/>
          <w:b/>
          <w:bCs/>
          <w:color w:val="2E5C8A"/>
          <w:sz w:val="23"/>
          <w:szCs w:val="23"/>
        </w:rPr>
        <w:t xml:space="preserve">一、俸給制度</w:t>
      </w:r>
    </w:p>
    <w:p>
      <w:pPr>
        <w:spacing w:after="200" w:line="360"/>
        <w:ind w:firstLine="431"/>
        <w:jc w:val="both"/>
      </w:pPr>
      <w:r>
        <w:rPr>
          <w:rFonts w:ascii="微軟正黑體" w:cs="微軟正黑體" w:eastAsia="微軟正黑體" w:hAnsi="微軟正黑體"/>
          <w:sz w:val="22"/>
          <w:szCs w:val="22"/>
        </w:rPr>
        <w:t xml:space="preserve">俸給是公務員提供勞務之對價,具吸引、留才與激勵功能。決定因素包括經濟考量(社會總體生產力)、市場薪資比較、社會倫理(維持適當生活水準)及福利配套。公平性含內部衡平(同工同酬)、外部衡平(與市場行情相當)與個人衡平(符合個人績效)。我國俸給依俸給法分為本俸(各職等基本給與)、年功俸(高於本俸最高俸級之給與)與加給,加給包括職務加給(主管、危險、繁重)、技術或專業加給、地域加給(邊遠、離島)。年功俸設計旨在激勵久任,但亦有年資主義過重之爭議。相對於私部門,公部門較少績效獎金,但近年試辦績效加給與彈性薪給。</w:t>
      </w:r>
    </w:p>
    <w:p>
      <w:pPr>
        <w:spacing w:after="140" w:before="260"/>
      </w:pPr>
      <w:r>
        <w:rPr>
          <w:rFonts w:ascii="微軟正黑體" w:cs="微軟正黑體" w:eastAsia="微軟正黑體" w:hAnsi="微軟正黑體"/>
          <w:b/>
          <w:bCs/>
          <w:color w:val="2E5C8A"/>
          <w:sz w:val="23"/>
          <w:szCs w:val="23"/>
        </w:rPr>
        <w:t xml:space="preserve">二、公務人員權利保障與倫理</w:t>
      </w:r>
    </w:p>
    <w:p>
      <w:pPr>
        <w:spacing w:after="200" w:line="360"/>
        <w:ind w:firstLine="431"/>
        <w:jc w:val="both"/>
      </w:pPr>
      <w:r>
        <w:rPr>
          <w:rFonts w:ascii="微軟正黑體" w:cs="微軟正黑體" w:eastAsia="微軟正黑體" w:hAnsi="微軟正黑體"/>
          <w:sz w:val="22"/>
          <w:szCs w:val="22"/>
        </w:rPr>
        <w:t xml:space="preserve">公務員與國家關係已由特別權力關係理論轉向公法上職務關係,強調法律保留與基本權保障。特別權力關係特徵為當事人不平等、義務不確定、無懲戒救濟;現代則透過基礎關係與管理關係區分,重要事項須法律明定。我國保障法制包括身分保障(非依法律不得停職、免職)、財產權保障(俸給、退休金)、執行職務保障與救濟權(對違法處分得提復審、對不當管理措施得提申訴、再申訴)。公務人員保障法第77至84條明定之申訴、再申訴程序,正是公務人員面對不當管理措施(包括未來可能出現之演算法管理措施)時,得以行使專業異議之法定管道——這項制度設計,在AI輔助人事決策日益普及的今日,其重要性不減反增。</w:t>
      </w:r>
    </w:p>
    <w:p>
      <w:pPr>
        <w:spacing w:after="200" w:line="360"/>
        <w:ind w:firstLine="431"/>
        <w:jc w:val="both"/>
      </w:pPr>
      <w:r>
        <w:rPr>
          <w:rFonts w:ascii="微軟正黑體" w:cs="微軟正黑體" w:eastAsia="微軟正黑體" w:hAnsi="微軟正黑體"/>
          <w:sz w:val="22"/>
          <w:szCs w:val="22"/>
        </w:rPr>
        <w:t xml:space="preserve">勞動權方面,勞動三權(團結權、協商權、爭議權/罷工權)在公部門受限:我國允許籌組公務人員協會,具準工會性質,有團結與協商權,但基於公共利益與政府運作不中斷,禁止罷工,各國例外僅法國等少數允許。平權措施(Affirmative Action)亦為人事多元重要環節,透過特種考試保障原住民族、身心障礙者就業,落實代表性官僚與社會公平。倫理面向包括行政中立、利益迴避與廉政,公務人員行政中立法規範政治活動限制,確保依法行政。</w:t>
      </w:r>
    </w:p>
    <w:p>
      <w:r>
        <w:rPr>
          <w:b/>
          <w:sz w:val="22"/>
        </w:rPr>
        <w:t>概念圖22-B　臺灣人事治理的「考銓法制＋行政執行」雙軌結構</w:t>
      </w:r>
    </w:p>
    <w:tbl>
      <w:tblPr>
        <w:tblW w:type="auto" w:w="0"/>
        <w:jc w:val="center"/>
        <w:tblLook w:firstColumn="1" w:firstRow="1" w:lastColumn="0" w:lastRow="0" w:noHBand="0" w:noVBand="1" w:val="04A0"/>
      </w:tblPr>
      <w:tblGrid>
        <w:gridCol w:w="3009"/>
        <w:gridCol w:w="3009"/>
        <w:gridCol w:w="3009"/>
      </w:tblGrid>
      <w:tr>
        <w:tc>
          <w:tcPr>
            <w:tcW w:type="dxa" w:w="3009"/>
            <w:vAlign w:val="center"/>
            <w:shd w:fill="D9EAF7"/>
          </w:tcPr>
          <w:p>
            <w:r/>
            <w:r>
              <w:rPr>
                <w:b/>
                <w:sz w:val="17"/>
              </w:rPr>
              <w:t>制度位置</w:t>
            </w:r>
          </w:p>
        </w:tc>
        <w:tc>
          <w:tcPr>
            <w:tcW w:type="dxa" w:w="3009"/>
            <w:vAlign w:val="center"/>
            <w:shd w:fill="D9EAF7"/>
          </w:tcPr>
          <w:p>
            <w:r/>
            <w:r>
              <w:rPr>
                <w:b/>
                <w:sz w:val="17"/>
              </w:rPr>
              <w:t>主要功能</w:t>
            </w:r>
          </w:p>
        </w:tc>
        <w:tc>
          <w:tcPr>
            <w:tcW w:type="dxa" w:w="3009"/>
            <w:vAlign w:val="center"/>
            <w:shd w:fill="D9EAF7"/>
          </w:tcPr>
          <w:p>
            <w:r/>
            <w:r>
              <w:rPr>
                <w:b/>
                <w:sz w:val="17"/>
              </w:rPr>
              <w:t>治理意義</w:t>
            </w:r>
          </w:p>
        </w:tc>
      </w:tr>
      <w:tr>
        <w:tc>
          <w:tcPr>
            <w:tcW w:type="dxa" w:w="3009"/>
            <w:vAlign w:val="center"/>
          </w:tcPr>
          <w:p>
            <w:r/>
            <w:r>
              <w:rPr>
                <w:b w:val="0"/>
                <w:sz w:val="17"/>
              </w:rPr>
              <w:t>考試院體系</w:t>
            </w:r>
          </w:p>
        </w:tc>
        <w:tc>
          <w:tcPr>
            <w:tcW w:type="dxa" w:w="3009"/>
            <w:vAlign w:val="center"/>
          </w:tcPr>
          <w:p>
            <w:r/>
            <w:r>
              <w:rPr>
                <w:b w:val="0"/>
                <w:sz w:val="17"/>
              </w:rPr>
              <w:t>考試、銓敘、保障、撫卹、退休等考銓法制事項</w:t>
            </w:r>
          </w:p>
        </w:tc>
        <w:tc>
          <w:tcPr>
            <w:tcW w:type="dxa" w:w="3009"/>
            <w:vAlign w:val="center"/>
          </w:tcPr>
          <w:p>
            <w:r/>
            <w:r>
              <w:rPr>
                <w:b w:val="0"/>
                <w:sz w:val="17"/>
              </w:rPr>
              <w:t>維持功績制、保障與制度中立</w:t>
            </w:r>
          </w:p>
        </w:tc>
      </w:tr>
      <w:tr>
        <w:tc>
          <w:tcPr>
            <w:tcW w:type="dxa" w:w="3009"/>
            <w:vAlign w:val="center"/>
          </w:tcPr>
          <w:p>
            <w:r/>
            <w:r>
              <w:rPr>
                <w:b w:val="0"/>
                <w:sz w:val="17"/>
              </w:rPr>
              <w:t>行政院人事行政總處</w:t>
            </w:r>
          </w:p>
        </w:tc>
        <w:tc>
          <w:tcPr>
            <w:tcW w:type="dxa" w:w="3009"/>
            <w:vAlign w:val="center"/>
          </w:tcPr>
          <w:p>
            <w:r/>
            <w:r>
              <w:rPr>
                <w:b w:val="0"/>
                <w:sz w:val="17"/>
              </w:rPr>
              <w:t>人事政策、組織員額、任免、訓練、考績、給與與福利等規劃推動</w:t>
            </w:r>
          </w:p>
        </w:tc>
        <w:tc>
          <w:tcPr>
            <w:tcW w:type="dxa" w:w="3009"/>
            <w:vAlign w:val="center"/>
          </w:tcPr>
          <w:p>
            <w:r/>
            <w:r>
              <w:rPr>
                <w:b w:val="0"/>
                <w:sz w:val="17"/>
              </w:rPr>
              <w:t>把考銓制度轉化為行政管理實務</w:t>
            </w:r>
          </w:p>
        </w:tc>
      </w:tr>
      <w:tr>
        <w:tc>
          <w:tcPr>
            <w:tcW w:type="dxa" w:w="3009"/>
            <w:vAlign w:val="center"/>
          </w:tcPr>
          <w:p>
            <w:r/>
            <w:r>
              <w:rPr>
                <w:b w:val="0"/>
                <w:sz w:val="17"/>
              </w:rPr>
              <w:t>各機關人事單位</w:t>
            </w:r>
          </w:p>
        </w:tc>
        <w:tc>
          <w:tcPr>
            <w:tcW w:type="dxa" w:w="3009"/>
            <w:vAlign w:val="center"/>
          </w:tcPr>
          <w:p>
            <w:r/>
            <w:r>
              <w:rPr>
                <w:b w:val="0"/>
                <w:sz w:val="17"/>
              </w:rPr>
              <w:t>依法執行甄補、任免、考績、訓練、福利與人事服務</w:t>
            </w:r>
          </w:p>
        </w:tc>
        <w:tc>
          <w:tcPr>
            <w:tcW w:type="dxa" w:w="3009"/>
            <w:vAlign w:val="center"/>
          </w:tcPr>
          <w:p>
            <w:r/>
            <w:r>
              <w:rPr>
                <w:b w:val="0"/>
                <w:sz w:val="17"/>
              </w:rPr>
              <w:t>連結制度規範與第一線人力管理</w:t>
            </w:r>
          </w:p>
        </w:tc>
      </w:tr>
      <w:tr>
        <w:tc>
          <w:tcPr>
            <w:tcW w:type="dxa" w:w="3009"/>
            <w:vAlign w:val="center"/>
          </w:tcPr>
          <w:p>
            <w:r/>
            <w:r>
              <w:rPr>
                <w:b w:val="0"/>
                <w:sz w:val="17"/>
              </w:rPr>
              <w:t>AI治理介面</w:t>
            </w:r>
          </w:p>
        </w:tc>
        <w:tc>
          <w:tcPr>
            <w:tcW w:type="dxa" w:w="3009"/>
            <w:vAlign w:val="center"/>
          </w:tcPr>
          <w:p>
            <w:r/>
            <w:r>
              <w:rPr>
                <w:b w:val="0"/>
                <w:sz w:val="17"/>
              </w:rPr>
              <w:t>履歷篩選、職能分析、訓練推薦、考績輔助等</w:t>
            </w:r>
          </w:p>
        </w:tc>
        <w:tc>
          <w:tcPr>
            <w:tcW w:type="dxa" w:w="3009"/>
            <w:vAlign w:val="center"/>
          </w:tcPr>
          <w:p>
            <w:r/>
            <w:r>
              <w:rPr>
                <w:b w:val="0"/>
                <w:sz w:val="17"/>
              </w:rPr>
              <w:t>新增公平、隱私、可解釋與人類覆核要求</w:t>
            </w:r>
          </w:p>
        </w:tc>
      </w:tr>
    </w:tbl>
    <w:p>
      <w:r>
        <w:rPr>
          <w:i/>
          <w:sz w:val="16"/>
        </w:rPr>
        <w:t>資料來源：本章臺灣制度整理；考試院與行政院人事行政總處現行制度資料。AI部分參照 OECD (2025, 2026)。本圖為本書制度—功能整合圖。</w:t>
      </w:r>
    </w:p>
    <w:p>
      <w:pPr/>
      <w:r>
        <w:t>【臺灣公務員制度補充：考試權、人事行政與常任文官】</w:t>
      </w:r>
    </w:p>
    <w:p>
      <w:pPr/>
      <w:r>
        <w:t>本章以人事管理為主題，不能只停留在一般性的人力資源管理理論；若以臺灣政府為分析對象，必須把「考試權—人事行政—常任文官」的制度安排放回憲政與法制脈絡。依考試院現行說明，考試院為國家最高考試機關，掌理考試、公務人員銓敘、保障、撫卹、退休，以及任免、考績、級俸、陞遷、褒獎等法制事項；所屬考選部、銓敘部與公務人員保障暨培訓委員會分別承擔考選、銓敘與保障培訓等職能。這使臺灣的人事管理具有明顯的憲政分權特色，而非單純由行政首長統一掌握人事權。</w:t>
      </w:r>
    </w:p>
    <w:p>
      <w:pPr/>
      <w:r>
        <w:t>在行政部門內，行政院人事行政總處負責人事行政政策的規劃、執行與發展，並就行政院所屬機關的人事法制、組織與員額、人員任免、訓練、考績、給與、退休福利等事項進行規劃與推動；其考銓業務並受考試院監督。因此，臺灣人事制度可理解為「考試院的考銓法制與監督」加上「行政體系的人事行政執行」的雙軌結構。</w:t>
      </w:r>
    </w:p>
    <w:p>
      <w:pPr/>
      <w:r>
        <w:t>從人事管理的角度看，這套制度的核心不是單純把人員「管好」，而是以功績、專業、行政中立與保障等原則，建立能長期累積專業能力的常任文官體系。公務人員任用法現行規定明示任用應本專才、專業、適才、適所之旨，強調人與事的適切配合；這正好把本章前述的功績制與職位分類，落實到臺灣的制度實務。</w:t>
      </w:r>
    </w:p>
    <w:p>
      <w:pPr/>
      <w:r>
        <w:t>表22-X　臺灣公務員制度與人事管理的制度—功能—績效連結</w:t>
      </w:r>
    </w:p>
    <w:p>
      <w:pPr>
        <w:jc w:val="center"/>
      </w:pPr>
      <w:r>
        <w:t>圖22-1　臺灣公務員制度與人事管理治理循環</w:t>
      </w:r>
    </w:p>
    <w:p>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圖22-1_台灣公務員制度與人事管理治理循環_平衡版.png"/>
                    <pic:cNvPicPr/>
                  </pic:nvPicPr>
                  <pic:blipFill>
                    <a:blip r:embed="rId8"/>
                    <a:stretch>
                      <a:fillRect/>
                    </a:stretch>
                  </pic:blipFill>
                  <pic:spPr>
                    <a:xfrm>
                      <a:off x="0" y="0"/>
                      <a:ext cx="6126480" cy="3446145"/>
                    </a:xfrm>
                    <a:prstGeom prst="rect"/>
                  </pic:spPr>
                </pic:pic>
              </a:graphicData>
            </a:graphic>
          </wp:inline>
        </w:drawing>
      </w:r>
    </w:p>
    <w:p>
      <w:pPr/>
      <w:r>
        <w:t>圖22-1將本章焦點收束於「人」：憲政與人事法制界定權責，考試、任用、訓練、考績、俸給、保障與倫理共同形成公務人力能力，AI人事治理則在此基礎上加入公平、隱私、可解釋與人類覆核要求。下一章再由「錢」與「績效」接手，討論資源如何配置、執行、衡量並接受決算與審計。</w:t>
      </w:r>
    </w:p>
    <w:p>
      <w:r>
        <w:rPr>
          <w:b/>
          <w:sz w:val="22"/>
        </w:rPr>
        <w:t>概念圖22-C　公務人力生命週期：傳統功能與AI介入點</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生命週期</w:t>
            </w:r>
          </w:p>
        </w:tc>
        <w:tc>
          <w:tcPr>
            <w:tcW w:type="dxa" w:w="2256"/>
            <w:vAlign w:val="center"/>
            <w:shd w:fill="D9EAF7"/>
          </w:tcPr>
          <w:p>
            <w:r/>
            <w:r>
              <w:rPr>
                <w:b/>
                <w:sz w:val="17"/>
              </w:rPr>
              <w:t>傳統核心</w:t>
            </w:r>
          </w:p>
        </w:tc>
        <w:tc>
          <w:tcPr>
            <w:tcW w:type="dxa" w:w="2256"/>
            <w:vAlign w:val="center"/>
            <w:shd w:fill="D9EAF7"/>
          </w:tcPr>
          <w:p>
            <w:r/>
            <w:r>
              <w:rPr>
                <w:b/>
                <w:sz w:val="17"/>
              </w:rPr>
              <w:t>AI可能介入</w:t>
            </w:r>
          </w:p>
        </w:tc>
        <w:tc>
          <w:tcPr>
            <w:tcW w:type="dxa" w:w="2256"/>
            <w:vAlign w:val="center"/>
            <w:shd w:fill="D9EAF7"/>
          </w:tcPr>
          <w:p>
            <w:r/>
            <w:r>
              <w:rPr>
                <w:b/>
                <w:sz w:val="17"/>
              </w:rPr>
              <w:t>不可外包的判斷</w:t>
            </w:r>
          </w:p>
        </w:tc>
      </w:tr>
      <w:tr>
        <w:tc>
          <w:tcPr>
            <w:tcW w:type="dxa" w:w="2256"/>
            <w:vAlign w:val="center"/>
          </w:tcPr>
          <w:p>
            <w:r/>
            <w:r>
              <w:rPr>
                <w:b w:val="0"/>
                <w:sz w:val="17"/>
              </w:rPr>
              <w:t>甄補</w:t>
            </w:r>
          </w:p>
        </w:tc>
        <w:tc>
          <w:tcPr>
            <w:tcW w:type="dxa" w:w="2256"/>
            <w:vAlign w:val="center"/>
          </w:tcPr>
          <w:p>
            <w:r/>
            <w:r>
              <w:rPr>
                <w:b w:val="0"/>
                <w:sz w:val="17"/>
              </w:rPr>
              <w:t>考選、任用</w:t>
            </w:r>
          </w:p>
        </w:tc>
        <w:tc>
          <w:tcPr>
            <w:tcW w:type="dxa" w:w="2256"/>
            <w:vAlign w:val="center"/>
          </w:tcPr>
          <w:p>
            <w:r/>
            <w:r>
              <w:rPr>
                <w:b w:val="0"/>
                <w:sz w:val="17"/>
              </w:rPr>
              <w:t>履歷整理、職能比對、候選人排序</w:t>
            </w:r>
          </w:p>
        </w:tc>
        <w:tc>
          <w:tcPr>
            <w:tcW w:type="dxa" w:w="2256"/>
            <w:vAlign w:val="center"/>
          </w:tcPr>
          <w:p>
            <w:r/>
            <w:r>
              <w:rPr>
                <w:b w:val="0"/>
                <w:sz w:val="17"/>
              </w:rPr>
              <w:t>資格、公平、歧視風險與最終任用</w:t>
            </w:r>
          </w:p>
        </w:tc>
      </w:tr>
      <w:tr>
        <w:tc>
          <w:tcPr>
            <w:tcW w:type="dxa" w:w="2256"/>
            <w:vAlign w:val="center"/>
          </w:tcPr>
          <w:p>
            <w:r/>
            <w:r>
              <w:rPr>
                <w:b w:val="0"/>
                <w:sz w:val="17"/>
              </w:rPr>
              <w:t>訓練</w:t>
            </w:r>
          </w:p>
        </w:tc>
        <w:tc>
          <w:tcPr>
            <w:tcW w:type="dxa" w:w="2256"/>
            <w:vAlign w:val="center"/>
          </w:tcPr>
          <w:p>
            <w:r/>
            <w:r>
              <w:rPr>
                <w:b w:val="0"/>
                <w:sz w:val="17"/>
              </w:rPr>
              <w:t>需求分析、課程、培訓</w:t>
            </w:r>
          </w:p>
        </w:tc>
        <w:tc>
          <w:tcPr>
            <w:tcW w:type="dxa" w:w="2256"/>
            <w:vAlign w:val="center"/>
          </w:tcPr>
          <w:p>
            <w:r/>
            <w:r>
              <w:rPr>
                <w:b w:val="0"/>
                <w:sz w:val="17"/>
              </w:rPr>
              <w:t>個人化學習、能力缺口分析</w:t>
            </w:r>
          </w:p>
        </w:tc>
        <w:tc>
          <w:tcPr>
            <w:tcW w:type="dxa" w:w="2256"/>
            <w:vAlign w:val="center"/>
          </w:tcPr>
          <w:p>
            <w:r/>
            <w:r>
              <w:rPr>
                <w:b w:val="0"/>
                <w:sz w:val="17"/>
              </w:rPr>
              <w:t>訓練目的與職務需要</w:t>
            </w:r>
          </w:p>
        </w:tc>
      </w:tr>
      <w:tr>
        <w:tc>
          <w:tcPr>
            <w:tcW w:type="dxa" w:w="2256"/>
            <w:vAlign w:val="center"/>
          </w:tcPr>
          <w:p>
            <w:r/>
            <w:r>
              <w:rPr>
                <w:b w:val="0"/>
                <w:sz w:val="17"/>
              </w:rPr>
              <w:t>考績</w:t>
            </w:r>
          </w:p>
        </w:tc>
        <w:tc>
          <w:tcPr>
            <w:tcW w:type="dxa" w:w="2256"/>
            <w:vAlign w:val="center"/>
          </w:tcPr>
          <w:p>
            <w:r/>
            <w:r>
              <w:rPr>
                <w:b w:val="0"/>
                <w:sz w:val="17"/>
              </w:rPr>
              <w:t>目標、評核、獎懲</w:t>
            </w:r>
          </w:p>
        </w:tc>
        <w:tc>
          <w:tcPr>
            <w:tcW w:type="dxa" w:w="2256"/>
            <w:vAlign w:val="center"/>
          </w:tcPr>
          <w:p>
            <w:r/>
            <w:r>
              <w:rPr>
                <w:b w:val="0"/>
                <w:sz w:val="17"/>
              </w:rPr>
              <w:t>資料彙整、績效異常提示</w:t>
            </w:r>
          </w:p>
        </w:tc>
        <w:tc>
          <w:tcPr>
            <w:tcW w:type="dxa" w:w="2256"/>
            <w:vAlign w:val="center"/>
          </w:tcPr>
          <w:p>
            <w:r/>
            <w:r>
              <w:rPr>
                <w:b w:val="0"/>
                <w:sz w:val="17"/>
              </w:rPr>
              <w:t>正當程序、脈絡判斷與申訴權</w:t>
            </w:r>
          </w:p>
        </w:tc>
      </w:tr>
      <w:tr>
        <w:tc>
          <w:tcPr>
            <w:tcW w:type="dxa" w:w="2256"/>
            <w:vAlign w:val="center"/>
          </w:tcPr>
          <w:p>
            <w:r/>
            <w:r>
              <w:rPr>
                <w:b w:val="0"/>
                <w:sz w:val="17"/>
              </w:rPr>
              <w:t>俸給／升遷</w:t>
            </w:r>
          </w:p>
        </w:tc>
        <w:tc>
          <w:tcPr>
            <w:tcW w:type="dxa" w:w="2256"/>
            <w:vAlign w:val="center"/>
          </w:tcPr>
          <w:p>
            <w:r/>
            <w:r>
              <w:rPr>
                <w:b w:val="0"/>
                <w:sz w:val="17"/>
              </w:rPr>
              <w:t>級俸、陞遷、職涯</w:t>
            </w:r>
          </w:p>
        </w:tc>
        <w:tc>
          <w:tcPr>
            <w:tcW w:type="dxa" w:w="2256"/>
            <w:vAlign w:val="center"/>
          </w:tcPr>
          <w:p>
            <w:r/>
            <w:r>
              <w:rPr>
                <w:b w:val="0"/>
                <w:sz w:val="17"/>
              </w:rPr>
              <w:t>人力供需預測、職涯建議</w:t>
            </w:r>
          </w:p>
        </w:tc>
        <w:tc>
          <w:tcPr>
            <w:tcW w:type="dxa" w:w="2256"/>
            <w:vAlign w:val="center"/>
          </w:tcPr>
          <w:p>
            <w:r/>
            <w:r>
              <w:rPr>
                <w:b w:val="0"/>
                <w:sz w:val="17"/>
              </w:rPr>
              <w:t>公平、資格與制度一致性</w:t>
            </w:r>
          </w:p>
        </w:tc>
      </w:tr>
      <w:tr>
        <w:tc>
          <w:tcPr>
            <w:tcW w:type="dxa" w:w="2256"/>
            <w:vAlign w:val="center"/>
          </w:tcPr>
          <w:p>
            <w:r/>
            <w:r>
              <w:rPr>
                <w:b w:val="0"/>
                <w:sz w:val="17"/>
              </w:rPr>
              <w:t>保障／倫理</w:t>
            </w:r>
          </w:p>
        </w:tc>
        <w:tc>
          <w:tcPr>
            <w:tcW w:type="dxa" w:w="2256"/>
            <w:vAlign w:val="center"/>
          </w:tcPr>
          <w:p>
            <w:r/>
            <w:r>
              <w:rPr>
                <w:b w:val="0"/>
                <w:sz w:val="17"/>
              </w:rPr>
              <w:t>申訴、利益迴避、行政中立</w:t>
            </w:r>
          </w:p>
        </w:tc>
        <w:tc>
          <w:tcPr>
            <w:tcW w:type="dxa" w:w="2256"/>
            <w:vAlign w:val="center"/>
          </w:tcPr>
          <w:p>
            <w:r/>
            <w:r>
              <w:rPr>
                <w:b w:val="0"/>
                <w:sz w:val="17"/>
              </w:rPr>
              <w:t>案件分類與風險提示</w:t>
            </w:r>
          </w:p>
        </w:tc>
        <w:tc>
          <w:tcPr>
            <w:tcW w:type="dxa" w:w="2256"/>
            <w:vAlign w:val="center"/>
          </w:tcPr>
          <w:p>
            <w:r/>
            <w:r>
              <w:rPr>
                <w:b w:val="0"/>
                <w:sz w:val="17"/>
              </w:rPr>
              <w:t>權利保障、比例原則與責任歸屬</w:t>
            </w:r>
          </w:p>
        </w:tc>
      </w:tr>
    </w:tbl>
    <w:p>
      <w:r>
        <w:rPr>
          <w:i/>
          <w:sz w:val="16"/>
        </w:rPr>
        <w:t>資料來源：本章人事生命週期架構；OECD (2025), Governing with Artificial Intelligence；OECD (2026), Building an AI-ready public workforce。</w:t>
      </w:r>
    </w:p>
    <w:p>
      <w:pPr>
        <w:spacing w:after="180" w:before="360"/>
      </w:pPr>
      <w:r>
        <w:rPr>
          <w:rFonts w:ascii="微軟正黑體" w:cs="微軟正黑體" w:eastAsia="微軟正黑體" w:hAnsi="微軟正黑體"/>
          <w:b/>
          <w:bCs/>
          <w:color w:val="1F4E79"/>
          <w:sz w:val="26"/>
          <w:szCs w:val="26"/>
        </w:rPr>
        <w:t xml:space="preserve">第七節　AI時代人事管理變異與人機共構人力</w:t>
      </w:r>
    </w:p>
    <w:p>
      <w:pPr>
        <w:spacing w:after="200" w:line="360"/>
        <w:ind w:firstLine="431"/>
        <w:jc w:val="both"/>
      </w:pPr>
      <w:r>
        <w:rPr>
          <w:rFonts w:ascii="微軟正黑體" w:cs="微軟正黑體" w:eastAsia="微軟正黑體" w:hAnsi="微軟正黑體"/>
          <w:sz w:val="22"/>
          <w:szCs w:val="22"/>
        </w:rPr>
        <w:t xml:space="preserve">生成式AI與代理式AI正重塑人事管理全流程,從招募到離退皆出現人機共構(Human-Machine Teaming)新典範。傳統人事以人為唯一人力資本,AI時代則出現「人類公務員+AI代理人+機器人流程自動化」之混合人力,職務分析需新增AI協作任務,職能模型需納入AI素養,此非單純工具導入,而是典範轉移。</w:t>
      </w:r>
    </w:p>
    <w:p>
      <w:pPr>
        <w:spacing w:after="140" w:before="260"/>
      </w:pPr>
      <w:r>
        <w:rPr>
          <w:rFonts w:ascii="微軟正黑體" w:cs="微軟正黑體" w:eastAsia="微軟正黑體" w:hAnsi="微軟正黑體"/>
          <w:b/>
          <w:bCs/>
          <w:color w:val="2E5C8A"/>
          <w:sz w:val="23"/>
          <w:szCs w:val="23"/>
        </w:rPr>
        <w:t xml:space="preserve">一、甄補的變異:從履歷篩選到人才智慧匹配</w:t>
      </w:r>
    </w:p>
    <w:p>
      <w:pPr>
        <w:spacing w:after="200" w:line="360"/>
        <w:ind w:firstLine="431"/>
        <w:jc w:val="both"/>
      </w:pPr>
      <w:r>
        <w:rPr>
          <w:rFonts w:ascii="微軟正黑體" w:cs="微軟正黑體" w:eastAsia="微軟正黑體" w:hAnsi="微軟正黑體"/>
          <w:sz w:val="22"/>
          <w:szCs w:val="22"/>
        </w:rPr>
        <w:t xml:space="preserve">AI履歷篩選、智慧面試分析與職能預測已廣泛運用於私部門,透過自然語言處理,AI可快速解析履歷、預測適職度,縮短招募時間。但公共部門須警惕演算法偏見:若訓練資料反映既有性別、年齡、族群偏誤,AI可能複製不平等,違反平等就業與功績制核心。OECD(2023)與美國EEOC指引皆強調AI甄選須符合效度與公平性審計,公共部門趨勢為AI輔助但人類保留最終決定權(Human-in-the-Loop),並公開AI使用與評分邏輯。</w:t>
      </w:r>
    </w:p>
    <w:p>
      <w:pPr>
        <w:spacing w:after="140" w:before="260"/>
      </w:pPr>
      <w:r>
        <w:rPr>
          <w:rFonts w:ascii="微軟正黑體" w:cs="微軟正黑體" w:eastAsia="微軟正黑體" w:hAnsi="微軟正黑體"/>
          <w:b/>
          <w:bCs/>
          <w:color w:val="2E5C8A"/>
          <w:sz w:val="23"/>
          <w:szCs w:val="23"/>
        </w:rPr>
        <w:t xml:space="preserve">二、訓練的變異:AI素養成為核心職能</w:t>
      </w:r>
    </w:p>
    <w:p>
      <w:pPr>
        <w:spacing w:after="200" w:line="360"/>
        <w:ind w:firstLine="431"/>
        <w:jc w:val="both"/>
      </w:pPr>
      <w:r>
        <w:rPr>
          <w:rFonts w:ascii="微軟正黑體" w:cs="微軟正黑體" w:eastAsia="微軟正黑體" w:hAnsi="微軟正黑體"/>
          <w:sz w:val="22"/>
          <w:szCs w:val="22"/>
        </w:rPr>
        <w:t xml:space="preserve">公務員數位素養已不足,需提升至AI素養。參照我國數位發展部與國際框架,AI素養可分四層次:第一層AI認知(理解AI基本原理與限制)、第二層AI使用(能操作生成式AI提升公文、資料分析、法規檢索效率)、第三層AI評估與批判(能辨識幻覺、偏誤、隱私風險,進行提示工程與查證)、第四層AI倫理與治理(能在公共價值脈絡下設計AI政策、進行風險評估與課責設計)。此四層次對應一般同仁、主管、資訊人員與高階領導者之差異化訓練需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2913"/>
        <w:gridCol w:w="25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2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對象</w:t>
            </w:r>
          </w:p>
        </w:tc>
        <w:tc>
          <w:tcPr>
            <w:tcW w:type="dxa" w:w="29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核心能力</w:t>
            </w:r>
          </w:p>
        </w:tc>
        <w:tc>
          <w:tcPr>
            <w:tcW w:type="dxa" w:w="25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評量方式</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第一層:AI認知</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全體公務員</w:t>
            </w:r>
          </w:p>
        </w:tc>
        <w:tc>
          <w:tcPr>
            <w:tcW w:type="dxa" w:w="2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理解AI原理、能力界限、幻覺與偏見</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數位素養檢測、基礎課程時數</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第二層:AI使用</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一般公務員、承辦人</w:t>
            </w:r>
          </w:p>
        </w:tc>
        <w:tc>
          <w:tcPr>
            <w:tcW w:type="dxa" w:w="2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提示工程、公文輔助、資料視覺化、RPA</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實作演練、工作流程改善提案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第三層:AI評估與批判</w:t>
            </w:r>
          </w:p>
        </w:tc>
        <w:tc>
          <w:tcPr>
            <w:tcW w:type="dxa" w:w="2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主管與專業人員</w:t>
            </w:r>
          </w:p>
        </w:tc>
        <w:tc>
          <w:tcPr>
            <w:tcW w:type="dxa" w:w="29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驗證AI輸出、風險辨識、資料品質判斷</w:t>
            </w:r>
          </w:p>
        </w:tc>
        <w:tc>
          <w:tcPr>
            <w:tcW w:type="dxa" w:w="25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個案審查、風險評估報告</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第四層:AI倫理與治理</w:t>
            </w:r>
          </w:p>
        </w:tc>
        <w:tc>
          <w:tcPr>
            <w:tcW w:type="dxa" w:w="2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高階主管、AI專案負責人</w:t>
            </w:r>
          </w:p>
        </w:tc>
        <w:tc>
          <w:tcPr>
            <w:tcW w:type="dxa" w:w="29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AIA、治理框架設計、法制調適</w:t>
            </w:r>
          </w:p>
        </w:tc>
        <w:tc>
          <w:tcPr>
            <w:tcW w:type="dxa" w:w="25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政策影響評估、演算法稽核</w:t>
            </w:r>
          </w:p>
        </w:tc>
      </w:tr>
    </w:tbl>
    <w:p>
      <w:pPr>
        <w:spacing w:after="280" w:before="120"/>
        <w:jc w:val="center"/>
      </w:pPr>
      <w:r>
        <w:rPr>
          <w:rFonts w:ascii="微軟正黑體" w:cs="微軟正黑體" w:eastAsia="微軟正黑體" w:hAnsi="微軟正黑體"/>
          <w:i/>
          <w:iCs/>
          <w:color w:val="555555"/>
          <w:sz w:val="18"/>
          <w:szCs w:val="18"/>
        </w:rPr>
        <w:t xml:space="preserve">表22-6　公務員AI素養四層次</w:t>
      </w:r>
    </w:p>
    <w:p>
      <w:pPr>
        <w:spacing w:after="140" w:before="260"/>
      </w:pPr>
      <w:r>
        <w:rPr>
          <w:rFonts w:ascii="微軟正黑體" w:cs="微軟正黑體" w:eastAsia="微軟正黑體" w:hAnsi="微軟正黑體"/>
          <w:b/>
          <w:bCs/>
          <w:color w:val="2E5C8A"/>
          <w:sz w:val="23"/>
          <w:szCs w:val="23"/>
        </w:rPr>
        <w:t xml:space="preserve">三、考績的變異:演算法績效考核與選擇性服從</w:t>
      </w:r>
    </w:p>
    <w:p>
      <w:pPr>
        <w:spacing w:after="200" w:line="360"/>
        <w:ind w:firstLine="431"/>
        <w:jc w:val="both"/>
      </w:pPr>
      <w:r>
        <w:rPr>
          <w:rFonts w:ascii="微軟正黑體" w:cs="微軟正黑體" w:eastAsia="微軟正黑體" w:hAnsi="微軟正黑體"/>
          <w:sz w:val="22"/>
          <w:szCs w:val="22"/>
        </w:rPr>
        <w:t xml:space="preserve">AI使持續性績效監測成為可能,例如工單處理時效、民眾滿意度語意分析、協作網絡分析等可形成數據儀表板。然而,演算法績效考核若設計不當,易導致量化迷思、寒蟬效應與選擇性服從:同仁僅完成可被演算法測量之工作,忽略難以量化但具公共價值之同理、斡旋與關懷。國際研究(Bullock et al., 2023)指出,公共部門演算法管理須保留人類裁量空間,重視質性貢獻與團隊協作,避免「為數據而工作」。我國考績法雖以工作為主,但操行、學識、才能等面向,仍需質性觀察,非AI可完全取代。</w:t>
      </w:r>
    </w:p>
    <w:p>
      <w:pPr>
        <w:spacing w:after="140" w:before="260"/>
      </w:pPr>
      <w:r>
        <w:rPr>
          <w:rFonts w:ascii="微軟正黑體" w:cs="微軟正黑體" w:eastAsia="微軟正黑體" w:hAnsi="微軟正黑體"/>
          <w:b/>
          <w:bCs/>
          <w:color w:val="2E5C8A"/>
          <w:sz w:val="23"/>
          <w:szCs w:val="23"/>
        </w:rPr>
        <w:t xml:space="preserve">四、俸給的變異:從年資到技能之再平衡</w:t>
      </w:r>
    </w:p>
    <w:p>
      <w:pPr>
        <w:spacing w:after="200" w:line="360"/>
        <w:ind w:firstLine="431"/>
        <w:jc w:val="both"/>
      </w:pPr>
      <w:r>
        <w:rPr>
          <w:rFonts w:ascii="微軟正黑體" w:cs="微軟正黑體" w:eastAsia="微軟正黑體" w:hAnsi="微軟正黑體"/>
          <w:sz w:val="22"/>
          <w:szCs w:val="22"/>
        </w:rPr>
        <w:t xml:space="preserve">年功俸體現年資主義,在AI時代須再思考技能導向。為吸引AI與資安人才,行政院人事行政總處近年推動專案加給與彈性薪資,試辦資訊、資安加給與約聘高階人才彈性待遇。未來可研議AI加給(AI Allowance),針對具AI實務能力並應用於提升公共服務之人員,給予技術或專業加給,並建立技能認證機制,此需兼顧內部公平與財政可負擔,避免製造同工不同酬之相對剝奪感。</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人事功能</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傳統模式</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AI時代人機共構模式</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職位分析</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問卷與訪談,靜態職務說明書</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AI動態分析工作日誌與系統軌跡,生成動態職能地圖</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甄補</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人工履歷審查與紙筆測驗</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AI輔助初篩與性向預測,人類結構式面試與價值判斷</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訓練</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教室講授、統一課程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適性化、微學習、AI教練、沉浸式訓練</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考績</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主觀年終評定,年度一次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持續性績效數據輔助,AI提供行為錨定,主管保留質性判斷</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俸給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固定本俸年功俸為主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探索AI與數據加給、技能加給,彈性化</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倫理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行政中立、保密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新增演算法倫理、資料倫理、提示倫理</w:t>
            </w:r>
          </w:p>
        </w:tc>
      </w:tr>
    </w:tbl>
    <w:p>
      <w:pPr>
        <w:spacing w:after="280" w:before="120"/>
        <w:jc w:val="center"/>
      </w:pPr>
      <w:r>
        <w:rPr>
          <w:rFonts w:ascii="微軟正黑體" w:cs="微軟正黑體" w:eastAsia="微軟正黑體" w:hAnsi="微軟正黑體"/>
          <w:i/>
          <w:iCs/>
          <w:color w:val="555555"/>
          <w:sz w:val="18"/>
          <w:szCs w:val="18"/>
        </w:rPr>
        <w:t xml:space="preserve">表22-7　AI時代人事管理的功能變異與人機共構</w:t>
      </w:r>
    </w:p>
    <w:p>
      <w:r>
        <w:rPr>
          <w:b/>
          <w:sz w:val="22"/>
        </w:rPr>
        <w:t>概念圖22-D　AI人事治理的四道防線</w:t>
      </w:r>
    </w:p>
    <w:tbl>
      <w:tblPr>
        <w:tblW w:type="auto" w:w="0"/>
        <w:jc w:val="center"/>
        <w:tblLook w:firstColumn="1" w:firstRow="1" w:lastColumn="0" w:lastRow="0" w:noHBand="0" w:noVBand="1" w:val="04A0"/>
      </w:tblPr>
      <w:tblGrid>
        <w:gridCol w:w="2256"/>
        <w:gridCol w:w="2256"/>
        <w:gridCol w:w="2256"/>
        <w:gridCol w:w="2256"/>
      </w:tblGrid>
      <w:tr>
        <w:tc>
          <w:tcPr>
            <w:tcW w:type="dxa" w:w="2256"/>
            <w:vAlign w:val="center"/>
            <w:shd w:fill="D9EAF7"/>
          </w:tcPr>
          <w:p>
            <w:r/>
            <w:r>
              <w:rPr>
                <w:b/>
                <w:sz w:val="17"/>
              </w:rPr>
              <w:t>防線</w:t>
            </w:r>
          </w:p>
        </w:tc>
        <w:tc>
          <w:tcPr>
            <w:tcW w:type="dxa" w:w="2256"/>
            <w:vAlign w:val="center"/>
            <w:shd w:fill="D9EAF7"/>
          </w:tcPr>
          <w:p>
            <w:r/>
            <w:r>
              <w:rPr>
                <w:b/>
                <w:sz w:val="17"/>
              </w:rPr>
              <w:t>治理工具</w:t>
            </w:r>
          </w:p>
        </w:tc>
        <w:tc>
          <w:tcPr>
            <w:tcW w:type="dxa" w:w="2256"/>
            <w:vAlign w:val="center"/>
            <w:shd w:fill="D9EAF7"/>
          </w:tcPr>
          <w:p>
            <w:r/>
            <w:r>
              <w:rPr>
                <w:b/>
                <w:sz w:val="17"/>
              </w:rPr>
              <w:t>主要問題</w:t>
            </w:r>
          </w:p>
        </w:tc>
        <w:tc>
          <w:tcPr>
            <w:tcW w:type="dxa" w:w="2256"/>
            <w:vAlign w:val="center"/>
            <w:shd w:fill="D9EAF7"/>
          </w:tcPr>
          <w:p>
            <w:r/>
            <w:r>
              <w:rPr>
                <w:b/>
                <w:sz w:val="17"/>
              </w:rPr>
              <w:t>責任主體</w:t>
            </w:r>
          </w:p>
        </w:tc>
      </w:tr>
      <w:tr>
        <w:tc>
          <w:tcPr>
            <w:tcW w:type="dxa" w:w="2256"/>
            <w:vAlign w:val="center"/>
          </w:tcPr>
          <w:p>
            <w:r/>
            <w:r>
              <w:rPr>
                <w:b w:val="0"/>
                <w:sz w:val="17"/>
              </w:rPr>
              <w:t>1. 資料防線</w:t>
            </w:r>
          </w:p>
        </w:tc>
        <w:tc>
          <w:tcPr>
            <w:tcW w:type="dxa" w:w="2256"/>
            <w:vAlign w:val="center"/>
          </w:tcPr>
          <w:p>
            <w:r/>
            <w:r>
              <w:rPr>
                <w:b w:val="0"/>
                <w:sz w:val="17"/>
              </w:rPr>
              <w:t>資料盤點、最小化、代表性檢查</w:t>
            </w:r>
          </w:p>
        </w:tc>
        <w:tc>
          <w:tcPr>
            <w:tcW w:type="dxa" w:w="2256"/>
            <w:vAlign w:val="center"/>
          </w:tcPr>
          <w:p>
            <w:r/>
            <w:r>
              <w:rPr>
                <w:b w:val="0"/>
                <w:sz w:val="17"/>
              </w:rPr>
              <w:t>資料是否帶入既有偏誤？</w:t>
            </w:r>
          </w:p>
        </w:tc>
        <w:tc>
          <w:tcPr>
            <w:tcW w:type="dxa" w:w="2256"/>
            <w:vAlign w:val="center"/>
          </w:tcPr>
          <w:p>
            <w:r/>
            <w:r>
              <w:rPr>
                <w:b w:val="0"/>
                <w:sz w:val="17"/>
              </w:rPr>
              <w:t>資料治理／人事單位</w:t>
            </w:r>
          </w:p>
        </w:tc>
      </w:tr>
      <w:tr>
        <w:tc>
          <w:tcPr>
            <w:tcW w:type="dxa" w:w="2256"/>
            <w:vAlign w:val="center"/>
          </w:tcPr>
          <w:p>
            <w:r/>
            <w:r>
              <w:rPr>
                <w:b w:val="0"/>
                <w:sz w:val="17"/>
              </w:rPr>
              <w:t>2. 模型防線</w:t>
            </w:r>
          </w:p>
        </w:tc>
        <w:tc>
          <w:tcPr>
            <w:tcW w:type="dxa" w:w="2256"/>
            <w:vAlign w:val="center"/>
          </w:tcPr>
          <w:p>
            <w:r/>
            <w:r>
              <w:rPr>
                <w:b w:val="0"/>
                <w:sz w:val="17"/>
              </w:rPr>
              <w:t>模型卡、效度與公平性測試、AIA</w:t>
            </w:r>
          </w:p>
        </w:tc>
        <w:tc>
          <w:tcPr>
            <w:tcW w:type="dxa" w:w="2256"/>
            <w:vAlign w:val="center"/>
          </w:tcPr>
          <w:p>
            <w:r/>
            <w:r>
              <w:rPr>
                <w:b w:val="0"/>
                <w:sz w:val="17"/>
              </w:rPr>
              <w:t>模型是否適合此人事用途？</w:t>
            </w:r>
          </w:p>
        </w:tc>
        <w:tc>
          <w:tcPr>
            <w:tcW w:type="dxa" w:w="2256"/>
            <w:vAlign w:val="center"/>
          </w:tcPr>
          <w:p>
            <w:r/>
            <w:r>
              <w:rPr>
                <w:b w:val="0"/>
                <w:sz w:val="17"/>
              </w:rPr>
              <w:t>模型設計／採購／專業人員</w:t>
            </w:r>
          </w:p>
        </w:tc>
      </w:tr>
      <w:tr>
        <w:tc>
          <w:tcPr>
            <w:tcW w:type="dxa" w:w="2256"/>
            <w:vAlign w:val="center"/>
          </w:tcPr>
          <w:p>
            <w:r/>
            <w:r>
              <w:rPr>
                <w:b w:val="0"/>
                <w:sz w:val="17"/>
              </w:rPr>
              <w:t>3. 決策防線</w:t>
            </w:r>
          </w:p>
        </w:tc>
        <w:tc>
          <w:tcPr>
            <w:tcW w:type="dxa" w:w="2256"/>
            <w:vAlign w:val="center"/>
          </w:tcPr>
          <w:p>
            <w:r/>
            <w:r>
              <w:rPr>
                <w:b w:val="0"/>
                <w:sz w:val="17"/>
              </w:rPr>
              <w:t>HITL、人類覆核、裁量邊界</w:t>
            </w:r>
          </w:p>
        </w:tc>
        <w:tc>
          <w:tcPr>
            <w:tcW w:type="dxa" w:w="2256"/>
            <w:vAlign w:val="center"/>
          </w:tcPr>
          <w:p>
            <w:r/>
            <w:r>
              <w:rPr>
                <w:b w:val="0"/>
                <w:sz w:val="17"/>
              </w:rPr>
              <w:t>AI建議能否直接決定人事結果？</w:t>
            </w:r>
          </w:p>
        </w:tc>
        <w:tc>
          <w:tcPr>
            <w:tcW w:type="dxa" w:w="2256"/>
            <w:vAlign w:val="center"/>
          </w:tcPr>
          <w:p>
            <w:r/>
            <w:r>
              <w:rPr>
                <w:b w:val="0"/>
                <w:sz w:val="17"/>
              </w:rPr>
              <w:t>用人主管／考績或甄審機制</w:t>
            </w:r>
          </w:p>
        </w:tc>
      </w:tr>
      <w:tr>
        <w:tc>
          <w:tcPr>
            <w:tcW w:type="dxa" w:w="2256"/>
            <w:vAlign w:val="center"/>
          </w:tcPr>
          <w:p>
            <w:r/>
            <w:r>
              <w:rPr>
                <w:b w:val="0"/>
                <w:sz w:val="17"/>
              </w:rPr>
              <w:t>4. 救濟防線</w:t>
            </w:r>
          </w:p>
        </w:tc>
        <w:tc>
          <w:tcPr>
            <w:tcW w:type="dxa" w:w="2256"/>
            <w:vAlign w:val="center"/>
          </w:tcPr>
          <w:p>
            <w:r/>
            <w:r>
              <w:rPr>
                <w:b w:val="0"/>
                <w:sz w:val="17"/>
              </w:rPr>
              <w:t>異議、申訴、稽核日誌、矯正</w:t>
            </w:r>
          </w:p>
        </w:tc>
        <w:tc>
          <w:tcPr>
            <w:tcW w:type="dxa" w:w="2256"/>
            <w:vAlign w:val="center"/>
          </w:tcPr>
          <w:p>
            <w:r/>
            <w:r>
              <w:rPr>
                <w:b w:val="0"/>
                <w:sz w:val="17"/>
              </w:rPr>
              <w:t>錯誤發生後誰能挑戰、修正？</w:t>
            </w:r>
          </w:p>
        </w:tc>
        <w:tc>
          <w:tcPr>
            <w:tcW w:type="dxa" w:w="2256"/>
            <w:vAlign w:val="center"/>
          </w:tcPr>
          <w:p>
            <w:r/>
            <w:r>
              <w:rPr>
                <w:b w:val="0"/>
                <w:sz w:val="17"/>
              </w:rPr>
              <w:t>機關＋監督／救濟機制</w:t>
            </w:r>
          </w:p>
        </w:tc>
      </w:tr>
    </w:tbl>
    <w:p>
      <w:r>
        <w:rPr>
          <w:i/>
          <w:sz w:val="16"/>
        </w:rPr>
        <w:t>資料來源：本章AIA、模型卡、演算法審計與HITL架構；OECD (2025, 2026)。四道防線為本書分析工具。</w:t>
      </w:r>
    </w:p>
    <w:p>
      <w:pPr>
        <w:spacing w:after="180" w:before="360"/>
      </w:pPr>
      <w:r>
        <w:rPr>
          <w:rFonts w:ascii="微軟正黑體" w:cs="微軟正黑體" w:eastAsia="微軟正黑體" w:hAnsi="微軟正黑體"/>
          <w:b/>
          <w:bCs/>
          <w:color w:val="1F4E79"/>
          <w:sz w:val="26"/>
          <w:szCs w:val="26"/>
        </w:rPr>
        <w:t xml:space="preserve">第八節　AI治理專節:人事管理的AI轉型與人機共構人力</w:t>
      </w:r>
    </w:p>
    <w:p>
      <w:pPr>
        <w:spacing w:after="200" w:line="360"/>
        <w:ind w:firstLine="431"/>
        <w:jc w:val="both"/>
      </w:pPr>
      <w:r>
        <w:rPr>
          <w:rFonts w:ascii="微軟正黑體" w:cs="微軟正黑體" w:eastAsia="微軟正黑體" w:hAnsi="微軟正黑體"/>
          <w:sz w:val="22"/>
          <w:szCs w:val="22"/>
        </w:rPr>
        <w:t xml:space="preserve">人事領域AI轉型之核心,不在技術導入,而在如何維繫功績制與公共價值。治理挑戰有三:AI履歷篩選公平性、公務員AI素養落差、演算法績效考核信任危機。AI若以歷史錄取資料訓練,易學習並放大性別、年齡與族群偏誤,歐美已有履歷篩選系統排除女性與中高齡之案例,違反平等原則與功績精神;公務員若缺乏提示工程與查證能力,易產生過度依賴、幻覺誤用與個資外洩,擴大數位鴻溝;演算法績效考核若採持續監測與自動評分,易導致選擇性服從、寒蟬效應與績效遊戲,損害公共服務動機與團隊合作。</w:t>
      </w:r>
    </w:p>
    <w:p>
      <w:pPr>
        <w:spacing w:after="200" w:line="360"/>
        <w:ind w:firstLine="431"/>
        <w:jc w:val="both"/>
      </w:pPr>
      <w:r>
        <w:rPr>
          <w:rFonts w:ascii="微軟正黑體" w:cs="微軟正黑體" w:eastAsia="微軟正黑體" w:hAnsi="微軟正黑體"/>
          <w:sz w:val="22"/>
          <w:szCs w:val="22"/>
        </w:rPr>
        <w:t xml:space="preserve">理論回應上,人事四功能須重新詮釋:甄補面向採AI輔助甄補但人類保留最終決定權,AI僅作初篩與資訊彙整,面試、價值與品德判斷由人類委員會為之,保障人類覆核權與當事人解釋請求權;訓練面向建立AI素養四層次分級課程、證照與終身學習時數;考績面向承認演算法偏見風險,採人機共評,主觀與客觀並重,避免單一數據決定等第,仍由考績委員會合議;俸給面向研議AI加給與數位技能加給,結合職務評價與外部薪資調查。治理工具箱涵蓋AI影響評估(AIA,導入前評估資料來源、偏見、隱私與救濟途徑)、模型卡與資料卡(揭露模型用途、限制、準確率與訓練資料特性)、演算法審計(內部或第三方定期稽查公平性與安全性)、HITL與HOTL設計(確保關鍵人事決策可追溯、可覆核與可究責)、可解釋AI(提供決策理由,強化信任)。</w:t>
      </w:r>
    </w:p>
    <w:p>
      <w:pPr>
        <w:spacing w:after="200" w:line="360"/>
        <w:ind w:firstLine="431"/>
        <w:jc w:val="both"/>
      </w:pPr>
      <w:r>
        <w:rPr>
          <w:rFonts w:ascii="微軟正黑體" w:cs="微軟正黑體" w:eastAsia="微軟正黑體" w:hAnsi="微軟正黑體"/>
          <w:sz w:val="22"/>
          <w:szCs w:val="22"/>
        </w:rPr>
        <w:t xml:space="preserve">台灣案例:人事行政總處已導入AI於人才資料庫媒合與人事業務問答機器人,試辦人事小幫手協助法規檢索;2023年行政院發布《行政院及所屬機關使用生成式AI參考指引》,要求保密、公開揭露、人工覆核與禁止輸入機敏未公開資料,該指引適用於人事場域;國家文官學院將生成式AI納入中高階培訓,培養正確使用AI輔助公文與政策分析能力。未來應建構跨考試院與行政院之人事AI治理平台,統籌AIA與審計,確保人機共構中人類始終為主體與課責核心。</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功能</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人事應用舉例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AI影響評估(AIA)</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事前風險評估與分級治理</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評估AI篩選履歷之公平性與隱私風險</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模型卡/資料卡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透明化模型資訊與限制</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揭露面試語音分析模型之準確率與偏誤</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演算法審計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第三方獨立查核與持續監測</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定期稽查績效演算法是否有性別偏誤</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人類在迴圈HITL</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保留人類最終判斷與覆核</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AI初篩後由委員會面試決定錄取</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可解釋AI XAI</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提供決策理由與依據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考績輔助儀表板顯示評分依據與資料來源</w:t>
            </w:r>
          </w:p>
        </w:tc>
      </w:tr>
    </w:tbl>
    <w:p>
      <w:pPr>
        <w:spacing w:after="280" w:before="120"/>
        <w:jc w:val="center"/>
      </w:pPr>
      <w:r>
        <w:rPr>
          <w:rFonts w:ascii="微軟正黑體" w:cs="微軟正黑體" w:eastAsia="微軟正黑體" w:hAnsi="微軟正黑體"/>
          <w:i/>
          <w:iCs/>
          <w:color w:val="555555"/>
          <w:sz w:val="18"/>
          <w:szCs w:val="18"/>
        </w:rPr>
        <w:t xml:space="preserve">表22-8　人事領域AI治理工具箱</w:t>
      </w:r>
    </w:p>
    <w:p>
      <w:pPr>
        <w:spacing w:after="200" w:line="360"/>
        <w:ind w:firstLine="431"/>
        <w:jc w:val="both"/>
      </w:pPr>
      <w:r>
        <w:rPr>
          <w:rFonts w:ascii="微軟正黑體" w:cs="微軟正黑體" w:eastAsia="微軟正黑體" w:hAnsi="微軟正黑體"/>
          <w:sz w:val="22"/>
          <w:szCs w:val="22"/>
        </w:rPr>
        <w:t xml:space="preserve">觀念釐清：考選、俸給、考績與功績制先寫完</w:t>
      </w:r>
    </w:p>
    <w:p>
      <w:pPr>
        <w:spacing w:after="200" w:line="360"/>
        <w:ind w:firstLine="431"/>
        <w:jc w:val="both"/>
      </w:pPr>
      <w:r>
        <w:rPr>
          <w:rFonts w:ascii="微軟正黑體" w:cs="微軟正黑體" w:eastAsia="微軟正黑體" w:hAnsi="微軟正黑體"/>
          <w:sz w:val="22"/>
          <w:szCs w:val="22"/>
        </w:rPr>
        <w:t xml:space="preserve">人事行政體制、職位分類、考選任用、訓練、考績、俸給保障與倫理，是人事章的法制與理論主幹。履歷篩選與動態職能地圖，問的是功績制的標準有沒有被看不見的變項換掉。左欄的公平、保障與救濟寫不完，右欄只剩效率。</w:t>
      </w:r>
    </w:p>
    <w:p>
      <w:pPr>
        <w:spacing w:after="180" w:before="360"/>
      </w:pPr>
      <w:r>
        <w:rPr>
          <w:rFonts w:ascii="微軟正黑體" w:cs="微軟正黑體" w:eastAsia="微軟正黑體" w:hAnsi="微軟正黑體"/>
          <w:b/>
          <w:bCs/>
          <w:color w:val="1F4E79"/>
          <w:sz w:val="26"/>
          <w:szCs w:val="26"/>
        </w:rPr>
        <w:t xml:space="preserve">AI鑲嵌後的權力與結構變化:功績制的隱形侵蝕</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履歷篩選系統決定哪些候選人「進入視野」、哪些在第一關就被過濾,若訓練資料反映既有偏誤,系統實質上重新定義了「誰算是合格人才」,而這項定義權往往不在人事主管手中,而在演算法設計團隊與訓練資料的歷史軌跡中。</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行政裁量權(P2)的移轉:當AI生成之績效評分或人才排序被主管例行性採納,原本應由人類考績委員會承擔之質性判斷,可能在時間壓力下退化為對演算法輸出的形式性簽核,選擇性服從與寒蟬效應由此而生。</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公權力影響力(P3)的擴散:設計履歷篩選演算法與績效評分模型之技術團隊或外部供應商,對「誰被認定為稱職公務員」擁有實質影響力,卻通常不受公務人員保障法申訴再申訴機制之直接拘束,形成課責空隙。</w:t>
      </w:r>
    </w:p>
    <w:p>
      <w:pPr>
        <w:spacing w:after="200" w:line="360"/>
        <w:ind w:firstLine="431"/>
        <w:jc w:val="both"/>
      </w:pPr>
      <w:r>
        <w:rPr>
          <w:rFonts w:ascii="微軟正黑體" w:cs="微軟正黑體" w:eastAsia="微軟正黑體" w:hAnsi="微軟正黑體"/>
          <w:sz w:val="22"/>
          <w:szCs w:val="22"/>
        </w:rPr>
        <w:t xml:space="preserve">三種結構性效應交織下,本章尤須警惕功績制核心價值遭「靜默置換」的風險:功績制原意是以公開競爭與客觀標準取代人身依附,但若演算法評分標準不透明、訓練資料未經公平性稽核,「唯才是用」可能被悄悄置換為「唯演算法可測量者是用」——那些難以被量化的同理心、跨部門協調能力與價值判斷,反而在AI評分時代被系統性低估。這正呼應本章開場所引《中庸》「為政在人」的古老提醒:治理終究仰賴對人的整全理解,而非僅是可被儀表板捕捉的片面數據。</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人事管理階段的四鏈七審應用,重點在於檢視AI是否僭越功績制核心判斷、甄補與考績決策是否可課責,以及公務人員專業異議管道是否因AI導入而被架空:</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AI履歷篩選系統標記哪些候選人「值得進一步審查」,哪些條件被系統性排除</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AI生成之甄補建議或績效評分是否僭越考績委員會與甄選委員會之正式權威</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AI評分之理由能否回溯至可理解之依據,而非僅呈現分數本身</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甄補或考績爭議發生時,究責對象是招募設計者、模型供應商抑或用人主管</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表22-9　人事管理階段之四鏈七審應用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人資管理談AI素養,重點不是會不會用工具,而是知不知道工具什麼時候會出錯。</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案例思考一(國際案例):EEOC v. iTutorGroup——美國首宗AI甄選歧視和解案</w:t>
      </w:r>
    </w:p>
    <w:p>
      <w:pPr>
        <w:spacing w:after="200" w:line="360"/>
        <w:ind w:firstLine="431"/>
        <w:jc w:val="both"/>
      </w:pPr>
      <w:r>
        <w:rPr>
          <w:rFonts w:ascii="微軟正黑體" w:cs="微軟正黑體" w:eastAsia="微軟正黑體" w:hAnsi="微軟正黑體"/>
          <w:sz w:val="22"/>
          <w:szCs w:val="22"/>
        </w:rPr>
        <w:t xml:space="preserve">2023年9月,美國聯邦平等就業機會委員會(EEOC)與線上教育公司iTutorGroup達成36萬5千美元之和解協議,這是EEOC史上首宗因AI甄選工具而促成之聯邦歧視和解案。案件源於iTutorGroup所使用之求職者篩選軟體,被程式設定為自動拒絕特定年齡以上之應徵者——女性應徵者年滿55歲、男性應徵者年滿60歲者,系統即自動將其履歷排除於審查名單之外,完全未進入人工審查階段。此一設計直接違反美國《反年齡就業歧視法》(ADEA),EEOC在聲明中明確指出:「雇主不能以AI作為藉口,對受保護特徵之應徵者作出歧視性之僱用決定。」</w:t>
      </w:r>
    </w:p>
    <w:p>
      <w:pPr>
        <w:spacing w:after="200" w:line="360"/>
        <w:ind w:firstLine="431"/>
        <w:jc w:val="both"/>
      </w:pPr>
      <w:r>
        <w:rPr>
          <w:rFonts w:ascii="微軟正黑體" w:cs="微軟正黑體" w:eastAsia="微軟正黑體" w:hAnsi="微軟正黑體"/>
          <w:sz w:val="22"/>
          <w:szCs w:val="22"/>
        </w:rPr>
        <w:t xml:space="preserve">此案對本章核心提問極具啟發性:歧視性之篩選邏輯並非隱藏於複雜的機器學習模型深處,而是直接寫入系統的年齡門檻規則之中——這說明演算法偏見未必總是難以察覺的「黑箱」問題,有時恰恰是甄選流程設計者將既有偏見,直接編碼為看似中立的技術規則。此案也促成美國各州陸續立法要求雇主於使用自動化決策工具前進行偏見稽核(如紐約市地方法144號),為公共部門引進AI甄選工具提供了重要的前車之鑑:若我國機關引進履歷篩選AI,若未經過完整的AI影響評估與公平性稽核,同樣可能在不自知的情況下,將特定年齡層或群體排除於甄補程序之外,違反功績制之平等就業原則。</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在EEOC v. iTutorGroup案例中的具體意涵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系統以年齡門檻自動排除應徵者,渠等履歷甚至未曾進入人工審查視野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篩選規則之設定者為軟體開發團隊,而非具僱用決定權限之人資主管</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遭排除之應徵者未獲得任何關於「為何未獲面試機會」之說明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最終究責對象為雇用該篩選系統之公司,而非系統開發商,凸顯採購方之課責責任</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表22-10　用四鏈七審檢視EEOC v. iTutorGroup案例</w:t>
      </w:r>
    </w:p>
    <w:p>
      <w:pPr>
        <w:spacing w:after="140" w:before="260"/>
      </w:pPr>
      <w:r>
        <w:rPr>
          <w:rFonts w:ascii="微軟正黑體" w:cs="微軟正黑體" w:eastAsia="微軟正黑體" w:hAnsi="微軟正黑體"/>
          <w:b/>
          <w:bCs/>
          <w:color w:val="2E5C8A"/>
          <w:sz w:val="23"/>
          <w:szCs w:val="23"/>
        </w:rPr>
        <w:t xml:space="preserve">案例思考二(國內案例):公務人員保障法申訴再申訴機制在AI考績時代的檢驗</w:t>
      </w:r>
    </w:p>
    <w:p>
      <w:pPr>
        <w:spacing w:after="200" w:line="360"/>
        <w:ind w:firstLine="431"/>
        <w:jc w:val="both"/>
      </w:pPr>
      <w:r>
        <w:rPr>
          <w:rFonts w:ascii="微軟正黑體" w:cs="微軟正黑體" w:eastAsia="微軟正黑體" w:hAnsi="微軟正黑體"/>
          <w:sz w:val="22"/>
          <w:szCs w:val="22"/>
        </w:rPr>
        <w:t xml:space="preserve">我國《公務人員保障法》第77至84條明定公務人員之申訴、再申訴程序,係公務人員面對服務機關所為之管理措施或有關工作條件之處置認為不當,得依序向服務機關、公務人員保障暨培訓委員會提起申訴、再申訴之法定救濟管道,此一制度自1996年公布施行以來,已運作近三十年,是我國落實功績制九原則中「保障吹哨者」與「防止徇私」精神之核心機制。</w:t>
      </w:r>
    </w:p>
    <w:p>
      <w:pPr>
        <w:spacing w:after="200" w:line="360"/>
        <w:ind w:firstLine="431"/>
        <w:jc w:val="both"/>
      </w:pPr>
      <w:r>
        <w:rPr>
          <w:rFonts w:ascii="微軟正黑體" w:cs="微軟正黑體" w:eastAsia="微軟正黑體" w:hAnsi="微軟正黑體"/>
          <w:sz w:val="22"/>
          <w:szCs w:val="22"/>
        </w:rPr>
        <w:t xml:space="preserve">此一既有制度在AI時代面臨新的檢驗:當機關導入演算法輔助之績效監測儀表板(如工單處理時效、民眾滿意度語意分析)作為考績評分依據之一部分時,公務人員若認為演算法評分不公——例如質疑訓練資料未能反映其實際承辦之高難度案件、或演算法未能捕捉其跨部門協調之隱性貢獻——現行申訴再申訴制度是否具備審查演算法決策依據之能力?保訓會審理此類申訴時,是否有管道要求機關提出模型卡、評分邏輯或訓練資料說明?這正是本章所稱「專業異議」保障在AI時代面臨的實質考驗:法定救濟管道的存在,不必然等於救濟管道對演算法決策具備實質審查能力,兩者之間仍有待制度銜接。</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在保障法申訴機制案例中的具體意涵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演算法績效儀表板所採計之資料項目,是否涵蓋難以量化之跨部門協調等質性貢獻</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資料代表性審計、理由說明審計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申訴案由保訓會審理,惟其現行審查權限是否及於演算法評分邏輯之實質審查</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公務人員申訴時,能否要求機關提出AI評分之模型卡或評分依據說明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若演算法評分確有偏誤,究責對象是承辦考績之主管、機關抑或系統供應商,現行法制尚待明確</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表22-11　用四鏈七審檢視公務人員保障法申訴機制之AI適用性</w:t>
      </w:r>
    </w:p>
    <w:p>
      <w:pPr>
        <w:spacing w:after="200" w:line="360"/>
        <w:ind w:firstLine="431"/>
        <w:jc w:val="both"/>
      </w:pPr>
      <w:r>
        <w:rPr>
          <w:rFonts w:ascii="微軟正黑體" w:cs="微軟正黑體" w:eastAsia="微軟正黑體" w:hAnsi="微軟正黑體"/>
          <w:sz w:val="22"/>
          <w:szCs w:val="22"/>
        </w:rPr>
        <w:t xml:space="preserve">人事體制與職位分類是功績制的骨架。後面的考選、考績與俸給，都掛在這張表的制度選擇上。</w:t>
      </w:r>
    </w:p>
    <w:p>
      <w:pPr>
        <w:spacing w:after="140" w:before="260"/>
      </w:pPr>
      <w:r>
        <w:rPr>
          <w:rFonts w:ascii="微軟正黑體" w:cs="微軟正黑體" w:eastAsia="微軟正黑體" w:hAnsi="微軟正黑體"/>
          <w:b/>
          <w:bCs/>
          <w:color w:val="2E5C8A"/>
          <w:sz w:val="23"/>
          <w:szCs w:val="23"/>
        </w:rPr>
        <w:t xml:space="preserve">案例思考三:「AI動態職能地圖」遇上官等職等的僵化天花板</w:t>
      </w:r>
    </w:p>
    <w:p>
      <w:pPr>
        <w:pStyle w:val="ListParagraph"/>
        <w:numPr>
          <w:ilvl w:val="0"/>
          <w:numId w:val="2"/>
        </w:numPr>
        <w:spacing w:after="120" w:line="340"/>
      </w:pPr>
      <w:r>
        <w:rPr>
          <w:rFonts w:ascii="微軟正黑體" w:cs="微軟正黑體" w:eastAsia="微軟正黑體" w:hAnsi="微軟正黑體"/>
          <w:sz w:val="22"/>
          <w:szCs w:val="22"/>
        </w:rPr>
        <w:t xml:space="preserve">官職併立制原意在兼顧品位制之激勵彈性與職位制之專業分工,但實務上常見職務列等僵化、升遷塞車之問題——一個職務一旦被歸入特定職等,即便其實際工作內容因AI導入而大幅擴充或轉型,職等調整仍須經過繁複的職位歸級程序。</w:t>
      </w:r>
    </w:p>
    <w:p>
      <w:pPr>
        <w:pStyle w:val="ListParagraph"/>
        <w:numPr>
          <w:ilvl w:val="0"/>
          <w:numId w:val="2"/>
        </w:numPr>
        <w:spacing w:after="120" w:line="340"/>
      </w:pPr>
      <w:r>
        <w:rPr>
          <w:rFonts w:ascii="微軟正黑體" w:cs="微軟正黑體" w:eastAsia="微軟正黑體" w:hAnsi="微軟正黑體"/>
          <w:sz w:val="22"/>
          <w:szCs w:val="22"/>
        </w:rPr>
        <w:t xml:space="preserve">若機關導入AI動態分析工作日誌與系統軌跡,生成即時更新的動態職能地圖,理論上可更精準反映職務內容之實質變化,但這項技術能力與現行靜態、週期性的職位歸級制度之間存在明顯落差:AI可以即時發現「這個職位的AI協作任務已佔工作時數三成」,制度卻可能要等到下一次職務普查才能反映此一變化。</w:t>
      </w:r>
    </w:p>
    <w:p>
      <w:pPr>
        <w:pStyle w:val="ListParagraph"/>
        <w:numPr>
          <w:ilvl w:val="0"/>
          <w:numId w:val="2"/>
        </w:numPr>
        <w:spacing w:after="120" w:line="340"/>
      </w:pPr>
      <w:r>
        <w:rPr>
          <w:rFonts w:ascii="微軟正黑體" w:cs="微軟正黑體" w:eastAsia="微軟正黑體" w:hAnsi="微軟正黑體"/>
          <w:sz w:val="22"/>
          <w:szCs w:val="22"/>
        </w:rPr>
        <w:t xml:space="preserve">此案例提示:AI動態職能分析所帶來的,不只是效率提升,更是對現行職位分類制度僵固性的一面鏡子——技術上的即時性與制度上的週期性之間的落差,本身就是一個值得留意的治理課題。</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一、基礎:用25座標定位EEOC v. iTutorGroup案例或公務人員保障法申訴機制案例,畫出其跨格移動路徑:此案例應屬哪一治理座標?因AI技術嵌入後,又沉澱或位移至哪一座標?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三、實作:若你是機關人事主管,請撰寫一份300字的「AI輔助甄補公平性檢核SOP」,說明資料盤點、公平性指標設定與人類覆核節點之具體作法。</w:t>
      </w:r>
    </w:p>
    <w:p>
      <w:pPr>
        <w:spacing w:after="160" w:line="340"/>
        <w:ind w:left="431" w:hanging="431"/>
      </w:pPr>
      <w:r>
        <w:t>前瞻：本章確立政府的「人力基礎」——從功績制、考選任用到訓練、考績、俸給、保障與AI人事治理，說明政府如何形成可持續的行政執行能力；下一章將進一步討論政府如何以財務與預算資源支持政策執行，並以績效、決算與審計檢驗資源運用結果。</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系統闡釋人事管理在公共部門之理論與實務。人事行政係政府對常任文官之選拔、培育與管理體系,我國稱考銓制度,涵蓋考試、銓敘、任免、考績、俸給、升遷、保障與倫理等,核心價值為功績制與行政中立。我國人事體制分獨立制與幕僚制、部外制與部內制,採考試院與人事行政總處雙軌之獨立制兼一條鞭制,具憲政分權特色;職位分類上採官等職等並立制。甄補強調公開競爭與平等機會,政務官與事務官區分旨在兼顧民主回應與專業持續;訓練、考績與俸給構成人力發展與激勵循環;保障與平權措施則落實現代人事民主化與多元包容,而公務人員保障法之申訴再申訴機制,更是專業異議得以合法表達之制度根基。</w:t>
      </w:r>
    </w:p>
    <w:p>
      <w:pPr>
        <w:spacing w:after="200" w:line="360"/>
        <w:ind w:firstLine="431"/>
        <w:jc w:val="both"/>
      </w:pPr>
      <w:r>
        <w:rPr>
          <w:rFonts w:ascii="微軟正黑體" w:cs="微軟正黑體" w:eastAsia="微軟正黑體" w:hAnsi="微軟正黑體"/>
          <w:sz w:val="22"/>
          <w:szCs w:val="22"/>
        </w:rPr>
        <w:t xml:space="preserve">進入AI時代,人事管理出現典範轉移,從以人為中心轉向人機共構:甄補需防範演算法偏見(如EEOC v. iTutorGroup案例所警示)、訓練需建構AI素養四層次、考績需避免量化迷思與選擇性服從、俸給需研議AI加給以吸引數位人才。而既有的申訴救濟制度,亦須因應演算法決策之特性進行調適,方能真正延續功績制「保障吹哨者」之立法初衷。無論技術如何演進,人事管理的終極提問從未改變:我們是否把對的人放在對的位置上,而這項判斷,是否依然是一個負責任的人所做出的判斷?</w:t>
      </w:r>
    </w:p>
    <w:p>
      <w:pPr>
        <w:spacing w:after="240" w:line="340"/>
        <w:ind w:left="576" w:right="576"/>
      </w:pPr>
      <w:r>
        <w:rPr>
          <w:rFonts w:ascii="微軟正黑體" w:cs="微軟正黑體" w:eastAsia="微軟正黑體" w:hAnsi="微軟正黑體"/>
          <w:i/>
          <w:iCs/>
          <w:sz w:val="21"/>
          <w:szCs w:val="21"/>
        </w:rPr>
        <w:t xml:space="preserve">演算法能算出一份漂亮的評分表,卻算不出一位公務人員在深夜加班處理陳情案件時的那份耐心——這份耐心,正是功績制想要守護,卻也最容易被量化指標所忽略的東西。</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人事行政/考銓制度　</w:t>
      </w:r>
      <w:r>
        <w:rPr>
          <w:rFonts w:ascii="微軟正黑體" w:cs="微軟正黑體" w:eastAsia="微軟正黑體" w:hAnsi="微軟正黑體"/>
          <w:sz w:val="22"/>
          <w:szCs w:val="22"/>
        </w:rPr>
        <w:t xml:space="preserve">政府機關對其所需人員所為之選拔、任用、培育、評核、激勵與管理之法制與實務體系。</w:t>
      </w:r>
    </w:p>
    <w:p>
      <w:pPr>
        <w:spacing w:after="160" w:line="340"/>
      </w:pPr>
      <w:r>
        <w:rPr>
          <w:rFonts w:ascii="微軟正黑體" w:cs="微軟正黑體" w:eastAsia="微軟正黑體" w:hAnsi="微軟正黑體"/>
          <w:b/>
          <w:bCs/>
          <w:sz w:val="22"/>
          <w:szCs w:val="22"/>
        </w:rPr>
        <w:t xml:space="preserve">功績制(Merit System)　</w:t>
      </w:r>
      <w:r>
        <w:rPr>
          <w:rFonts w:ascii="微軟正黑體" w:cs="微軟正黑體" w:eastAsia="微軟正黑體" w:hAnsi="微軟正黑體"/>
          <w:sz w:val="22"/>
          <w:szCs w:val="22"/>
        </w:rPr>
        <w:t xml:space="preserve">以個人才能與工作表現為人事管理依據之制度,取代恩賜制與分贓制之人身依附。</w:t>
      </w:r>
    </w:p>
    <w:p>
      <w:pPr>
        <w:spacing w:after="160" w:line="340"/>
      </w:pPr>
      <w:r>
        <w:rPr>
          <w:rFonts w:ascii="微軟正黑體" w:cs="微軟正黑體" w:eastAsia="微軟正黑體" w:hAnsi="微軟正黑體"/>
          <w:b/>
          <w:bCs/>
          <w:sz w:val="22"/>
          <w:szCs w:val="22"/>
        </w:rPr>
        <w:t xml:space="preserve">雙重首長制　</w:t>
      </w:r>
      <w:r>
        <w:rPr>
          <w:rFonts w:ascii="微軟正黑體" w:cs="微軟正黑體" w:eastAsia="微軟正黑體" w:hAnsi="微軟正黑體"/>
          <w:sz w:val="22"/>
          <w:szCs w:val="22"/>
        </w:rPr>
        <w:t xml:space="preserve">我國考試院與行政院人事行政總處共理人事,分掌法制與政策執行之獨特制度設計。</w:t>
      </w:r>
    </w:p>
    <w:p>
      <w:pPr>
        <w:spacing w:after="160" w:line="340"/>
      </w:pPr>
      <w:r>
        <w:rPr>
          <w:rFonts w:ascii="微軟正黑體" w:cs="微軟正黑體" w:eastAsia="微軟正黑體" w:hAnsi="微軟正黑體"/>
          <w:b/>
          <w:bCs/>
          <w:sz w:val="22"/>
          <w:szCs w:val="22"/>
        </w:rPr>
        <w:t xml:space="preserve">一條鞭制　</w:t>
      </w:r>
      <w:r>
        <w:rPr>
          <w:rFonts w:ascii="微軟正黑體" w:cs="微軟正黑體" w:eastAsia="微軟正黑體" w:hAnsi="微軟正黑體"/>
          <w:sz w:val="22"/>
          <w:szCs w:val="22"/>
        </w:rPr>
        <w:t xml:space="preserve">行政院所屬各級人事人員在業務上受人事行政總處指揮監督,兼受所在機關長官指揮之雙重隸屬。</w:t>
      </w:r>
    </w:p>
    <w:p>
      <w:pPr>
        <w:spacing w:after="160" w:line="340"/>
      </w:pPr>
      <w:r>
        <w:rPr>
          <w:rFonts w:ascii="微軟正黑體" w:cs="微軟正黑體" w:eastAsia="微軟正黑體" w:hAnsi="微軟正黑體"/>
          <w:b/>
          <w:bCs/>
          <w:sz w:val="22"/>
          <w:szCs w:val="22"/>
        </w:rPr>
        <w:t xml:space="preserve">部外制與部內制　</w:t>
      </w:r>
      <w:r>
        <w:rPr>
          <w:rFonts w:ascii="微軟正黑體" w:cs="微軟正黑體" w:eastAsia="微軟正黑體" w:hAnsi="微軟正黑體"/>
          <w:sz w:val="22"/>
          <w:szCs w:val="22"/>
        </w:rPr>
        <w:t xml:space="preserve">人事機關獨立於行政權外(部外制)或隸屬行政首長(部內制)之兩種設置類型。</w:t>
      </w:r>
    </w:p>
    <w:p>
      <w:pPr>
        <w:spacing w:after="160" w:line="340"/>
      </w:pPr>
      <w:r>
        <w:rPr>
          <w:rFonts w:ascii="微軟正黑體" w:cs="微軟正黑體" w:eastAsia="微軟正黑體" w:hAnsi="微軟正黑體"/>
          <w:b/>
          <w:bCs/>
          <w:sz w:val="22"/>
          <w:szCs w:val="22"/>
        </w:rPr>
        <w:t xml:space="preserve">官職併立制　</w:t>
      </w:r>
      <w:r>
        <w:rPr>
          <w:rFonts w:ascii="微軟正黑體" w:cs="微軟正黑體" w:eastAsia="微軟正黑體" w:hAnsi="微軟正黑體"/>
          <w:sz w:val="22"/>
          <w:szCs w:val="22"/>
        </w:rPr>
        <w:t xml:space="preserve">我國兼採品位分類制(官等)與職位分類制(職等)之職位分類制度。</w:t>
      </w:r>
    </w:p>
    <w:p>
      <w:pPr>
        <w:spacing w:after="160" w:line="340"/>
      </w:pPr>
      <w:r>
        <w:rPr>
          <w:rFonts w:ascii="微軟正黑體" w:cs="微軟正黑體" w:eastAsia="微軟正黑體" w:hAnsi="微軟正黑體"/>
          <w:b/>
          <w:bCs/>
          <w:sz w:val="22"/>
          <w:szCs w:val="22"/>
        </w:rPr>
        <w:t xml:space="preserve">政務官與事務官　</w:t>
      </w:r>
      <w:r>
        <w:rPr>
          <w:rFonts w:ascii="微軟正黑體" w:cs="微軟正黑體" w:eastAsia="微軟正黑體" w:hAnsi="微軟正黑體"/>
          <w:sz w:val="22"/>
          <w:szCs w:val="22"/>
        </w:rPr>
        <w:t xml:space="preserve">政務官基於政治任命負政治責任,事務官基於功績考選負行政與法律責任。</w:t>
      </w:r>
    </w:p>
    <w:p>
      <w:pPr>
        <w:spacing w:after="160" w:line="340"/>
      </w:pPr>
      <w:r>
        <w:rPr>
          <w:rFonts w:ascii="微軟正黑體" w:cs="微軟正黑體" w:eastAsia="微軟正黑體" w:hAnsi="微軟正黑體"/>
          <w:b/>
          <w:bCs/>
          <w:sz w:val="22"/>
          <w:szCs w:val="22"/>
        </w:rPr>
        <w:t xml:space="preserve">內升制與外補制　</w:t>
      </w:r>
      <w:r>
        <w:rPr>
          <w:rFonts w:ascii="微軟正黑體" w:cs="微軟正黑體" w:eastAsia="微軟正黑體" w:hAnsi="微軟正黑體"/>
          <w:sz w:val="22"/>
          <w:szCs w:val="22"/>
        </w:rPr>
        <w:t xml:space="preserve">組織人力來源分別以內部晉升或外部招募為主之兩種甄補策略。</w:t>
      </w:r>
    </w:p>
    <w:p>
      <w:pPr>
        <w:spacing w:after="160" w:line="340"/>
      </w:pPr>
      <w:r>
        <w:rPr>
          <w:rFonts w:ascii="微軟正黑體" w:cs="微軟正黑體" w:eastAsia="微軟正黑體" w:hAnsi="微軟正黑體"/>
          <w:b/>
          <w:bCs/>
          <w:sz w:val="22"/>
          <w:szCs w:val="22"/>
        </w:rPr>
        <w:t xml:space="preserve">年終考績/另予考績/專案考績　</w:t>
      </w:r>
      <w:r>
        <w:rPr>
          <w:rFonts w:ascii="微軟正黑體" w:cs="微軟正黑體" w:eastAsia="微軟正黑體" w:hAnsi="微軟正黑體"/>
          <w:sz w:val="22"/>
          <w:szCs w:val="22"/>
        </w:rPr>
        <w:t xml:space="preserve">我國考績法規定之三種考績種類,分別對應常態、非全年任職與重大功過情形。</w:t>
      </w:r>
    </w:p>
    <w:p>
      <w:pPr>
        <w:spacing w:after="160" w:line="340"/>
      </w:pPr>
      <w:r>
        <w:rPr>
          <w:rFonts w:ascii="微軟正黑體" w:cs="微軟正黑體" w:eastAsia="微軟正黑體" w:hAnsi="微軟正黑體"/>
          <w:b/>
          <w:bCs/>
          <w:sz w:val="22"/>
          <w:szCs w:val="22"/>
        </w:rPr>
        <w:t xml:space="preserve">本俸/年功俸/加給　</w:t>
      </w:r>
      <w:r>
        <w:rPr>
          <w:rFonts w:ascii="微軟正黑體" w:cs="微軟正黑體" w:eastAsia="微軟正黑體" w:hAnsi="微軟正黑體"/>
          <w:sz w:val="22"/>
          <w:szCs w:val="22"/>
        </w:rPr>
        <w:t xml:space="preserve">公務人員俸給結構之三個組成部分,分別對應基本給與、年資獎勵與特殊職務或技術給與。</w:t>
      </w:r>
    </w:p>
    <w:p>
      <w:pPr>
        <w:spacing w:after="160" w:line="340"/>
      </w:pPr>
      <w:r>
        <w:rPr>
          <w:rFonts w:ascii="微軟正黑體" w:cs="微軟正黑體" w:eastAsia="微軟正黑體" w:hAnsi="微軟正黑體"/>
          <w:b/>
          <w:bCs/>
          <w:sz w:val="22"/>
          <w:szCs w:val="22"/>
        </w:rPr>
        <w:t xml:space="preserve">特別權力關係與公法上職務關係　</w:t>
      </w:r>
      <w:r>
        <w:rPr>
          <w:rFonts w:ascii="微軟正黑體" w:cs="微軟正黑體" w:eastAsia="微軟正黑體" w:hAnsi="微軟正黑體"/>
          <w:sz w:val="22"/>
          <w:szCs w:val="22"/>
        </w:rPr>
        <w:t xml:space="preserve">描述公務員與國家法律關係之兩種理論典範,後者強調法律保留與基本權保障。</w:t>
      </w:r>
    </w:p>
    <w:p>
      <w:pPr>
        <w:spacing w:after="160" w:line="340"/>
      </w:pPr>
      <w:r>
        <w:rPr>
          <w:rFonts w:ascii="微軟正黑體" w:cs="微軟正黑體" w:eastAsia="微軟正黑體" w:hAnsi="微軟正黑體"/>
          <w:b/>
          <w:bCs/>
          <w:sz w:val="22"/>
          <w:szCs w:val="22"/>
        </w:rPr>
        <w:t xml:space="preserve">申訴與再申訴　</w:t>
      </w:r>
      <w:r>
        <w:rPr>
          <w:rFonts w:ascii="微軟正黑體" w:cs="微軟正黑體" w:eastAsia="微軟正黑體" w:hAnsi="微軟正黑體"/>
          <w:sz w:val="22"/>
          <w:szCs w:val="22"/>
        </w:rPr>
        <w:t xml:space="preserve">公務人員保障法賦予公務人員對不當管理措施提出異議之法定救濟程序。</w:t>
      </w:r>
    </w:p>
    <w:p>
      <w:pPr>
        <w:spacing w:after="160" w:line="340"/>
      </w:pPr>
      <w:r>
        <w:rPr>
          <w:rFonts w:ascii="微軟正黑體" w:cs="微軟正黑體" w:eastAsia="微軟正黑體" w:hAnsi="微軟正黑體"/>
          <w:b/>
          <w:bCs/>
          <w:sz w:val="22"/>
          <w:szCs w:val="22"/>
        </w:rPr>
        <w:t xml:space="preserve">平權措施(Affirmative Action)　</w:t>
      </w:r>
      <w:r>
        <w:rPr>
          <w:rFonts w:ascii="微軟正黑體" w:cs="微軟正黑體" w:eastAsia="微軟正黑體" w:hAnsi="微軟正黑體"/>
          <w:sz w:val="22"/>
          <w:szCs w:val="22"/>
        </w:rPr>
        <w:t xml:space="preserve">透過特種考試等機制保障原住民族、身心障礙者等群體就業權益之政策工具。</w:t>
      </w:r>
    </w:p>
    <w:p>
      <w:pPr>
        <w:spacing w:after="160" w:line="340"/>
      </w:pPr>
      <w:r>
        <w:rPr>
          <w:rFonts w:ascii="微軟正黑體" w:cs="微軟正黑體" w:eastAsia="微軟正黑體" w:hAnsi="微軟正黑體"/>
          <w:b/>
          <w:bCs/>
          <w:sz w:val="22"/>
          <w:szCs w:val="22"/>
        </w:rPr>
        <w:t xml:space="preserve">人機共構(Human-Machine Teaming)　</w:t>
      </w:r>
      <w:r>
        <w:rPr>
          <w:rFonts w:ascii="微軟正黑體" w:cs="微軟正黑體" w:eastAsia="微軟正黑體" w:hAnsi="微軟正黑體"/>
          <w:sz w:val="22"/>
          <w:szCs w:val="22"/>
        </w:rPr>
        <w:t xml:space="preserve">人事管理中人類公務員與AI代理人、機器人流程自動化混合運作之新典範。</w:t>
      </w:r>
    </w:p>
    <w:p>
      <w:pPr>
        <w:spacing w:after="160" w:line="340"/>
      </w:pPr>
      <w:r>
        <w:rPr>
          <w:rFonts w:ascii="微軟正黑體" w:cs="微軟正黑體" w:eastAsia="微軟正黑體" w:hAnsi="微軟正黑體"/>
          <w:b/>
          <w:bCs/>
          <w:sz w:val="22"/>
          <w:szCs w:val="22"/>
        </w:rPr>
        <w:t xml:space="preserve">AI素養四層次　</w:t>
      </w:r>
      <w:r>
        <w:rPr>
          <w:rFonts w:ascii="微軟正黑體" w:cs="微軟正黑體" w:eastAsia="微軟正黑體" w:hAnsi="微軟正黑體"/>
          <w:sz w:val="22"/>
          <w:szCs w:val="22"/>
        </w:rPr>
        <w:t xml:space="preserve">AI認知、AI使用、AI評估與批判、AI倫理與治理,對應不同職務與層級之差異化訓練需求。</w:t>
      </w:r>
    </w:p>
    <w:p>
      <w:pPr>
        <w:spacing w:after="160" w:line="340"/>
      </w:pPr>
      <w:r>
        <w:rPr>
          <w:rFonts w:ascii="微軟正黑體" w:cs="微軟正黑體" w:eastAsia="微軟正黑體" w:hAnsi="微軟正黑體"/>
          <w:b/>
          <w:bCs/>
          <w:sz w:val="22"/>
          <w:szCs w:val="22"/>
        </w:rPr>
        <w:t xml:space="preserve">AI影響評估(AIA)　</w:t>
      </w:r>
      <w:r>
        <w:rPr>
          <w:rFonts w:ascii="微軟正黑體" w:cs="微軟正黑體" w:eastAsia="微軟正黑體" w:hAnsi="微軟正黑體"/>
          <w:sz w:val="22"/>
          <w:szCs w:val="22"/>
        </w:rPr>
        <w:t xml:space="preserve">AI系統導入前對資料來源、偏見、隱私與救濟途徑進行之事前風險評估。</w:t>
      </w:r>
    </w:p>
    <w:p>
      <w:pPr>
        <w:spacing w:after="160" w:line="340"/>
      </w:pPr>
      <w:r>
        <w:rPr>
          <w:rFonts w:ascii="微軟正黑體" w:cs="微軟正黑體" w:eastAsia="微軟正黑體" w:hAnsi="微軟正黑體"/>
          <w:b/>
          <w:bCs/>
          <w:sz w:val="22"/>
          <w:szCs w:val="22"/>
        </w:rPr>
        <w:t xml:space="preserve">演算法審計　</w:t>
      </w:r>
      <w:r>
        <w:rPr>
          <w:rFonts w:ascii="微軟正黑體" w:cs="微軟正黑體" w:eastAsia="微軟正黑體" w:hAnsi="微軟正黑體"/>
          <w:sz w:val="22"/>
          <w:szCs w:val="22"/>
        </w:rPr>
        <w:t xml:space="preserve">由內部或第三方對AI系統之公平性與安全性進行定期查核之治理工具。</w:t>
      </w:r>
    </w:p>
    <w:p>
      <w:pPr>
        <w:spacing w:after="160" w:line="340"/>
      </w:pPr>
      <w:r>
        <w:rPr>
          <w:rFonts w:ascii="微軟正黑體" w:cs="微軟正黑體" w:eastAsia="微軟正黑體" w:hAnsi="微軟正黑體"/>
          <w:b/>
          <w:bCs/>
          <w:sz w:val="22"/>
          <w:szCs w:val="22"/>
        </w:rPr>
        <w:t xml:space="preserve">選擇性服從與寒蟬效應　</w:t>
      </w:r>
      <w:r>
        <w:rPr>
          <w:rFonts w:ascii="微軟正黑體" w:cs="微軟正黑體" w:eastAsia="微軟正黑體" w:hAnsi="微軟正黑體"/>
          <w:sz w:val="22"/>
          <w:szCs w:val="22"/>
        </w:rPr>
        <w:t xml:space="preserve">演算法績效考核設計不當時,同仁僅完成可被測量之工作、迴避難以量化貢獻之現象。</w:t>
      </w:r>
    </w:p>
    <w:p>
      <w:pPr>
        <w:spacing w:after="160" w:line="340"/>
      </w:pPr>
      <w:r>
        <w:rPr>
          <w:rFonts w:ascii="微軟正黑體" w:cs="微軟正黑體" w:eastAsia="微軟正黑體" w:hAnsi="微軟正黑體"/>
          <w:b/>
          <w:bCs/>
          <w:sz w:val="22"/>
          <w:szCs w:val="22"/>
        </w:rPr>
        <w:t xml:space="preserve">AI加給　</w:t>
      </w:r>
      <w:r>
        <w:rPr>
          <w:rFonts w:ascii="微軟正黑體" w:cs="微軟正黑體" w:eastAsia="微軟正黑體" w:hAnsi="微軟正黑體"/>
          <w:sz w:val="22"/>
          <w:szCs w:val="22"/>
        </w:rPr>
        <w:t xml:space="preserve">研議中之薪資制度,針對具AI實務能力並應用於提升公共服務之人員給予之技術或專業加給。</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一、我國人事體制兼具獨立制與幕僚制、一條鞭制特色,請評析此雙重首長設計在決策協調與人事專業上之優缺點,並提出在AI時代如何強化考試院與人事行政總處協作之建議。</w:t>
      </w:r>
    </w:p>
    <w:p>
      <w:pPr>
        <w:spacing w:after="160" w:line="340"/>
        <w:ind w:left="431" w:hanging="431"/>
      </w:pPr>
      <w:r>
        <w:rPr>
          <w:rFonts w:ascii="微軟正黑體" w:cs="微軟正黑體" w:eastAsia="微軟正黑體" w:hAnsi="微軟正黑體"/>
          <w:sz w:val="22"/>
          <w:szCs w:val="22"/>
        </w:rPr>
        <w:t xml:space="preserve">二、官職併立制試圖兼顧品位制與職位制優點,但在實務上常有職務列等僵化與升遷塞車問題。若導入AI動態職能分析與工作日誌探勘,應如何重新設計職務說明書與職等標準,並兼顧同工同酬與彈性?</w:t>
      </w:r>
    </w:p>
    <w:p>
      <w:pPr>
        <w:spacing w:after="160" w:line="340"/>
        <w:ind w:left="431" w:hanging="431"/>
      </w:pPr>
      <w:r>
        <w:rPr>
          <w:rFonts w:ascii="微軟正黑體" w:cs="微軟正黑體" w:eastAsia="微軟正黑體" w:hAnsi="微軟正黑體"/>
          <w:sz w:val="22"/>
          <w:szCs w:val="22"/>
        </w:rPr>
        <w:t xml:space="preserve">三、某機關擬導入AI履歷篩選系統,提升招募效率,卻擔心複製性別與年齡偏誤。請依AI影響評估架構,設計包含資料盤點、公平性指標、模型卡揭露與人類覆核之治理流程,並說明如何符合功績制與平等原則。</w:t>
      </w:r>
    </w:p>
    <w:p>
      <w:pPr>
        <w:spacing w:after="160" w:line="340"/>
        <w:ind w:left="431" w:hanging="431"/>
      </w:pPr>
      <w:r>
        <w:rPr>
          <w:rFonts w:ascii="微軟正黑體" w:cs="微軟正黑體" w:eastAsia="微軟正黑體" w:hAnsi="微軟正黑體"/>
          <w:sz w:val="22"/>
          <w:szCs w:val="22"/>
        </w:rPr>
        <w:t xml:space="preserve">四、公務員AI素養四層次如何對應不同職務與年資之訓練需求?請為薦任科長設計一套包含認知、操作、評估與倫理之混成訓練方案,並說明如何避免過度依賴AI與個資外洩風險。</w:t>
      </w:r>
    </w:p>
    <w:p>
      <w:pPr>
        <w:spacing w:after="160" w:line="340"/>
        <w:ind w:left="431" w:hanging="431"/>
      </w:pPr>
      <w:r>
        <w:rPr>
          <w:rFonts w:ascii="微軟正黑體" w:cs="微軟正黑體" w:eastAsia="微軟正黑體" w:hAnsi="微軟正黑體"/>
          <w:sz w:val="22"/>
          <w:szCs w:val="22"/>
        </w:rPr>
        <w:t xml:space="preserve">五、演算法績效考核可能導致選擇性服從與寒蟬效應,若您是人事主管,應如何設計人機共評之考績制度,結合持續性數據與質性同儕回饋,並運用可解釋AI與考績委員會機制,確保考績之公平性、發展性與公共服務動機?</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本章制度細節繁多(官等職等、考績種類、俸給結構),建議以「甄補—訓練—考績—俸給」人力發展循環圖貫穿全章,協助學生記憶各制度在循環中的位置與功能。</w:t>
      </w:r>
    </w:p>
    <w:p>
      <w:pPr>
        <w:pStyle w:val="ListParagraph"/>
        <w:numPr>
          <w:ilvl w:val="0"/>
          <w:numId w:val="2"/>
        </w:numPr>
        <w:spacing w:after="120" w:line="340"/>
      </w:pPr>
      <w:r>
        <w:rPr>
          <w:rFonts w:ascii="微軟正黑體" w:cs="微軟正黑體" w:eastAsia="微軟正黑體" w:hAnsi="微軟正黑體"/>
          <w:sz w:val="22"/>
          <w:szCs w:val="22"/>
        </w:rPr>
        <w:t xml:space="preserve">EEOC v. iTutorGroup案例的教學重點在於「偏見未必藏在複雜模型裡,有時就寫在最簡單的規則中」,建議搭配紐約市地方法144號等後續立法發展,說明制度回應之演進。</w:t>
      </w:r>
    </w:p>
    <w:p>
      <w:pPr>
        <w:pStyle w:val="ListParagraph"/>
        <w:numPr>
          <w:ilvl w:val="0"/>
          <w:numId w:val="2"/>
        </w:numPr>
        <w:spacing w:after="120" w:line="340"/>
      </w:pPr>
      <w:r>
        <w:rPr>
          <w:rFonts w:ascii="微軟正黑體" w:cs="微軟正黑體" w:eastAsia="微軟正黑體" w:hAnsi="微軟正黑體"/>
          <w:sz w:val="22"/>
          <w:szCs w:val="22"/>
        </w:rPr>
        <w:t xml:space="preserve">公務人員保障法申訴機制案例宜先講解現行申訴再申訴之法定程序,再引導學生思考此一既有制度面對「演算法決策」時的審查能力落差,避免學生誤以為此制度完全無法因應AI爭議。</w:t>
      </w:r>
    </w:p>
    <w:p>
      <w:pPr>
        <w:pStyle w:val="ListParagraph"/>
        <w:numPr>
          <w:ilvl w:val="0"/>
          <w:numId w:val="2"/>
        </w:numPr>
        <w:spacing w:after="120" w:line="340"/>
      </w:pPr>
      <w:r>
        <w:rPr>
          <w:rFonts w:ascii="微軟正黑體" w:cs="微軟正黑體" w:eastAsia="微軟正黑體" w:hAnsi="微軟正黑體"/>
          <w:sz w:val="22"/>
          <w:szCs w:val="22"/>
        </w:rPr>
        <w:t xml:space="preserve">AI素養四層次表(表22-6)建議搭配學生自身職涯規劃(未來想成為承辦人、主管或資訊人員)進行角色代入討論,強化學習動機。</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功績制九原則之內容,特別是「保障吹哨者」與其他八項原則之關係。</w:t>
      </w:r>
    </w:p>
    <w:p>
      <w:pPr>
        <w:pStyle w:val="ListParagraph"/>
        <w:numPr>
          <w:ilvl w:val="0"/>
          <w:numId w:val="2"/>
        </w:numPr>
        <w:spacing w:after="120" w:line="340"/>
      </w:pPr>
      <w:r>
        <w:rPr>
          <w:rFonts w:ascii="微軟正黑體" w:cs="微軟正黑體" w:eastAsia="微軟正黑體" w:hAnsi="微軟正黑體"/>
          <w:sz w:val="22"/>
          <w:szCs w:val="22"/>
        </w:rPr>
        <w:t xml:space="preserve">部外制與部內制、獨立制與幕僚制之區辨,以及我國「雙重首長制」之具體內涵。</w:t>
      </w:r>
    </w:p>
    <w:p>
      <w:pPr>
        <w:pStyle w:val="ListParagraph"/>
        <w:numPr>
          <w:ilvl w:val="0"/>
          <w:numId w:val="2"/>
        </w:numPr>
        <w:spacing w:after="120" w:line="340"/>
      </w:pPr>
      <w:r>
        <w:rPr>
          <w:rFonts w:ascii="微軟正黑體" w:cs="微軟正黑體" w:eastAsia="微軟正黑體" w:hAnsi="微軟正黑體"/>
          <w:sz w:val="22"/>
          <w:szCs w:val="22"/>
        </w:rPr>
        <w:t xml:space="preserve">官等職等並立制之官等、職等、職系、職組定義與對應關係。</w:t>
      </w:r>
    </w:p>
    <w:p>
      <w:pPr>
        <w:pStyle w:val="ListParagraph"/>
        <w:numPr>
          <w:ilvl w:val="0"/>
          <w:numId w:val="2"/>
        </w:numPr>
        <w:spacing w:after="120" w:line="340"/>
      </w:pPr>
      <w:r>
        <w:rPr>
          <w:rFonts w:ascii="微軟正黑體" w:cs="微軟正黑體" w:eastAsia="微軟正黑體" w:hAnsi="微軟正黑體"/>
          <w:sz w:val="22"/>
          <w:szCs w:val="22"/>
        </w:rPr>
        <w:t xml:space="preserve">政務官與事務官在進入方式、責任類型、任期保障與退撫上之差異。</w:t>
      </w:r>
    </w:p>
    <w:p>
      <w:pPr>
        <w:pStyle w:val="ListParagraph"/>
        <w:numPr>
          <w:ilvl w:val="0"/>
          <w:numId w:val="2"/>
        </w:numPr>
        <w:spacing w:after="120" w:line="340"/>
      </w:pPr>
      <w:r>
        <w:rPr>
          <w:rFonts w:ascii="微軟正黑體" w:cs="微軟正黑體" w:eastAsia="微軟正黑體" w:hAnsi="微軟正黑體"/>
          <w:sz w:val="22"/>
          <w:szCs w:val="22"/>
        </w:rPr>
        <w:t xml:space="preserve">考績種類(年終、另予、專案)之適用情形與考績等第之效果。</w:t>
      </w:r>
    </w:p>
    <w:p>
      <w:pPr>
        <w:pStyle w:val="ListParagraph"/>
        <w:numPr>
          <w:ilvl w:val="0"/>
          <w:numId w:val="2"/>
        </w:numPr>
        <w:spacing w:after="120" w:line="340"/>
      </w:pPr>
      <w:r>
        <w:rPr>
          <w:rFonts w:ascii="微軟正黑體" w:cs="微軟正黑體" w:eastAsia="微軟正黑體" w:hAnsi="微軟正黑體"/>
          <w:sz w:val="22"/>
          <w:szCs w:val="22"/>
        </w:rPr>
        <w:t xml:space="preserve">特別權力關係轉向公法上職務關係之意涵,以及申訴再申訴程序之法定依據。</w:t>
      </w:r>
    </w:p>
    <w:p>
      <w:pPr>
        <w:pStyle w:val="ListParagraph"/>
        <w:numPr>
          <w:ilvl w:val="0"/>
          <w:numId w:val="2"/>
        </w:numPr>
        <w:spacing w:after="120" w:line="340"/>
      </w:pPr>
      <w:r>
        <w:rPr>
          <w:rFonts w:ascii="微軟正黑體" w:cs="微軟正黑體" w:eastAsia="微軟正黑體" w:hAnsi="微軟正黑體"/>
          <w:sz w:val="22"/>
          <w:szCs w:val="22"/>
        </w:rPr>
        <w:t xml:space="preserve">AI時代甄補、訓練、考績、俸給四大功能之變異與對應治理工具。</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模擬考績委員會:分組扮演考績委員會成員,針對一份包含AI績效儀表板數據與質性同儕回饋的模擬考績案進行合議討論,體會人機共評之實際操作。</w:t>
      </w:r>
    </w:p>
    <w:p>
      <w:pPr>
        <w:pStyle w:val="ListParagraph"/>
        <w:numPr>
          <w:ilvl w:val="0"/>
          <w:numId w:val="2"/>
        </w:numPr>
        <w:spacing w:after="120" w:line="340"/>
      </w:pPr>
      <w:r>
        <w:rPr>
          <w:rFonts w:ascii="微軟正黑體" w:cs="微軟正黑體" w:eastAsia="微軟正黑體" w:hAnsi="微軟正黑體"/>
          <w:sz w:val="22"/>
          <w:szCs w:val="22"/>
        </w:rPr>
        <w:t xml:space="preserve">案例研討:以EEOC v. iTutorGroup案例為本,請學生設計一套「AI履歷篩選上線前之公平性檢核清單」,並與表22-8治理工具箱對照檢視完整性。</w:t>
      </w:r>
    </w:p>
    <w:p>
      <w:pPr>
        <w:pStyle w:val="ListParagraph"/>
        <w:numPr>
          <w:ilvl w:val="0"/>
          <w:numId w:val="2"/>
        </w:numPr>
        <w:spacing w:after="120" w:line="340"/>
      </w:pPr>
      <w:r>
        <w:rPr>
          <w:rFonts w:ascii="微軟正黑體" w:cs="微軟正黑體" w:eastAsia="微軟正黑體" w:hAnsi="微軟正黑體"/>
          <w:sz w:val="22"/>
          <w:szCs w:val="22"/>
        </w:rPr>
        <w:t xml:space="preserve">辯論活動:正方主張「AI加給有助吸引數位人才,應儘速制度化」,反方主張「AI加給恐製造同工不同酬之相對剝奪感」,進行結構化辯論。</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問題一指引:可引導學生查找考試院與行政院人事行政總處近年之協調機制或聯合公告案例,具體評析雙軌制度在實務上的摩擦點與可能的AI輔助協調工具。</w:t>
      </w:r>
    </w:p>
    <w:p>
      <w:pPr>
        <w:spacing w:after="200" w:line="360"/>
        <w:ind w:firstLine="431"/>
        <w:jc w:val="both"/>
      </w:pPr>
      <w:r>
        <w:rPr>
          <w:rFonts w:ascii="微軟正黑體" w:cs="微軟正黑體" w:eastAsia="微軟正黑體" w:hAnsi="微軟正黑體"/>
          <w:sz w:val="22"/>
          <w:szCs w:val="22"/>
        </w:rPr>
        <w:t xml:space="preserve">問題二指引:可提示學生區分「職務內容之實質變化」與「職等調整之法定程序」兩個層次,思考AI動態職能分析應作為職位歸級之輔助證據,而非直接取代既有審查程序。</w:t>
      </w:r>
    </w:p>
    <w:p>
      <w:pPr>
        <w:spacing w:after="200" w:line="360"/>
        <w:ind w:firstLine="431"/>
        <w:jc w:val="both"/>
      </w:pPr>
      <w:r>
        <w:rPr>
          <w:rFonts w:ascii="微軟正黑體" w:cs="微軟正黑體" w:eastAsia="微軟正黑體" w:hAnsi="微軟正黑體"/>
          <w:sz w:val="22"/>
          <w:szCs w:val="22"/>
        </w:rPr>
        <w:t xml:space="preserve">問題三指引:可提供AIA架構模板(資料盤點、公平性指標、模型卡揭露、人類覆核)供學生逐項填寫,並要求具體指出各步驟如何呼應功績制之公開競爭與平等就業原則。</w:t>
      </w:r>
    </w:p>
    <w:p>
      <w:pPr>
        <w:spacing w:after="200" w:line="360"/>
        <w:ind w:firstLine="431"/>
        <w:jc w:val="both"/>
      </w:pPr>
      <w:r>
        <w:rPr>
          <w:rFonts w:ascii="微軟正黑體" w:cs="微軟正黑體" w:eastAsia="微軟正黑體" w:hAnsi="微軟正黑體"/>
          <w:sz w:val="22"/>
          <w:szCs w:val="22"/>
        </w:rPr>
        <w:t xml:space="preserve">問題四指引:可要求學生具體規劃薦任科長之訓練時數分配(如AI認知與使用合計較多時數、評估與倫理各安排一定時數之工作坊),並討論如何評量訓練成效而非僅記錄出席率。</w:t>
      </w:r>
    </w:p>
    <w:p>
      <w:pPr>
        <w:spacing w:after="200" w:line="360"/>
        <w:ind w:firstLine="431"/>
        <w:jc w:val="both"/>
      </w:pPr>
      <w:r>
        <w:rPr>
          <w:rFonts w:ascii="微軟正黑體" w:cs="微軟正黑體" w:eastAsia="微軟正黑體" w:hAnsi="微軟正黑體"/>
          <w:sz w:val="22"/>
          <w:szCs w:val="22"/>
        </w:rPr>
        <w:t xml:space="preserve">問題五指引:可強調「人機共評」不等於「各打五十大板」,而是明確劃分演算法負責提供客觀行為錨定數據、人類負責質性判斷與脈絡理解之分工邏輯,並要求學生具體設計考績委員會如何審視AI提供之數據。</w:t>
      </w:r>
    </w:p>
    <w:p>
      <w:pPr/>
      <w:r>
        <w:t>【全球研究補強：功績制、公共人力與AI人事治理】</w:t>
      </w:r>
    </w:p>
    <w:p>
      <w:pPr/>
      <w:r>
        <w:t>國際公共人事研究已由傳統的「人事行政」逐步轉向公共人力資源管理與國家能力的討論。OECD強調，文官制度的基本價值包括合法性、廉正、公平與功績，中央人事機關在制度協調與改革中具有重要作用；這與臺灣考試院及行政院人事行政總處分工所呈現的制度邏輯具有可比較性。</w:t>
      </w:r>
    </w:p>
    <w:p>
      <w:pPr/>
      <w:r>
        <w:t>世界銀行2025年《Public Workforce Performance and Prosperity》進一步把公共人力績效放在「薪資支出、人事管理實務、數位科技」三個驅動因素下理解，指出招聘的功績與透明度、管理實務、訓練、績效管理與數位能力，都會影響國家治理能力。這可用來補強本章的核心命題：人事制度不是行政成本而已，而是政府能力的生產要素。</w:t>
      </w:r>
    </w:p>
    <w:p>
      <w:pPr/>
      <w:r>
        <w:t>AI使上述問題更複雜。OECD 2025年政府AI研究指出，AI可協助招聘、學習與人員發展，但同時存在自動化偏誤、資料偏誤、隱私、透明度與可解釋性問題；若AI參與候選人評估，政府仍須保留具備專業能力的人員進行解讀並作成最終決定。2026年OECD進一步提出建構AI-ready public workforce，強調AI能力、持續學習、數位人才與內部治理能力的重要性。</w:t>
      </w:r>
    </w:p>
    <w:p>
      <w:pPr>
        <w:spacing w:after="180" w:before="360"/>
      </w:pPr>
      <w:r>
        <w:rPr>
          <w:rFonts w:ascii="微軟正黑體" w:cs="微軟正黑體" w:eastAsia="微軟正黑體" w:hAnsi="微軟正黑體"/>
          <w:b/>
          <w:bCs/>
          <w:color w:val="1F4E79"/>
          <w:sz w:val="26"/>
          <w:szCs w:val="26"/>
        </w:rPr>
        <w:t xml:space="preserve">延伸閱讀與參考文獻</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前瞻:通往第二十三章「財務管理與績效管理」</w:t>
            </w:r>
          </w:p>
          <w:p>
            <w:pPr>
              <w:spacing w:line="340"/>
              <w:jc w:val="both"/>
            </w:pPr>
            <w:r>
              <w:rPr>
                <w:rFonts w:ascii="微軟正黑體" w:cs="微軟正黑體" w:eastAsia="微軟正黑體" w:hAnsi="微軟正黑體"/>
                <w:sz w:val="21"/>
                <w:szCs w:val="21"/>
              </w:rPr>
              <w:t xml:space="preserve">本章系統梳理人事管理之理論與實務,從人事行政意涵與功績制核心,到我國人事體制與職位分類、甄補訓練考績俸給之完整流程,再到AI時代人事管理四大功能之變異與人機共構,建立了「以何種人力資本去帶領」之完整分析架構。然而,即使有了對的方向、對的領導者與對的人力,若缺乏充足且被妥善運用的財務資源,一切仍難以真正落實,而落實的成效,也需要被誠實地衡量。下一章「財務管理與績效管理」將銜接此一提問,探討政府財政收支、預算制度與週期、AI輔助預算與主權算力成本治理,以及績效衡量架構與AI增強績效課責——若本章回答的是「以何種人力資本去帶領」,下一章要回答的正是「以何種財力去落實,又如何證明這份落實確有成效」。</w:t>
            </w:r>
          </w:p>
        </w:tc>
      </w:tr>
    </w:tbl>
    <w:tbl>
      <w:tblPr>
        <w:tblW w:type="auto" w:w="0"/>
        <w:jc w:val="center"/>
        <w:tblLook w:firstColumn="1" w:firstRow="1" w:lastColumn="0" w:lastRow="0" w:noHBand="0" w:noVBand="1" w:val="04A0"/>
      </w:tblPr>
      <w:tblGrid>
        <w:gridCol w:w="2256"/>
        <w:gridCol w:w="2256"/>
        <w:gridCol w:w="2256"/>
        <w:gridCol w:w="2256"/>
      </w:tblGrid>
      <w:tr>
        <w:tc>
          <w:tcPr>
            <w:tcW w:type="dxa" w:w="2256"/>
          </w:tcPr>
          <w:p>
            <w:r>
              <w:t>制度環節</w:t>
            </w:r>
          </w:p>
        </w:tc>
        <w:tc>
          <w:tcPr>
            <w:tcW w:type="dxa" w:w="2256"/>
          </w:tcPr>
          <w:p>
            <w:r>
              <w:t>臺灣制度重點</w:t>
            </w:r>
          </w:p>
        </w:tc>
        <w:tc>
          <w:tcPr>
            <w:tcW w:type="dxa" w:w="2256"/>
          </w:tcPr>
          <w:p>
            <w:r>
              <w:t>人事管理意義</w:t>
            </w:r>
          </w:p>
        </w:tc>
        <w:tc>
          <w:tcPr>
            <w:tcW w:type="dxa" w:w="2256"/>
          </w:tcPr>
          <w:p>
            <w:r>
              <w:t>人事管理作用</w:t>
            </w:r>
          </w:p>
        </w:tc>
      </w:tr>
      <w:tr>
        <w:tc>
          <w:tcPr>
            <w:tcW w:type="dxa" w:w="2256"/>
            <w:vAlign w:val="center"/>
          </w:tcPr>
          <w:p>
            <w:r>
              <w:t>考試與甄補</w:t>
            </w:r>
          </w:p>
        </w:tc>
        <w:tc>
          <w:tcPr>
            <w:tcW w:type="dxa" w:w="2256"/>
            <w:vAlign w:val="center"/>
          </w:tcPr>
          <w:p>
            <w:r>
              <w:t>考選制度、公開競爭、依法任用</w:t>
            </w:r>
          </w:p>
        </w:tc>
        <w:tc>
          <w:tcPr>
            <w:tcW w:type="dxa" w:w="2256"/>
            <w:vAlign w:val="center"/>
          </w:tcPr>
          <w:p>
            <w:r>
              <w:t>建立功績制與專業化的人力入口</w:t>
            </w:r>
          </w:p>
        </w:tc>
        <w:tc>
          <w:tcPr>
            <w:tcW w:type="dxa" w:w="2256"/>
            <w:vAlign w:val="center"/>
          </w:tcPr>
          <w:p>
            <w:r>
              <w:t>建立功績制與專業化的人力入口</w:t>
            </w:r>
          </w:p>
        </w:tc>
      </w:tr>
      <w:tr>
        <w:tc>
          <w:tcPr>
            <w:tcW w:type="dxa" w:w="2256"/>
            <w:vAlign w:val="center"/>
          </w:tcPr>
          <w:p>
            <w:r>
              <w:t>銓敘與任用</w:t>
            </w:r>
          </w:p>
        </w:tc>
        <w:tc>
          <w:tcPr>
            <w:tcW w:type="dxa" w:w="2256"/>
            <w:vAlign w:val="center"/>
          </w:tcPr>
          <w:p>
            <w:r>
              <w:t>官等、職等、職系與職務配置</w:t>
            </w:r>
          </w:p>
        </w:tc>
        <w:tc>
          <w:tcPr>
            <w:tcW w:type="dxa" w:w="2256"/>
            <w:vAlign w:val="center"/>
          </w:tcPr>
          <w:p>
            <w:r>
              <w:t>落實因事擇人與職務適配</w:t>
            </w:r>
          </w:p>
        </w:tc>
        <w:tc>
          <w:tcPr>
            <w:tcW w:type="dxa" w:w="2256"/>
            <w:vAlign w:val="center"/>
          </w:tcPr>
          <w:p>
            <w:r>
              <w:t>落實因事擇人、職務適配與人力配置</w:t>
            </w:r>
          </w:p>
        </w:tc>
      </w:tr>
      <w:tr>
        <w:tc>
          <w:tcPr>
            <w:tcW w:type="dxa" w:w="2256"/>
            <w:vAlign w:val="center"/>
          </w:tcPr>
          <w:p>
            <w:r>
              <w:t>訓練與發展</w:t>
            </w:r>
          </w:p>
        </w:tc>
        <w:tc>
          <w:tcPr>
            <w:tcW w:type="dxa" w:w="2256"/>
            <w:vAlign w:val="center"/>
          </w:tcPr>
          <w:p>
            <w:r>
              <w:t>錄取訓練、升任訓練、高階培訓與在職學習</w:t>
            </w:r>
          </w:p>
        </w:tc>
        <w:tc>
          <w:tcPr>
            <w:tcW w:type="dxa" w:w="2256"/>
            <w:vAlign w:val="center"/>
          </w:tcPr>
          <w:p>
            <w:r>
              <w:t>累積組織能力與政策執行能力</w:t>
            </w:r>
          </w:p>
        </w:tc>
        <w:tc>
          <w:tcPr>
            <w:tcW w:type="dxa" w:w="2256"/>
            <w:vAlign w:val="center"/>
          </w:tcPr>
          <w:p>
            <w:r>
              <w:t>累積公務人力專業能力與組織能力</w:t>
            </w:r>
          </w:p>
        </w:tc>
      </w:tr>
      <w:tr>
        <w:tc>
          <w:tcPr>
            <w:tcW w:type="dxa" w:w="2256"/>
            <w:vAlign w:val="center"/>
          </w:tcPr>
          <w:p>
            <w:r>
              <w:t>考績與激勵</w:t>
            </w:r>
          </w:p>
        </w:tc>
        <w:tc>
          <w:tcPr>
            <w:tcW w:type="dxa" w:w="2256"/>
            <w:vAlign w:val="center"/>
          </w:tcPr>
          <w:p>
            <w:r>
              <w:t>年終、另予、專案考績及獎懲</w:t>
            </w:r>
          </w:p>
        </w:tc>
        <w:tc>
          <w:tcPr>
            <w:tcW w:type="dxa" w:w="2256"/>
            <w:vAlign w:val="center"/>
          </w:tcPr>
          <w:p>
            <w:r>
              <w:t>兼具回饋、激勵與課責功能</w:t>
            </w:r>
          </w:p>
        </w:tc>
        <w:tc>
          <w:tcPr>
            <w:tcW w:type="dxa" w:w="2256"/>
            <w:vAlign w:val="center"/>
          </w:tcPr>
          <w:p>
            <w:r>
              <w:t>形成回饋、激勵與課責機制</w:t>
            </w:r>
          </w:p>
        </w:tc>
      </w:tr>
      <w:tr>
        <w:tc>
          <w:tcPr>
            <w:tcW w:type="dxa" w:w="2256"/>
            <w:vAlign w:val="center"/>
          </w:tcPr>
          <w:p>
            <w:r>
              <w:t>保障與倫理</w:t>
            </w:r>
          </w:p>
        </w:tc>
        <w:tc>
          <w:tcPr>
            <w:tcW w:type="dxa" w:w="2256"/>
            <w:vAlign w:val="center"/>
          </w:tcPr>
          <w:p>
            <w:r>
              <w:t>身分保障、救濟、行政中立與廉政要求</w:t>
            </w:r>
          </w:p>
        </w:tc>
        <w:tc>
          <w:tcPr>
            <w:tcW w:type="dxa" w:w="2256"/>
            <w:vAlign w:val="center"/>
          </w:tcPr>
          <w:p>
            <w:r>
              <w:t>維持公務員依法行政與專業異議空間</w:t>
            </w:r>
          </w:p>
        </w:tc>
        <w:tc>
          <w:tcPr>
            <w:tcW w:type="dxa" w:w="2256"/>
            <w:vAlign w:val="center"/>
          </w:tcPr>
          <w:p>
            <w:r>
              <w:t>維持依法行政、行政中立與專業異議空間</w:t>
            </w:r>
          </w:p>
        </w:tc>
      </w:tr>
      <w:tr>
        <w:tc>
          <w:tcPr>
            <w:tcW w:type="dxa" w:w="2256"/>
            <w:vAlign w:val="center"/>
          </w:tcPr>
          <w:p>
            <w:r>
              <w:t>AI人事治理</w:t>
            </w:r>
          </w:p>
        </w:tc>
        <w:tc>
          <w:tcPr>
            <w:tcW w:type="dxa" w:w="2256"/>
            <w:vAlign w:val="center"/>
          </w:tcPr>
          <w:p>
            <w:r>
              <w:t>AI可輔助甄補、訓練、分析，但須人類最終決策</w:t>
            </w:r>
          </w:p>
        </w:tc>
        <w:tc>
          <w:tcPr>
            <w:tcW w:type="dxa" w:w="2256"/>
            <w:vAlign w:val="center"/>
          </w:tcPr>
          <w:p>
            <w:r>
              <w:t>避免自動化偏誤、資料偏誤與黑箱決策</w:t>
            </w:r>
          </w:p>
        </w:tc>
        <w:tc>
          <w:tcPr>
            <w:tcW w:type="dxa" w:w="2256"/>
            <w:vAlign w:val="center"/>
          </w:tcPr>
          <w:p>
            <w:r>
              <w:t>確保AI輔助人事決策可覆核、可解釋、可究責</w:t>
            </w:r>
          </w:p>
        </w:tc>
      </w:tr>
    </w:tbl>
    <w:p>
      <w:r>
        <w:t>OECD. (2025). Government at a Glance 2025. OECD Publishing.</w:t>
      </w:r>
    </w:p>
    <w:p>
      <w:r>
        <w:t>OECD. (2025). Governing with Artificial Intelligence: The State of Play and Way Forward in Core Government Functions. OECD Publishing. DOI: 10.1787/795de142-en.</w:t>
      </w:r>
    </w:p>
    <w:p>
      <w:r>
        <w:t>OECD. (2026). Building an AI-ready public workforce: Implications and strategies. OECD Publishing. DOI: 10.1787/b89244c7-en.</w:t>
      </w:r>
    </w:p>
    <w:p>
      <w:r>
        <w:t>OECD. (2021). Public Employment and Management 2021. OECD Publishing.</w:t>
      </w:r>
    </w:p>
    <w:p>
      <w:r>
        <w:t>World Bank. (2025). Public Workforce Performance and Prosperity. World Bank.</w:t>
      </w:r>
    </w:p>
    <w:p>
      <w:r>
        <w:t>Kirkpatrick, D. L. (1994). Evaluating Training Programs: The Four Levels. Berrett-Koehler.</w:t>
      </w:r>
    </w:p>
    <w:p>
      <w:r>
        <w:t>Klingner, D. E., Nalbandian, J., &amp; Llorens, J. J. (2015). Public Personnel Management: Contexts and Strategies (6th ed.). Routledge.</w:t>
      </w:r>
    </w:p>
    <w:p>
      <w:r>
        <w:t>施能傑（2020）。《公共人力資源管理：理論與實務》。智勝文化。</w:t>
      </w:r>
    </w:p>
    <w:p>
      <w:r>
        <w:t>許南雄（2020）。《考銓制度》。商鼎文化。</w:t>
      </w:r>
    </w:p>
    <w:p>
      <w:r>
        <w:t>考試院（現行）。〈組織簡介〉。</w:t>
      </w:r>
    </w:p>
    <w:p>
      <w:r>
        <w:t>考試院（現行）。《考試院組織法》。</w:t>
      </w:r>
    </w:p>
    <w:p>
      <w:r>
        <w:t>銓敘部（現行）。《銓敘部組織法》。</w:t>
      </w:r>
    </w:p>
    <w:p>
      <w:r>
        <w:t>行政院人事行政總處（現行）。《行政院人事行政總處組織法》。</w:t>
      </w:r>
    </w:p>
    <w:p>
      <w:r>
        <w:t>《公務人員任用法》（現行版本；考試院主管法規共用系統）。</w:t>
      </w:r>
    </w:p>
    <w:p>
      <w:r>
        <w:t>《公務人員考績法》（現行版本；考試院主管法規共用系統）。</w:t>
      </w:r>
    </w:p>
    <w:p>
      <w:r>
        <w:t>《公務人員保障法》（現行版本；全國法規資料庫）。</w:t>
      </w:r>
    </w:p>
    <w:p>
      <w:r>
        <w:t>《公務人員行政中立法》（現行版本；全國法規資料庫）。</w:t>
      </w:r>
    </w:p>
    <w:p>
      <w:r>
        <w:t>行政院（現行）。《行政院及所屬機關（構）使用生成式AI參考指引》。</w:t>
      </w:r>
    </w:p>
    <w:p>
      <w:r>
        <w:t>編註：本版刪除或不再列入無法以公開來源穩定核驗之文獻條目；制度性敘述優先依臺灣現行法規與主管機關公開資料，國際比較則以OECD、世界銀行等可追溯來源為主。正式出版前仍建議依最新法規版本進行最後一次逐條校對。</w:t>
      </w:r>
    </w:p>
    <w:p>
      <w:r>
        <w:rPr>
          <w:b/>
        </w:rPr>
        <w:t>本次補強新增／核驗文獻</w:t>
      </w:r>
    </w:p>
    <w:p>
      <w:r>
        <w:t>Perry, J. L. (2010). A Strategic Agenda for Public Human Resource Management Research. Review of Public Personnel Administration, 30(1). DOI: 10.1177/0734371X09351821.</w:t>
      </w:r>
    </w:p>
    <w:p>
      <w:r>
        <w:t>OECD. (2026). Building an AI-ready public workforce: Implications and strategies. OECD Publishing. DOI: 10.1787/b89244c7-en.</w:t>
      </w:r>
    </w:p>
    <w:p>
      <w:r>
        <w:t>World Bank. (2026). Public Workforce Performance and Prosperity. World Bank.</w:t>
      </w:r>
    </w:p>
    <w:p>
      <w:r>
        <w:t>OECD. (2025). Governing with Artificial Intelligence: The State of Play and Way Forward in Core Government Functions. OECD Publishing. DOI: 10.1787/795de142-en.</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2026-08-31T10:52:36.751Z</dcterms:created>
  <dcterms:modified xsi:type="dcterms:W3CDTF">2026-08-31T10:52:36.751Z</dcterms:modified>
</cp:coreProperties>
</file>

<file path=docProps/custom.xml><?xml version="1.0" encoding="utf-8"?>
<Properties xmlns="http://schemas.openxmlformats.org/officeDocument/2006/custom-properties" xmlns:vt="http://schemas.openxmlformats.org/officeDocument/2006/docPropsVTypes"/>
</file>