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第二十章　策略管理:AI增強與主權AI戰略</w:t>
      </w:r>
    </w:p>
    <w:p>
      <w:pPr>
        <w:spacing w:after="400"/>
        <w:jc w:val="center"/>
      </w:pPr>
      <w:r>
        <w:rPr>
          <w:rFonts w:ascii="微軟正黑體" w:cs="微軟正黑體" w:eastAsia="微軟正黑體" w:hAnsi="微軟正黑體"/>
          <w:i/>
          <w:iCs/>
          <w:color w:val="777777"/>
          <w:sz w:val="22"/>
          <w:szCs w:val="22"/>
        </w:rPr>
        <w:t xml:space="preserve">——從願景使命到主權AI四主權:第五層管理運作之首章</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定位於第五層「管理運作」×「組織」單位,聚焦策略管理之AI增強與主權AI戰略;主要對應權威鏈——AI驅動之策略建議是否僭越組織正式決策權威。第五層管理運作包含七項核心構面:策略管理、行政領導、人事管理、財務管理、電子化政府、績效管理、溝通與危機管理,分別回答組織「往何處去」「如何影響成員行動」「以何種資源去」「以何種數位能力去」「如何衡量是否到達」與「如何維持正當性與韌性」。策略管理作為第五層之首章,回答的正是「組織往何處去」——在生成式AI與主權AI崛起之脈絡下,策略形成已從靜態規劃轉向動態、演化、人機共構之策略韌性。</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能闡釋策略與策略管理之意涵、特徵,區辨公共部門與私部門策略管理之差異,並說明策略管理三階段(規劃、執行、評估)在公共組織之應用。</w:t>
      </w:r>
    </w:p>
    <w:p>
      <w:pPr>
        <w:pStyle w:val="ListParagraph"/>
        <w:numPr>
          <w:ilvl w:val="0"/>
          <w:numId w:val="2"/>
        </w:numPr>
        <w:spacing w:after="120" w:line="340"/>
      </w:pPr>
      <w:r>
        <w:rPr>
          <w:rFonts w:ascii="微軟正黑體" w:cs="微軟正黑體" w:eastAsia="微軟正黑體" w:hAnsi="微軟正黑體"/>
          <w:sz w:val="22"/>
          <w:szCs w:val="22"/>
        </w:rPr>
        <w:t xml:space="preserve">能說明策略管理之層次(整體、機關、功能與操作)與願景、使命、價值、目標之連結,闡釋策略思維在民主課責下的特殊性。</w:t>
      </w:r>
    </w:p>
    <w:p>
      <w:pPr>
        <w:pStyle w:val="ListParagraph"/>
        <w:numPr>
          <w:ilvl w:val="0"/>
          <w:numId w:val="2"/>
        </w:numPr>
        <w:spacing w:after="120" w:line="340"/>
      </w:pPr>
      <w:r>
        <w:rPr>
          <w:rFonts w:ascii="微軟正黑體" w:cs="微軟正黑體" w:eastAsia="微軟正黑體" w:hAnsi="微軟正黑體"/>
          <w:sz w:val="22"/>
          <w:szCs w:val="22"/>
        </w:rPr>
        <w:t xml:space="preserve">能系統分析外部環境(五力分析、PESTEL)與內部環境(資源基礎觀、VRIO)之工具,並運用SWOT/TOWS矩陣進行策略配對與策略選定。</w:t>
      </w:r>
    </w:p>
    <w:p>
      <w:pPr>
        <w:pStyle w:val="ListParagraph"/>
        <w:numPr>
          <w:ilvl w:val="0"/>
          <w:numId w:val="2"/>
        </w:numPr>
        <w:spacing w:after="120" w:line="340"/>
      </w:pPr>
      <w:r>
        <w:rPr>
          <w:rFonts w:ascii="微軟正黑體" w:cs="微軟正黑體" w:eastAsia="微軟正黑體" w:hAnsi="微軟正黑體"/>
          <w:sz w:val="22"/>
          <w:szCs w:val="22"/>
        </w:rPr>
        <w:t xml:space="preserve">能闡釋策略類型(成長、穩定、縮減、組合)與Miles &amp; Snow適應型策略,說明平衡計分卡(BSC)與策略地圖在公共組織之轉化與公共價值創造。</w:t>
      </w:r>
    </w:p>
    <w:p>
      <w:pPr>
        <w:pStyle w:val="ListParagraph"/>
        <w:numPr>
          <w:ilvl w:val="0"/>
          <w:numId w:val="2"/>
        </w:numPr>
        <w:spacing w:after="120" w:line="340"/>
      </w:pPr>
      <w:r>
        <w:rPr>
          <w:rFonts w:ascii="微軟正黑體" w:cs="微軟正黑體" w:eastAsia="微軟正黑體" w:hAnsi="微軟正黑體"/>
          <w:sz w:val="22"/>
          <w:szCs w:val="22"/>
        </w:rPr>
        <w:t xml:space="preserve">能批判分析生成式AI對傳統策略規劃之衝擊,闡釋AI驅動SWOT、數位孿生戰略模擬與AI戰略地圖之操作方法與倫理界限。</w:t>
      </w:r>
    </w:p>
    <w:p>
      <w:pPr>
        <w:pStyle w:val="ListParagraph"/>
        <w:numPr>
          <w:ilvl w:val="0"/>
          <w:numId w:val="2"/>
        </w:numPr>
        <w:spacing w:after="120" w:line="340"/>
      </w:pPr>
      <w:r>
        <w:rPr>
          <w:rFonts w:ascii="微軟正黑體" w:cs="微軟正黑體" w:eastAsia="微軟正黑體" w:hAnsi="微軟正黑體"/>
          <w:sz w:val="22"/>
          <w:szCs w:val="22"/>
        </w:rPr>
        <w:t xml:space="preserve">能論述主權AI作為國家策略之意涵,分析我國AI基本法與TAIDE可信任AI模式之戰略定位,並以國際案例批判性檢視策略執行落差。</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「凡事豫則立,不豫則廢。」——《禮記·中庸》</w:t>
      </w:r>
    </w:p>
    <w:p>
      <w:pPr>
        <w:spacing w:after="200" w:line="360"/>
        <w:ind w:firstLine="431"/>
        <w:jc w:val="both"/>
      </w:pPr>
      <w:r>
        <w:rPr>
          <w:rFonts w:ascii="微軟正黑體" w:cs="微軟正黑體" w:eastAsia="微軟正黑體" w:hAnsi="微軟正黑體"/>
          <w:sz w:val="22"/>
          <w:szCs w:val="22"/>
        </w:rPr>
        <w:t xml:space="preserve">承第四層組織層對於「組織是什麼、如何運作與演化」之完整鋪陳(第十五至十九章),本章邁入第五層「管理運作」,首先叩問一個最根本的治理問題:組織究竟要往何處去?《禮記·中庸》指出,任何事情事先有準備就會成功,沒有準備就會失敗——這句兩千多年前的箴言,恰是策略管理(Strategic Management)最精煉的定義。策略管理處理的正是組織在資源有限、環境不確定之下,如何為長期方向作出抉擇、配置資源,並在民主課責下證成其正當性。</w:t>
      </w:r>
    </w:p>
    <w:p>
      <w:pPr>
        <w:spacing w:after="200" w:line="360"/>
        <w:ind w:firstLine="431"/>
        <w:jc w:val="both"/>
      </w:pPr>
      <w:r>
        <w:rPr>
          <w:rFonts w:ascii="微軟正黑體" w:cs="微軟正黑體" w:eastAsia="微軟正黑體" w:hAnsi="微軟正黑體"/>
          <w:sz w:val="22"/>
          <w:szCs w:val="22"/>
        </w:rPr>
        <w:t xml:space="preserve">第五層管理運作包含策略管理、行政領導、人事管理、財務管理、電子化政府、績效管理與溝通危機管理七大構面,本章作為首章,率先建立方向;後續章節則分別處理「誰帶領」「以何種人力」「以何種財力」「以何種數位能力」「如何衡量」與「如何維持韌性」等問題。而在生成式AI與主權AI浪潮下,策略管理本身正經歷典範轉移:當AI能在數秒內生成SWOT分析、模擬千種情境,「誰定義未來、誰決定優先」這個策略管理最核心的政治性提問,也隨之產生了微妙卻深刻的權力位移。</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策略的基礎理論:策略之定義(Mintzberg 5P)、策略管理之意涵與特徵、策略管理之層次(整體、機關、功能、操作)與三階段過程(規劃、執行、評估)、願景使命價值目標之連結。</w:t>
      </w:r>
    </w:p>
    <w:p>
      <w:pPr>
        <w:pStyle w:val="ListParagraph"/>
        <w:numPr>
          <w:ilvl w:val="0"/>
          <w:numId w:val="2"/>
        </w:numPr>
        <w:spacing w:after="120" w:line="340"/>
      </w:pPr>
      <w:r>
        <w:rPr>
          <w:rFonts w:ascii="微軟正黑體" w:cs="微軟正黑體" w:eastAsia="微軟正黑體" w:hAnsi="微軟正黑體"/>
          <w:sz w:val="22"/>
          <w:szCs w:val="22"/>
        </w:rPr>
        <w:t xml:space="preserve">策略分析與選擇之工具箱:外部環境分析(PESTEL、五力分析之公部門轉化)、內部環境分析(RBV、VRIO)、SWOT/TOWS矩陣與策略類型、平衡計分卡(BSC)與策略地圖。</w:t>
      </w:r>
    </w:p>
    <w:p>
      <w:pPr>
        <w:pStyle w:val="ListParagraph"/>
        <w:numPr>
          <w:ilvl w:val="0"/>
          <w:numId w:val="2"/>
        </w:numPr>
        <w:spacing w:after="120" w:line="340"/>
      </w:pPr>
      <w:r>
        <w:rPr>
          <w:rFonts w:ascii="微軟正黑體" w:cs="微軟正黑體" w:eastAsia="微軟正黑體" w:hAnsi="微軟正黑體"/>
          <w:sz w:val="22"/>
          <w:szCs w:val="22"/>
        </w:rPr>
        <w:t xml:space="preserve">AI時代的策略升級:生成式AI對傳統策略規劃之三重破壞、AI驅動SWOT、數位孿生戰略模擬,以及AI治理專節之主權AI四主權戰略與台灣案例。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策略之定義與策略管理特徵　→　策略管理層次與三階段過程　→　願景使命價值目標　→　PESTEL與五力外部分析　→　RBV/VRIO內部分析　→　SWOT/TOWS策略配對　→　BSC與策略地圖　→　AI驅動SWOT與數位孿生模擬　→　主權AI四主權戰略　→　銜接第二十一章行政領導</w:t>
            </w:r>
          </w:p>
        </w:tc>
      </w:tr>
    </w:tbl>
    <w:p>
      <w:pPr>
        <w:spacing w:after="200" w:line="360"/>
        <w:ind w:firstLine="431"/>
        <w:jc w:val="both"/>
      </w:pPr>
      <w:r>
        <w:rPr>
          <w:rFonts w:ascii="微軟正黑體" w:cs="微軟正黑體" w:eastAsia="微軟正黑體" w:hAnsi="微軟正黑體"/>
          <w:sz w:val="22"/>
          <w:szCs w:val="22"/>
        </w:rPr>
        <w:t xml:space="preserve">這個架構顯示,策略管理理論最核心的貢獻,不在於提供一套「找出正確答案」的公式,而在於提供一套「持續追問方向是否仍然正確」的紀律——這個提問,在AI能以驚人速度生成看似合理答案的時代,比以往任何時候都更需要人類的政治判斷與民主審議來把關。</w:t>
      </w:r>
    </w:p>
    <w:p>
      <w:pPr>
        <w:spacing w:after="180" w:before="360"/>
      </w:pPr>
      <w:r>
        <w:rPr>
          <w:rFonts w:ascii="微軟正黑體" w:cs="微軟正黑體" w:eastAsia="微軟正黑體" w:hAnsi="微軟正黑體"/>
          <w:b/>
          <w:bCs/>
          <w:color w:val="1F4E79"/>
          <w:sz w:val="26"/>
          <w:szCs w:val="26"/>
        </w:rPr>
        <w:t xml:space="preserve">第一節　策略管理的意涵與要素</w:t>
      </w:r>
    </w:p>
    <w:p>
      <w:pPr>
        <w:spacing w:after="140" w:before="260"/>
      </w:pPr>
      <w:r>
        <w:rPr>
          <w:rFonts w:ascii="微軟正黑體" w:cs="微軟正黑體" w:eastAsia="微軟正黑體" w:hAnsi="微軟正黑體"/>
          <w:b/>
          <w:bCs/>
          <w:color w:val="2E5C8A"/>
          <w:sz w:val="23"/>
          <w:szCs w:val="23"/>
        </w:rPr>
        <w:t xml:space="preserve">一、策略的定義</w:t>
      </w:r>
    </w:p>
    <w:p>
      <w:pPr>
        <w:spacing w:after="200" w:line="360"/>
        <w:ind w:firstLine="431"/>
        <w:jc w:val="both"/>
      </w:pPr>
      <w:r>
        <w:rPr>
          <w:rFonts w:ascii="微軟正黑體" w:cs="微軟正黑體" w:eastAsia="微軟正黑體" w:hAnsi="微軟正黑體"/>
          <w:sz w:val="22"/>
          <w:szCs w:val="22"/>
        </w:rPr>
        <w:t xml:space="preserve">策略(Strategy)一詞源於希臘文Strategos,意指將軍之藝術,本質係在不確定與資源有限下,為達成長期目標所作之資源配置與行動抉擇之模式。經典學者對策略之定義可歸納為五種觀點,即Mintzberg(1987)之5P架構:計畫(Plan)——策略是有意識、有目的之事前規劃,強調未來導向與路徑設計;計謀(Ploy)——策略是為擊敗對手或競爭者之特定行動,如標租、價格戰;模式(Pattern)——策略是在一系列決策與行動中呈現之一致性行為模式,雖非刻意規劃但事後可辨識;定位(Position)——策略是組織在環境中選擇特定位置,以創造差異化與適配;觀點(Perspective)——策略是組織深層共享之世界觀與價值假定,類似組織文化之延伸。</w:t>
      </w:r>
    </w:p>
    <w:p>
      <w:pPr>
        <w:spacing w:after="200" w:line="360"/>
        <w:ind w:firstLine="431"/>
        <w:jc w:val="both"/>
      </w:pPr>
      <w:r>
        <w:rPr>
          <w:rFonts w:ascii="微軟正黑體" w:cs="微軟正黑體" w:eastAsia="微軟正黑體" w:hAnsi="微軟正黑體"/>
          <w:sz w:val="22"/>
          <w:szCs w:val="22"/>
        </w:rPr>
        <w:t xml:space="preserve">公共部門策略之定義更強調公共價值(Public Value)與正當性。Bryson(2018)指出,公部門策略管理是以創造公共價值為目的,透過審議與利害關係人參與,連結組織使命與外部環境的過程。相較於私部門追求競爭優勢與利潤,公共部門策略必須同時回應政治可行性、法律合規性、行政可行性與民主課責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學者／觀點</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公共行政意涵</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Chandler(1962)</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策略是決定長期目標、採取行動與配置資源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強調目標與資源配置之連結,為策略規劃之基礎</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Mintzberg 5P(1987)</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計畫、計謀、模式、定位、觀點整合觀</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公共政策既有計畫也有浮現(emergent)之模式,需辨識正式與非正式策略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Porter(1980)</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策略是創造差異化定位以獲致競爭優勢</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轉化為公共價值定位:獨特公共服務與不可取代性</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Bryson(2018)</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策略是創造公共價值與正當性之過程</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強調利害關係人共創、願景領導與政治管理</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Moore(1995)</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策略三角:公共價值、正當性支持、操作能力</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策略需同時通過價值、授權與能力三重檢驗</w:t>
            </w:r>
          </w:p>
        </w:tc>
      </w:tr>
    </w:tbl>
    <w:p>
      <w:pPr>
        <w:spacing w:after="280" w:before="120"/>
        <w:jc w:val="center"/>
      </w:pPr>
      <w:r>
        <w:rPr>
          <w:rFonts w:ascii="微軟正黑體" w:cs="微軟正黑體" w:eastAsia="微軟正黑體" w:hAnsi="微軟正黑體"/>
          <w:i/>
          <w:iCs/>
          <w:color w:val="555555"/>
          <w:sz w:val="18"/>
          <w:szCs w:val="18"/>
        </w:rPr>
        <w:t xml:space="preserve">表20-1　策略定義之比較與整合</w:t>
      </w:r>
    </w:p>
    <w:p>
      <w:pPr>
        <w:spacing w:after="140" w:before="260"/>
      </w:pPr>
      <w:r>
        <w:rPr>
          <w:rFonts w:ascii="微軟正黑體" w:cs="微軟正黑體" w:eastAsia="微軟正黑體" w:hAnsi="微軟正黑體"/>
          <w:b/>
          <w:bCs/>
          <w:color w:val="2E5C8A"/>
          <w:sz w:val="23"/>
          <w:szCs w:val="23"/>
        </w:rPr>
        <w:t xml:space="preserve">二、策略管理的意涵與特徵</w:t>
      </w:r>
    </w:p>
    <w:p>
      <w:pPr>
        <w:spacing w:after="200" w:line="360"/>
        <w:ind w:firstLine="431"/>
        <w:jc w:val="both"/>
      </w:pPr>
      <w:r>
        <w:rPr>
          <w:rFonts w:ascii="微軟正黑體" w:cs="微軟正黑體" w:eastAsia="微軟正黑體" w:hAnsi="微軟正黑體"/>
          <w:sz w:val="22"/>
          <w:szCs w:val="22"/>
        </w:rPr>
        <w:t xml:space="preserve">策略管理(Strategic Management)是指組織為達成使命與目標,進行策略規劃(formulation)、策略執行(implementation)與策略評估(evaluation)之動態循環歷程,並透過環境監測與組織學習不斷調適之管理過程(David, 2020;Bryson &amp; George, 2020)。其特徵包括:長期導向,關注三至十年之未來定位,而非短期救火;整體導向,以組織整體與系統觀點進行權衡,非功能別片段化;外部導向,強調環境掃描與趨勢解讀,重視機會與威脅;資源導向,以有限資源創造最大公共價值,涉及取捨與優先順序;不確定性導向,在資訊不完全下作成判斷,仰賴情境規劃與試探;政治與價值導向,公共策略必須兼顧多元價值衝突與民主正當性,非單純理性計算。</w:t>
      </w:r>
    </w:p>
    <w:p>
      <w:pPr>
        <w:spacing w:after="200" w:line="360"/>
        <w:ind w:firstLine="431"/>
        <w:jc w:val="both"/>
      </w:pPr>
      <w:r>
        <w:rPr>
          <w:rFonts w:ascii="微軟正黑體" w:cs="微軟正黑體" w:eastAsia="微軟正黑體" w:hAnsi="微軟正黑體"/>
          <w:sz w:val="22"/>
          <w:szCs w:val="22"/>
        </w:rPr>
        <w:t xml:space="preserve">因此,策略管理不僅是技術,更是領導與治理藝術。生成式AI進一步放大了不確定性與速度,策略管理必須從線性規劃轉向敏捷與韌性並重之適應性治理。</w:t>
      </w:r>
    </w:p>
    <w:p>
      <w:r>
        <w:rPr>
          <w:b/>
          <w:sz w:val="22"/>
        </w:rPr>
        <w:t>概念圖20-A　策略管理理論的問題轉向：從企業競爭到公共價值</w:t>
      </w:r>
    </w:p>
    <w:tbl>
      <w:tblPr>
        <w:tblW w:type="auto" w:w="0"/>
        <w:jc w:val="center"/>
        <w:tblLook w:firstColumn="1" w:firstRow="1" w:lastColumn="0" w:lastRow="0" w:noHBand="0" w:noVBand="1" w:val="04A0"/>
      </w:tblPr>
      <w:tblGrid>
        <w:gridCol w:w="3009"/>
        <w:gridCol w:w="3009"/>
        <w:gridCol w:w="3009"/>
      </w:tblGrid>
      <w:tr>
        <w:tc>
          <w:tcPr>
            <w:tcW w:type="dxa" w:w="3009"/>
            <w:vAlign w:val="center"/>
            <w:shd w:fill="D9EAF7"/>
          </w:tcPr>
          <w:p>
            <w:r/>
            <w:r>
              <w:rPr>
                <w:b/>
                <w:sz w:val="17"/>
              </w:rPr>
              <w:t>理論節點</w:t>
            </w:r>
          </w:p>
        </w:tc>
        <w:tc>
          <w:tcPr>
            <w:tcW w:type="dxa" w:w="3009"/>
            <w:vAlign w:val="center"/>
            <w:shd w:fill="D9EAF7"/>
          </w:tcPr>
          <w:p>
            <w:r/>
            <w:r>
              <w:rPr>
                <w:b/>
                <w:sz w:val="17"/>
              </w:rPr>
              <w:t>核心問題</w:t>
            </w:r>
          </w:p>
        </w:tc>
        <w:tc>
          <w:tcPr>
            <w:tcW w:type="dxa" w:w="3009"/>
            <w:vAlign w:val="center"/>
            <w:shd w:fill="D9EAF7"/>
          </w:tcPr>
          <w:p>
            <w:r/>
            <w:r>
              <w:rPr>
                <w:b/>
                <w:sz w:val="17"/>
              </w:rPr>
              <w:t>對公共部門的轉化</w:t>
            </w:r>
          </w:p>
        </w:tc>
      </w:tr>
      <w:tr>
        <w:tc>
          <w:tcPr>
            <w:tcW w:type="dxa" w:w="3009"/>
            <w:vAlign w:val="center"/>
          </w:tcPr>
          <w:p>
            <w:r/>
            <w:r>
              <w:rPr>
                <w:b w:val="0"/>
                <w:sz w:val="17"/>
              </w:rPr>
              <w:t>Chandler（1962）</w:t>
            </w:r>
          </w:p>
        </w:tc>
        <w:tc>
          <w:tcPr>
            <w:tcW w:type="dxa" w:w="3009"/>
            <w:vAlign w:val="center"/>
          </w:tcPr>
          <w:p>
            <w:r/>
            <w:r>
              <w:rPr>
                <w:b w:val="0"/>
                <w:sz w:val="17"/>
              </w:rPr>
              <w:t>策略與組織結構如何配合？</w:t>
            </w:r>
          </w:p>
        </w:tc>
        <w:tc>
          <w:tcPr>
            <w:tcW w:type="dxa" w:w="3009"/>
            <w:vAlign w:val="center"/>
          </w:tcPr>
          <w:p>
            <w:r/>
            <w:r>
              <w:rPr>
                <w:b w:val="0"/>
                <w:sz w:val="17"/>
              </w:rPr>
              <w:t>方向確定後，組織設計與資源配置必須跟上</w:t>
            </w:r>
          </w:p>
        </w:tc>
      </w:tr>
      <w:tr>
        <w:tc>
          <w:tcPr>
            <w:tcW w:type="dxa" w:w="3009"/>
            <w:vAlign w:val="center"/>
          </w:tcPr>
          <w:p>
            <w:r/>
            <w:r>
              <w:rPr>
                <w:b w:val="0"/>
                <w:sz w:val="17"/>
              </w:rPr>
              <w:t>Mintzberg（1987）</w:t>
            </w:r>
          </w:p>
        </w:tc>
        <w:tc>
          <w:tcPr>
            <w:tcW w:type="dxa" w:w="3009"/>
            <w:vAlign w:val="center"/>
          </w:tcPr>
          <w:p>
            <w:r/>
            <w:r>
              <w:rPr>
                <w:b w:val="0"/>
                <w:sz w:val="17"/>
              </w:rPr>
              <w:t>策略只是計畫嗎？</w:t>
            </w:r>
          </w:p>
        </w:tc>
        <w:tc>
          <w:tcPr>
            <w:tcW w:type="dxa" w:w="3009"/>
            <w:vAlign w:val="center"/>
          </w:tcPr>
          <w:p>
            <w:r/>
            <w:r>
              <w:rPr>
                <w:b w:val="0"/>
                <w:sz w:val="17"/>
              </w:rPr>
              <w:t>兼顧計畫、模式、定位、觀點與伎倆，承認策略可能浮現</w:t>
            </w:r>
          </w:p>
        </w:tc>
      </w:tr>
      <w:tr>
        <w:tc>
          <w:tcPr>
            <w:tcW w:type="dxa" w:w="3009"/>
            <w:vAlign w:val="center"/>
          </w:tcPr>
          <w:p>
            <w:r/>
            <w:r>
              <w:rPr>
                <w:b w:val="0"/>
                <w:sz w:val="17"/>
              </w:rPr>
              <w:t>Porter（1980/1985）</w:t>
            </w:r>
          </w:p>
        </w:tc>
        <w:tc>
          <w:tcPr>
            <w:tcW w:type="dxa" w:w="3009"/>
            <w:vAlign w:val="center"/>
          </w:tcPr>
          <w:p>
            <w:r/>
            <w:r>
              <w:rPr>
                <w:b w:val="0"/>
                <w:sz w:val="17"/>
              </w:rPr>
              <w:t>如何形成競爭優勢？</w:t>
            </w:r>
          </w:p>
        </w:tc>
        <w:tc>
          <w:tcPr>
            <w:tcW w:type="dxa" w:w="3009"/>
            <w:vAlign w:val="center"/>
          </w:tcPr>
          <w:p>
            <w:r/>
            <w:r>
              <w:rPr>
                <w:b w:val="0"/>
                <w:sz w:val="17"/>
              </w:rPr>
              <w:t>轉化為政策環境、服務供給與公共資源配置的選擇</w:t>
            </w:r>
          </w:p>
        </w:tc>
      </w:tr>
      <w:tr>
        <w:tc>
          <w:tcPr>
            <w:tcW w:type="dxa" w:w="3009"/>
            <w:vAlign w:val="center"/>
          </w:tcPr>
          <w:p>
            <w:r/>
            <w:r>
              <w:rPr>
                <w:b w:val="0"/>
                <w:sz w:val="17"/>
              </w:rPr>
              <w:t>Bryson &amp; George（2020）</w:t>
            </w:r>
          </w:p>
        </w:tc>
        <w:tc>
          <w:tcPr>
            <w:tcW w:type="dxa" w:w="3009"/>
            <w:vAlign w:val="center"/>
          </w:tcPr>
          <w:p>
            <w:r/>
            <w:r>
              <w:rPr>
                <w:b w:val="0"/>
                <w:sz w:val="17"/>
              </w:rPr>
              <w:t>公共組織如何整合形成、執行與學習？</w:t>
            </w:r>
          </w:p>
        </w:tc>
        <w:tc>
          <w:tcPr>
            <w:tcW w:type="dxa" w:w="3009"/>
            <w:vAlign w:val="center"/>
          </w:tcPr>
          <w:p>
            <w:r/>
            <w:r>
              <w:rPr>
                <w:b w:val="0"/>
                <w:sz w:val="17"/>
              </w:rPr>
              <w:t>把策略視為抱負與能力之間的橋梁</w:t>
            </w:r>
          </w:p>
        </w:tc>
      </w:tr>
      <w:tr>
        <w:tc>
          <w:tcPr>
            <w:tcW w:type="dxa" w:w="3009"/>
            <w:vAlign w:val="center"/>
          </w:tcPr>
          <w:p>
            <w:r/>
            <w:r>
              <w:rPr>
                <w:b w:val="0"/>
                <w:sz w:val="17"/>
              </w:rPr>
              <w:t>Moore（1995）</w:t>
            </w:r>
          </w:p>
        </w:tc>
        <w:tc>
          <w:tcPr>
            <w:tcW w:type="dxa" w:w="3009"/>
            <w:vAlign w:val="center"/>
          </w:tcPr>
          <w:p>
            <w:r/>
            <w:r>
              <w:rPr>
                <w:b w:val="0"/>
                <w:sz w:val="17"/>
              </w:rPr>
              <w:t>什麼策略才具有公共正當性？</w:t>
            </w:r>
          </w:p>
        </w:tc>
        <w:tc>
          <w:tcPr>
            <w:tcW w:type="dxa" w:w="3009"/>
            <w:vAlign w:val="center"/>
          </w:tcPr>
          <w:p>
            <w:r/>
            <w:r>
              <w:rPr>
                <w:b w:val="0"/>
                <w:sz w:val="17"/>
              </w:rPr>
              <w:t>公共價值＋合法性／支持＋操作能力共同成立</w:t>
            </w:r>
          </w:p>
        </w:tc>
      </w:tr>
    </w:tbl>
    <w:p>
      <w:r>
        <w:rPr>
          <w:i/>
          <w:sz w:val="16"/>
        </w:rPr>
        <w:t>資料來源：Chandler (1962)；Mintzberg (1987)；Porter (1980, 1985)；Bryson &amp; George (2020)；Moore (1995)。本圖為多文獻教學整合。</w:t>
      </w:r>
    </w:p>
    <w:p>
      <w:pPr>
        <w:spacing w:after="180" w:before="360"/>
      </w:pPr>
      <w:r>
        <w:rPr>
          <w:rFonts w:ascii="微軟正黑體" w:cs="微軟正黑體" w:eastAsia="微軟正黑體" w:hAnsi="微軟正黑體"/>
          <w:b/>
          <w:bCs/>
          <w:color w:val="1F4E79"/>
          <w:sz w:val="26"/>
          <w:szCs w:val="26"/>
        </w:rPr>
        <w:t xml:space="preserve">第二節　策略管理的層次與過程</w:t>
      </w:r>
    </w:p>
    <w:p>
      <w:pPr>
        <w:spacing w:after="140" w:before="260"/>
      </w:pPr>
      <w:r>
        <w:rPr>
          <w:rFonts w:ascii="微軟正黑體" w:cs="微軟正黑體" w:eastAsia="微軟正黑體" w:hAnsi="微軟正黑體"/>
          <w:b/>
          <w:bCs/>
          <w:color w:val="2E5C8A"/>
          <w:sz w:val="23"/>
          <w:szCs w:val="23"/>
        </w:rPr>
        <w:t xml:space="preserve">一、策略管理的層次</w:t>
      </w:r>
    </w:p>
    <w:p>
      <w:pPr>
        <w:spacing w:after="200" w:line="360"/>
        <w:ind w:firstLine="431"/>
        <w:jc w:val="both"/>
      </w:pPr>
      <w:r>
        <w:rPr>
          <w:rFonts w:ascii="微軟正黑體" w:cs="微軟正黑體" w:eastAsia="微軟正黑體" w:hAnsi="微軟正黑體"/>
          <w:sz w:val="22"/>
          <w:szCs w:val="22"/>
        </w:rPr>
        <w:t xml:space="preserve">在私部門,策略管理通常區分為三個層次:公司層次(Corporate Level)決定事業組合與多角化、事業層次(Business Level)決定競爭優勢、功能層次(Functional Level)決定各部門如何支持事業策略。轉化至公共部門,學界多主張四層模式:整體政府層次(Whole-of-Government)——如國家發展計畫、行政院施政方針,決定國家資源整體配置;機關層次(Organizational Level)——如部會中長程施政計畫,決定機關使命與策略領域;功能╱業務層次(Functional Level)——如人事、主計、資訊單位之功能策略,支持機關策略落地;操作層次(Operational Level)——如年度施政計畫、個別方案之操作細節與SOP。</w:t>
      </w:r>
    </w:p>
    <w:p>
      <w:pPr>
        <w:spacing w:after="200" w:line="360"/>
        <w:ind w:firstLine="431"/>
        <w:jc w:val="both"/>
      </w:pPr>
      <w:r>
        <w:rPr>
          <w:rFonts w:ascii="微軟正黑體" w:cs="微軟正黑體" w:eastAsia="微軟正黑體" w:hAnsi="微軟正黑體"/>
          <w:sz w:val="22"/>
          <w:szCs w:val="22"/>
        </w:rPr>
        <w:t xml:space="preserve">各層次必須縱向一致、橫向整合,透過策略地圖連結,否則易出現整體豪語、基層無感之斷裂。主權AI戰略即屬整體政府層次高度之國家策略,必須貫徹至機關與功能層次方能落實。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000"/>
        <w:gridCol w:w="2813"/>
        <w:gridCol w:w="2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層次</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私部門焦點</w:t>
            </w:r>
          </w:p>
        </w:tc>
        <w:tc>
          <w:tcPr>
            <w:tcW w:type="dxa" w:w="2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公部門轉化</w:t>
            </w:r>
          </w:p>
        </w:tc>
        <w:tc>
          <w:tcPr>
            <w:tcW w:type="dxa" w:w="2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AI脈絡之新課題</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整體／公司層次</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事業組合與多角化</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國家總體戰略、跨域政策組合(如AI島、淨零)</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主權AI作為國家安全與產業戰略</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事業／機關層次</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競爭策略與定位</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機關中長程計畫、核心公共任務定位</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機關AI轉型策略、數據主權定位</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功能層次</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行銷、製造、人資之策略</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人事、財務、資訊等幕僚功能策略</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AI治理、資訊安全、人才韌性</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操作層次</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作業與現場效率</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年度計畫、個案管理</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生成式AI輔助公文、流程自動化</w:t>
            </w:r>
          </w:p>
        </w:tc>
      </w:tr>
    </w:tbl>
    <w:p>
      <w:pPr>
        <w:spacing w:after="280" w:before="120"/>
        <w:jc w:val="center"/>
      </w:pPr>
      <w:r>
        <w:rPr>
          <w:rFonts w:ascii="微軟正黑體" w:cs="微軟正黑體" w:eastAsia="微軟正黑體" w:hAnsi="微軟正黑體"/>
          <w:i/>
          <w:iCs/>
          <w:color w:val="555555"/>
          <w:sz w:val="18"/>
          <w:szCs w:val="18"/>
        </w:rPr>
        <w:t xml:space="preserve">表20-2　策略管理層次:私部門與公部門對照</w:t>
      </w:r>
    </w:p>
    <w:p>
      <w:pPr>
        <w:spacing w:after="140" w:before="260"/>
      </w:pPr>
      <w:r>
        <w:rPr>
          <w:rFonts w:ascii="微軟正黑體" w:cs="微軟正黑體" w:eastAsia="微軟正黑體" w:hAnsi="微軟正黑體"/>
          <w:b/>
          <w:bCs/>
          <w:color w:val="2E5C8A"/>
          <w:sz w:val="23"/>
          <w:szCs w:val="23"/>
        </w:rPr>
        <w:t xml:space="preserve">二、策略管理的三階段過程</w:t>
      </w:r>
    </w:p>
    <w:p>
      <w:pPr>
        <w:spacing w:after="200" w:line="360"/>
        <w:ind w:firstLine="431"/>
        <w:jc w:val="both"/>
      </w:pPr>
      <w:r>
        <w:rPr>
          <w:rFonts w:ascii="微軟正黑體" w:cs="微軟正黑體" w:eastAsia="微軟正黑體" w:hAnsi="微軟正黑體"/>
          <w:sz w:val="22"/>
          <w:szCs w:val="22"/>
        </w:rPr>
        <w:t xml:space="preserve">策略管理之動態循環可分為三階段:策略規劃(Strategy Formulation)——包含價值澄清、願景使命界定、內外部環境分析、議題辨識、策略選項發展與方案抉擇。Bryson(2018)提出公部門策略規劃八步驟:建立初始共識、釐清組織授權與使命、發展使命與價值、評估內外部環境、辨識策略議題、發展策略、檢視與採納策略、建立願景,核心在於診斷與抉擇。策略執行(Strategy Implementation)——將策略轉化為行動,包含目標設定、資源配置、結構與流程重設、領導與溝通、文化調適。研究顯示約六成至八成之策略失敗於執行階段,原因包括目標不清、抗拒變革與跨部門協作不足。策略評估(Strategy Evaluation)——透過績效指標、回饋與課責,檢視策略是否創造公共價值,並啟動學習與調整。公共組織需同時管理對長官與民意機關(upward)、對公民與媒體(outward)與對內部成員(downward)之課責。</w:t>
      </w:r>
    </w:p>
    <w:p>
      <w:pPr>
        <w:spacing w:after="200" w:line="360"/>
        <w:ind w:firstLine="431"/>
        <w:jc w:val="both"/>
      </w:pPr>
      <w:r>
        <w:rPr>
          <w:rFonts w:ascii="微軟正黑體" w:cs="微軟正黑體" w:eastAsia="微軟正黑體" w:hAnsi="微軟正黑體"/>
          <w:sz w:val="22"/>
          <w:szCs w:val="22"/>
        </w:rPr>
        <w:t xml:space="preserve">在AI時代,此三階段不再線性,而呈現壓縮與疊代:生成式AI使規劃階段之資料蒐集與情境發展速度加快,執行階段透過數位孿生即時模擬,評估階段透過即時儀表板回饋,構成持續學習之策略迴圈(Strategic Learning Loop)。</w:t>
      </w:r>
    </w:p>
    <w:p>
      <w:pPr>
        <w:spacing w:after="180" w:before="360"/>
      </w:pPr>
      <w:r>
        <w:rPr>
          <w:rFonts w:ascii="微軟正黑體" w:cs="微軟正黑體" w:eastAsia="微軟正黑體" w:hAnsi="微軟正黑體"/>
          <w:b/>
          <w:bCs/>
          <w:color w:val="1F4E79"/>
          <w:sz w:val="26"/>
          <w:szCs w:val="26"/>
        </w:rPr>
        <w:t xml:space="preserve">第三節　組織使命、願景與目標</w:t>
      </w:r>
    </w:p>
    <w:p>
      <w:pPr>
        <w:spacing w:after="200" w:line="360"/>
        <w:ind w:firstLine="431"/>
        <w:jc w:val="both"/>
      </w:pPr>
      <w:r>
        <w:rPr>
          <w:rFonts w:ascii="微軟正黑體" w:cs="微軟正黑體" w:eastAsia="微軟正黑體" w:hAnsi="微軟正黑體"/>
          <w:sz w:val="22"/>
          <w:szCs w:val="22"/>
        </w:rPr>
        <w:t xml:space="preserve">願景(Vision)、使命(Mission)與價值(Value)是策略管理之哲學基石,回答「我們為何存在、欲往何去、依何原則行動」之根本問題。</w:t>
      </w:r>
    </w:p>
    <w:p>
      <w:pPr>
        <w:spacing w:after="200" w:line="360"/>
        <w:ind w:firstLine="431"/>
        <w:jc w:val="both"/>
      </w:pPr>
      <w:r>
        <w:rPr>
          <w:rFonts w:ascii="微軟正黑體" w:cs="微軟正黑體" w:eastAsia="微軟正黑體" w:hAnsi="微軟正黑體"/>
          <w:sz w:val="22"/>
          <w:szCs w:val="22"/>
        </w:rPr>
        <w:t xml:space="preserve">願景是組織未來欲達成之理想圖像,具有激勵、動員與整合功能。良好願景應符合SMART-C原則:具體(Specific)、可衡量(Measurable)、可達成(Achievable)、相關(Relevant)、有時限(Time-bound)與挑戰性(Challenging)。例如「打造以人為本、可信任之AI智慧國家」即具未來引導性。使命是組織存在之根本目的與核心任務,回答組織為誰創造何種價值。公共組織使命多源自法律授權,如衛生福利部使命為增進全民健康福祉。使命陳述應界定服務對象、核心服務與價值承諾,避免過度空泛或過度狹隘。核心價值是組織決策之指導原則,如依法行政、公平、正直、創新;AI時代需新增可信任、透明、可問責、永續與人本等價值,並與《人工智慧基本法》七大原則接軌。策略目標(Strategic Goals)是使命之具體化,區分為長期策略目標(三至五年)與年度績效目標,目標管理需導入OKR與BSC整合,使願景不僅是牆上口號,而是可追蹤之策略地圖節點。</w:t>
      </w:r>
    </w:p>
    <w:p>
      <w:r>
        <w:rPr>
          <w:b/>
          <w:sz w:val="22"/>
        </w:rPr>
        <w:t>概念圖20-B　公共策略的「外部—內部—價值」三層診斷</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分析層</w:t>
            </w:r>
          </w:p>
        </w:tc>
        <w:tc>
          <w:tcPr>
            <w:tcW w:type="dxa" w:w="2256"/>
            <w:vAlign w:val="center"/>
            <w:shd w:fill="D9EAF7"/>
          </w:tcPr>
          <w:p>
            <w:r/>
            <w:r>
              <w:rPr>
                <w:b/>
                <w:sz w:val="17"/>
              </w:rPr>
              <w:t>主要工具</w:t>
            </w:r>
          </w:p>
        </w:tc>
        <w:tc>
          <w:tcPr>
            <w:tcW w:type="dxa" w:w="2256"/>
            <w:vAlign w:val="center"/>
            <w:shd w:fill="D9EAF7"/>
          </w:tcPr>
          <w:p>
            <w:r/>
            <w:r>
              <w:rPr>
                <w:b/>
                <w:sz w:val="17"/>
              </w:rPr>
              <w:t>回答問題</w:t>
            </w:r>
          </w:p>
        </w:tc>
        <w:tc>
          <w:tcPr>
            <w:tcW w:type="dxa" w:w="2256"/>
            <w:vAlign w:val="center"/>
            <w:shd w:fill="D9EAF7"/>
          </w:tcPr>
          <w:p>
            <w:r/>
            <w:r>
              <w:rPr>
                <w:b/>
                <w:sz w:val="17"/>
              </w:rPr>
              <w:t>策略輸出</w:t>
            </w:r>
          </w:p>
        </w:tc>
      </w:tr>
      <w:tr>
        <w:tc>
          <w:tcPr>
            <w:tcW w:type="dxa" w:w="2256"/>
            <w:vAlign w:val="center"/>
          </w:tcPr>
          <w:p>
            <w:r/>
            <w:r>
              <w:rPr>
                <w:b w:val="0"/>
                <w:sz w:val="17"/>
              </w:rPr>
              <w:t>外部環境</w:t>
            </w:r>
          </w:p>
        </w:tc>
        <w:tc>
          <w:tcPr>
            <w:tcW w:type="dxa" w:w="2256"/>
            <w:vAlign w:val="center"/>
          </w:tcPr>
          <w:p>
            <w:r/>
            <w:r>
              <w:rPr>
                <w:b w:val="0"/>
                <w:sz w:val="17"/>
              </w:rPr>
              <w:t>PESTEL／五力</w:t>
            </w:r>
          </w:p>
        </w:tc>
        <w:tc>
          <w:tcPr>
            <w:tcW w:type="dxa" w:w="2256"/>
            <w:vAlign w:val="center"/>
          </w:tcPr>
          <w:p>
            <w:r/>
            <w:r>
              <w:rPr>
                <w:b w:val="0"/>
                <w:sz w:val="17"/>
              </w:rPr>
              <w:t>哪些變化、力量與制度約束正在改變行動空間？</w:t>
            </w:r>
          </w:p>
        </w:tc>
        <w:tc>
          <w:tcPr>
            <w:tcW w:type="dxa" w:w="2256"/>
            <w:vAlign w:val="center"/>
          </w:tcPr>
          <w:p>
            <w:r/>
            <w:r>
              <w:rPr>
                <w:b w:val="0"/>
                <w:sz w:val="17"/>
              </w:rPr>
              <w:t>機會、威脅、結構性限制</w:t>
            </w:r>
          </w:p>
        </w:tc>
      </w:tr>
      <w:tr>
        <w:tc>
          <w:tcPr>
            <w:tcW w:type="dxa" w:w="2256"/>
            <w:vAlign w:val="center"/>
          </w:tcPr>
          <w:p>
            <w:r/>
            <w:r>
              <w:rPr>
                <w:b w:val="0"/>
                <w:sz w:val="17"/>
              </w:rPr>
              <w:t>內部能力</w:t>
            </w:r>
          </w:p>
        </w:tc>
        <w:tc>
          <w:tcPr>
            <w:tcW w:type="dxa" w:w="2256"/>
            <w:vAlign w:val="center"/>
          </w:tcPr>
          <w:p>
            <w:r/>
            <w:r>
              <w:rPr>
                <w:b w:val="0"/>
                <w:sz w:val="17"/>
              </w:rPr>
              <w:t>RBV／VRIO</w:t>
            </w:r>
          </w:p>
        </w:tc>
        <w:tc>
          <w:tcPr>
            <w:tcW w:type="dxa" w:w="2256"/>
            <w:vAlign w:val="center"/>
          </w:tcPr>
          <w:p>
            <w:r/>
            <w:r>
              <w:rPr>
                <w:b w:val="0"/>
                <w:sz w:val="17"/>
              </w:rPr>
              <w:t>哪些資源與能力真正能支撐公共任務？</w:t>
            </w:r>
          </w:p>
        </w:tc>
        <w:tc>
          <w:tcPr>
            <w:tcW w:type="dxa" w:w="2256"/>
            <w:vAlign w:val="center"/>
          </w:tcPr>
          <w:p>
            <w:r/>
            <w:r>
              <w:rPr>
                <w:b w:val="0"/>
                <w:sz w:val="17"/>
              </w:rPr>
              <w:t>優勢、能力缺口、投資優先序</w:t>
            </w:r>
          </w:p>
        </w:tc>
      </w:tr>
      <w:tr>
        <w:tc>
          <w:tcPr>
            <w:tcW w:type="dxa" w:w="2256"/>
            <w:vAlign w:val="center"/>
          </w:tcPr>
          <w:p>
            <w:r/>
            <w:r>
              <w:rPr>
                <w:b w:val="0"/>
                <w:sz w:val="17"/>
              </w:rPr>
              <w:t>公共價值</w:t>
            </w:r>
          </w:p>
        </w:tc>
        <w:tc>
          <w:tcPr>
            <w:tcW w:type="dxa" w:w="2256"/>
            <w:vAlign w:val="center"/>
          </w:tcPr>
          <w:p>
            <w:r/>
            <w:r>
              <w:rPr>
                <w:b w:val="0"/>
                <w:sz w:val="17"/>
              </w:rPr>
              <w:t>Moore策略三角</w:t>
            </w:r>
          </w:p>
        </w:tc>
        <w:tc>
          <w:tcPr>
            <w:tcW w:type="dxa" w:w="2256"/>
            <w:vAlign w:val="center"/>
          </w:tcPr>
          <w:p>
            <w:r/>
            <w:r>
              <w:rPr>
                <w:b w:val="0"/>
                <w:sz w:val="17"/>
              </w:rPr>
              <w:t>方案是否具有公共價值、合法性／支持與操作能力？</w:t>
            </w:r>
          </w:p>
        </w:tc>
        <w:tc>
          <w:tcPr>
            <w:tcW w:type="dxa" w:w="2256"/>
            <w:vAlign w:val="center"/>
          </w:tcPr>
          <w:p>
            <w:r/>
            <w:r>
              <w:rPr>
                <w:b w:val="0"/>
                <w:sz w:val="17"/>
              </w:rPr>
              <w:t>可正當化的策略方向</w:t>
            </w:r>
          </w:p>
        </w:tc>
      </w:tr>
      <w:tr>
        <w:tc>
          <w:tcPr>
            <w:tcW w:type="dxa" w:w="2256"/>
            <w:vAlign w:val="center"/>
          </w:tcPr>
          <w:p>
            <w:r/>
            <w:r>
              <w:rPr>
                <w:b w:val="0"/>
                <w:sz w:val="17"/>
              </w:rPr>
              <w:t>整合選擇</w:t>
            </w:r>
          </w:p>
        </w:tc>
        <w:tc>
          <w:tcPr>
            <w:tcW w:type="dxa" w:w="2256"/>
            <w:vAlign w:val="center"/>
          </w:tcPr>
          <w:p>
            <w:r/>
            <w:r>
              <w:rPr>
                <w:b w:val="0"/>
                <w:sz w:val="17"/>
              </w:rPr>
              <w:t>SWOT／TOWS</w:t>
            </w:r>
          </w:p>
        </w:tc>
        <w:tc>
          <w:tcPr>
            <w:tcW w:type="dxa" w:w="2256"/>
            <w:vAlign w:val="center"/>
          </w:tcPr>
          <w:p>
            <w:r/>
            <w:r>
              <w:rPr>
                <w:b w:val="0"/>
                <w:sz w:val="17"/>
              </w:rPr>
              <w:t>外部機會威脅與內部能力如何配對？</w:t>
            </w:r>
          </w:p>
        </w:tc>
        <w:tc>
          <w:tcPr>
            <w:tcW w:type="dxa" w:w="2256"/>
            <w:vAlign w:val="center"/>
          </w:tcPr>
          <w:p>
            <w:r/>
            <w:r>
              <w:rPr>
                <w:b w:val="0"/>
                <w:sz w:val="17"/>
              </w:rPr>
              <w:t>成長、穩定、調整或組合策略</w:t>
            </w:r>
          </w:p>
        </w:tc>
      </w:tr>
    </w:tbl>
    <w:p>
      <w:r>
        <w:rPr>
          <w:i/>
          <w:sz w:val="16"/>
        </w:rPr>
        <w:t>資料來源：Porter (1980)；Barney (1991)；Bryson (2007, 2018)；Moore (1995)。本圖為本書多工具整合。</w:t>
      </w:r>
    </w:p>
    <w:p>
      <w:pPr>
        <w:spacing w:after="180" w:before="360"/>
      </w:pPr>
      <w:r>
        <w:rPr>
          <w:rFonts w:ascii="微軟正黑體" w:cs="微軟正黑體" w:eastAsia="微軟正黑體" w:hAnsi="微軟正黑體"/>
          <w:b/>
          <w:bCs/>
          <w:color w:val="1F4E79"/>
          <w:sz w:val="26"/>
          <w:szCs w:val="26"/>
        </w:rPr>
        <w:t xml:space="preserve">第四節　外部環境分析:機會與威脅</w:t>
      </w:r>
    </w:p>
    <w:p>
      <w:pPr>
        <w:spacing w:after="140" w:before="260"/>
      </w:pPr>
      <w:r>
        <w:rPr>
          <w:rFonts w:ascii="微軟正黑體" w:cs="微軟正黑體" w:eastAsia="微軟正黑體" w:hAnsi="微軟正黑體"/>
          <w:b/>
          <w:bCs/>
          <w:color w:val="2E5C8A"/>
          <w:sz w:val="23"/>
          <w:szCs w:val="23"/>
        </w:rPr>
        <w:t xml:space="preserve">一、總體環境分析:PESTEL</w:t>
      </w:r>
    </w:p>
    <w:p>
      <w:pPr>
        <w:spacing w:after="200" w:line="360"/>
        <w:ind w:firstLine="431"/>
        <w:jc w:val="both"/>
      </w:pPr>
      <w:r>
        <w:rPr>
          <w:rFonts w:ascii="微軟正黑體" w:cs="微軟正黑體" w:eastAsia="微軟正黑體" w:hAnsi="微軟正黑體"/>
          <w:sz w:val="22"/>
          <w:szCs w:val="22"/>
        </w:rPr>
        <w:t xml:space="preserve">總體環境指影響所有組織之大環境,常用PESTEL分析:政治(Political)——政黨輪替、地緣政治、兩岸關係;經濟(Economic)——經濟成長、通膨、產業結構轉型;社會(Social)——人口老化、少子女化、多元文化;科技(Technological)——生成式AI、半導體、量子通訊;環境(Environmental)——氣候變遷、淨零排放;法律(Legal)——AI基本法、個資法、資安法。近年科技構面已成最大變動源,生成式AI同時帶來效率機會與錯假訊息、資安外洩威脅,需納入國家安全層級分析。</w:t>
      </w:r>
    </w:p>
    <w:p>
      <w:pPr>
        <w:spacing w:after="140" w:before="260"/>
      </w:pPr>
      <w:r>
        <w:rPr>
          <w:rFonts w:ascii="微軟正黑體" w:cs="微軟正黑體" w:eastAsia="微軟正黑體" w:hAnsi="微軟正黑體"/>
          <w:b/>
          <w:bCs/>
          <w:color w:val="2E5C8A"/>
          <w:sz w:val="23"/>
          <w:szCs w:val="23"/>
        </w:rPr>
        <w:t xml:space="preserve">二、產業╱任務環境分析:五力分析之轉化</w:t>
      </w:r>
    </w:p>
    <w:p>
      <w:pPr>
        <w:spacing w:after="200" w:line="360"/>
        <w:ind w:firstLine="431"/>
        <w:jc w:val="both"/>
      </w:pPr>
      <w:r>
        <w:rPr>
          <w:rFonts w:ascii="微軟正黑體" w:cs="微軟正黑體" w:eastAsia="微軟正黑體" w:hAnsi="微軟正黑體"/>
          <w:sz w:val="22"/>
          <w:szCs w:val="22"/>
        </w:rPr>
        <w:t xml:space="preserve">Porter(1980)五力分析原用於產業競爭:現有競爭者、潛在進入者、替代品、供應商議價力、購買者議價力。公共部門雖無利潤競爭,但仍面臨類似力量:任務領域內之競合,同為提供公共服務之機關、公私協力夥伴間之資源競逐;潛在替代提供者,非營利組織、私部門與平台政府可能取代傳統官僚提供;公民╱使用者議價力,開放政府與公民意識提升,使公民以選票、抗爭與社群媒體施壓;資源供給者議價,主計、人事、數位發展部等管制機關與立法院預算審查;替代方案威脅,數位平台、AI代理人可能替代現有服務遞送模式。主權AI脈絡下,第五力更擴張為境外大型基礎模型(LLM)之壟斷威脅,若無在地模型,國家話語權將受制於境外模型之繁中比例與價值偏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000"/>
        <w:gridCol w:w="2813"/>
        <w:gridCol w:w="2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五力構面</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私部門原意</w:t>
            </w:r>
          </w:p>
        </w:tc>
        <w:tc>
          <w:tcPr>
            <w:tcW w:type="dxa" w:w="2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公部門轉化</w:t>
            </w:r>
          </w:p>
        </w:tc>
        <w:tc>
          <w:tcPr>
            <w:tcW w:type="dxa" w:w="2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AI與主權AI之新涵義</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現有競爭者</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同業競爭強度</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同級機關爭取預算與人才</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各部會爭奪AI算力與資料主權</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潛在進入者</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新廠商進入門檻</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外包、NGO與平台業者進入公共服務</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境外GAI平台低門檻進入政務應用</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替代品</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替代產品威脅</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替代政策工具與服務遞送管道</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AI代理人替代傳統臨櫃與公文流程</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供應商議價</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上游廠商控制力</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管制機關與立法監督</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國際算力晶片與雲端業者壟斷議價</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購買者議價</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客戶議價力</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公民與利害關係人施壓力</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公民對AI可解釋性與公平性要求升高</w:t>
            </w:r>
          </w:p>
        </w:tc>
      </w:tr>
    </w:tbl>
    <w:p>
      <w:pPr>
        <w:spacing w:after="280" w:before="120"/>
        <w:jc w:val="center"/>
      </w:pPr>
      <w:r>
        <w:rPr>
          <w:rFonts w:ascii="微軟正黑體" w:cs="微軟正黑體" w:eastAsia="微軟正黑體" w:hAnsi="微軟正黑體"/>
          <w:i/>
          <w:iCs/>
          <w:color w:val="555555"/>
          <w:sz w:val="18"/>
          <w:szCs w:val="18"/>
        </w:rPr>
        <w:t xml:space="preserve">表20-3　五力分析在公共部門與主權AI脈絡之轉化</w:t>
      </w:r>
    </w:p>
    <w:p>
      <w:pPr>
        <w:spacing w:after="180" w:before="360"/>
      </w:pPr>
      <w:r>
        <w:rPr>
          <w:rFonts w:ascii="微軟正黑體" w:cs="微軟正黑體" w:eastAsia="微軟正黑體" w:hAnsi="微軟正黑體"/>
          <w:b/>
          <w:bCs/>
          <w:color w:val="1F4E79"/>
          <w:sz w:val="26"/>
          <w:szCs w:val="26"/>
        </w:rPr>
        <w:t xml:space="preserve">第五節　內部環境分析:優勢與劣勢</w:t>
      </w:r>
    </w:p>
    <w:p>
      <w:pPr>
        <w:spacing w:after="200" w:line="360"/>
        <w:ind w:firstLine="431"/>
        <w:jc w:val="both"/>
      </w:pPr>
      <w:r>
        <w:rPr>
          <w:rFonts w:ascii="微軟正黑體" w:cs="微軟正黑體" w:eastAsia="微軟正黑體" w:hAnsi="微軟正黑體"/>
          <w:sz w:val="22"/>
          <w:szCs w:val="22"/>
        </w:rPr>
        <w:t xml:space="preserve">內部環境分析旨在盤點資源與能力,判定優勢(Strengths)與劣勢(Weaknesses)。資源基礎觀(Resource-Based View, RBV)主張,組織持續優勢來自具VRIO特性之資源:價值(Value)——有價值,能把握機會或中和威脅;稀少性(Rarity)——稀少,非大量機關所握;難以模仿性(Inimitability)——難以模仿,具歷史獨特性、因果模糊或社會複雜性;組織性(Organization)——組織能有效運用該資源。</w:t>
      </w:r>
    </w:p>
    <w:p>
      <w:pPr>
        <w:spacing w:after="200" w:line="360"/>
        <w:ind w:firstLine="431"/>
        <w:jc w:val="both"/>
      </w:pPr>
      <w:r>
        <w:rPr>
          <w:rFonts w:ascii="微軟正黑體" w:cs="微軟正黑體" w:eastAsia="微軟正黑體" w:hAnsi="微軟正黑體"/>
          <w:sz w:val="22"/>
          <w:szCs w:val="22"/>
        </w:rPr>
        <w:t xml:space="preserve">公共組織獨特資源包括:法定授權、公共信任、跨域資料治理權、第一線服務網絡、繁中高品質治理語料等。TAIDE之戰略意義即在將台灣繁中語料、在地文化與民主價值轉化為VRIO資源,形成難以被境外模型取代之優勢。反之,劣勢包括:僵化人事制度、風險規避文化、資料孤島、AI素養落差與長期依賴境外雲端之算力依賴。</w:t>
      </w:r>
    </w:p>
    <w:p>
      <w:pPr>
        <w:spacing w:after="180" w:before="360"/>
      </w:pPr>
      <w:r>
        <w:rPr>
          <w:rFonts w:ascii="微軟正黑體" w:cs="微軟正黑體" w:eastAsia="微軟正黑體" w:hAnsi="微軟正黑體"/>
          <w:b/>
          <w:bCs/>
          <w:color w:val="1F4E79"/>
          <w:sz w:val="26"/>
          <w:szCs w:val="26"/>
        </w:rPr>
        <w:t xml:space="preserve">第六節　SWOT分析與策略類型</w:t>
      </w:r>
    </w:p>
    <w:p>
      <w:pPr>
        <w:spacing w:after="140" w:before="260"/>
      </w:pPr>
      <w:r>
        <w:rPr>
          <w:rFonts w:ascii="微軟正黑體" w:cs="微軟正黑體" w:eastAsia="微軟正黑體" w:hAnsi="微軟正黑體"/>
          <w:b/>
          <w:bCs/>
          <w:color w:val="2E5C8A"/>
          <w:sz w:val="23"/>
          <w:szCs w:val="23"/>
        </w:rPr>
        <w:t xml:space="preserve">一、SWOT與TOWS矩陣</w:t>
      </w:r>
    </w:p>
    <w:p>
      <w:pPr>
        <w:spacing w:after="200" w:line="360"/>
        <w:ind w:firstLine="431"/>
        <w:jc w:val="both"/>
      </w:pPr>
      <w:r>
        <w:rPr>
          <w:rFonts w:ascii="微軟正黑體" w:cs="微軟正黑體" w:eastAsia="微軟正黑體" w:hAnsi="微軟正黑體"/>
          <w:sz w:val="22"/>
          <w:szCs w:val="22"/>
        </w:rPr>
        <w:t xml:space="preserve">SWOT分析由Andrews(1971)與Weihrich發展,將內部優勢劣勢與外部機會威脅交叉,形成四種策略:SO(優勢-機會)——擴張型策略,運用優勢把握機會;WO(劣勢-機會)——轉向型策略,克服劣勢以掌握機會;ST(優勢-威脅)——防禦型策略,運用優勢降低威脅;WT(劣勢-威脅)——緊縮或退避型策略,減少劣勢並避開威脅。公共組織常以TOWS(Weihrich, 1982)強調先外部後內部之順序,避免閉門造車。SWOT需有佐證數據,不能流於主觀臆測清單,須結合VRIO與PESTEL證據。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813"/>
        <w:gridCol w:w="3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內部優勢S</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內部劣勢W</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外部機會O</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SO成長擴張:運用繁中語料與半導體優勢,發展TAIDE與AI算力中心</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WO轉型補強:引進數位人才、打破資料孤島,以掌握AI島機會</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外部威脅T</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ST多元防禦:以資安能量與法律授權,防範境外AI假訊息與資料壟斷</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WT防守節流:避免貿然全面導入黑箱AI,先建法制與素養基礎</w:t>
            </w:r>
          </w:p>
        </w:tc>
      </w:tr>
    </w:tbl>
    <w:p>
      <w:pPr>
        <w:spacing w:after="280" w:before="120"/>
        <w:jc w:val="center"/>
      </w:pPr>
      <w:r>
        <w:rPr>
          <w:rFonts w:ascii="微軟正黑體" w:cs="微軟正黑體" w:eastAsia="微軟正黑體" w:hAnsi="微軟正黑體"/>
          <w:i/>
          <w:iCs/>
          <w:color w:val="555555"/>
          <w:sz w:val="18"/>
          <w:szCs w:val="18"/>
        </w:rPr>
        <w:t xml:space="preserve">表20-4　SWOT/TOWS矩陣與公部門策略類型</w:t>
      </w:r>
    </w:p>
    <w:p>
      <w:pPr>
        <w:spacing w:after="140" w:before="260"/>
      </w:pPr>
      <w:r>
        <w:rPr>
          <w:rFonts w:ascii="微軟正黑體" w:cs="微軟正黑體" w:eastAsia="微軟正黑體" w:hAnsi="微軟正黑體"/>
          <w:b/>
          <w:bCs/>
          <w:color w:val="2E5C8A"/>
          <w:sz w:val="23"/>
          <w:szCs w:val="23"/>
        </w:rPr>
        <w:t xml:space="preserve">二、公共組織策略類型</w:t>
      </w:r>
    </w:p>
    <w:p>
      <w:pPr>
        <w:spacing w:after="200" w:line="360"/>
        <w:ind w:firstLine="431"/>
        <w:jc w:val="both"/>
      </w:pPr>
      <w:r>
        <w:rPr>
          <w:rFonts w:ascii="微軟正黑體" w:cs="微軟正黑體" w:eastAsia="微軟正黑體" w:hAnsi="微軟正黑體"/>
          <w:sz w:val="22"/>
          <w:szCs w:val="22"/>
        </w:rPr>
        <w:t xml:space="preserve">依層次,可區分:成長策略——擴張服務領域或對象,如數位發展部推動全國普惠AI應用;穩定策略——維持現有服務品質與範疇,強調效率與法制穩定;縮減策略——裁撤冗餘、整併機關,如任務完成後之臨時編組退場;組合策略——不同業務採不同策略組合。依Miles &amp; Snow(1978)之公部門調適:探勘者(Prospector)——積極創新,如率先試辦生成式AI公文;防禦者(Defender)——注重效率與穩定;分析者(Analyzer)——平衡探勘與防禦;反應者(Reactor)——被動回應,缺乏一致策略。研究顯示,具探勘與分析傾向之機關在AI轉型中績效較佳。</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AI脈絡舉例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成長／擴張</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增加服務範圍與對象</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擴散TAIDE至百工百業,建置AI新十大建設</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穩定／維持</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維持品質與法遵</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維持人機協作比例,確保人工覆核</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縮減／撤退</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精簡或退場</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退場重複低效之傳統資訊系統</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依業務差異化策略</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高風險業務採穩定,創新業務採成長</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探勘者</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主動創新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國科會推動TAIDE 2.0與主權AI算力</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分析者</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穩中求變</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多數部會採沙盒試驗後擴散</w:t>
            </w:r>
          </w:p>
        </w:tc>
      </w:tr>
    </w:tbl>
    <w:p>
      <w:pPr>
        <w:spacing w:after="280" w:before="120"/>
        <w:jc w:val="center"/>
      </w:pPr>
      <w:r>
        <w:rPr>
          <w:rFonts w:ascii="微軟正黑體" w:cs="微軟正黑體" w:eastAsia="微軟正黑體" w:hAnsi="微軟正黑體"/>
          <w:i/>
          <w:iCs/>
          <w:color w:val="555555"/>
          <w:sz w:val="18"/>
          <w:szCs w:val="18"/>
        </w:rPr>
        <w:t xml:space="preserve">表20-5　公共組織策略類型與AI脈絡舉例</w:t>
      </w:r>
    </w:p>
    <w:p>
      <w:pPr>
        <w:spacing w:after="180" w:before="360"/>
      </w:pPr>
      <w:r>
        <w:rPr>
          <w:rFonts w:ascii="微軟正黑體" w:cs="微軟正黑體" w:eastAsia="微軟正黑體" w:hAnsi="微軟正黑體"/>
          <w:b/>
          <w:bCs/>
          <w:color w:val="1F4E79"/>
          <w:sz w:val="26"/>
          <w:szCs w:val="26"/>
        </w:rPr>
        <w:t xml:space="preserve">第七節　策略性績效管理:平衡計分卡與策略地圖</w:t>
      </w:r>
    </w:p>
    <w:p>
      <w:pPr>
        <w:spacing w:after="200" w:line="360"/>
        <w:ind w:firstLine="431"/>
        <w:jc w:val="both"/>
      </w:pPr>
      <w:r>
        <w:rPr>
          <w:rFonts w:ascii="微軟正黑體" w:cs="微軟正黑體" w:eastAsia="微軟正黑體" w:hAnsi="微軟正黑體"/>
          <w:sz w:val="22"/>
          <w:szCs w:val="22"/>
        </w:rPr>
        <w:t xml:space="preserve">傳統績效管理僅重財務,難以衡量策略執行。Kaplan與Norton(1996, 2001)提出平衡計分卡(Balanced Scorecard, BSC),主張從四構面衡量:財務構面——預算執行效率、成本效益;顧客構面——公民滿意、服務可近性、數位包容;內部流程構面——流程效率、資安、資料治理成熟度;學習與成長構面——人員AI素養、組織學習能力、創新文化。公部門BSC之調整,Moore之公共價值與Niven(2008)主張將顧客構面提升至頂端,財務構面改為資源管理與課責,並於最上層增列使命或公共價值構面,呈現公共組織最終目的並非獲利而是公益。</w:t>
      </w:r>
    </w:p>
    <w:p>
      <w:pPr>
        <w:spacing w:after="200" w:line="360"/>
        <w:ind w:firstLine="431"/>
        <w:jc w:val="both"/>
      </w:pPr>
      <w:r>
        <w:rPr>
          <w:rFonts w:ascii="微軟正黑體" w:cs="微軟正黑體" w:eastAsia="微軟正黑體" w:hAnsi="微軟正黑體"/>
          <w:sz w:val="22"/>
          <w:szCs w:val="22"/>
        </w:rPr>
        <w:t xml:space="preserve">策略地圖(Strategy Map)是BSC之視覺化工具,以因果邏輯連結四構面目標,展現如何透過學習成長帶動內部流程改善,進而提升顧客滿意與資源有效運用。AI時代之策略地圖已進化為AI戰略地圖,將算力、資料、模型與人才納入學習與成長構面,並將可信任AI原則(透明、可解釋、公平)納入內部流程與顧客構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000"/>
        <w:gridCol w:w="2813"/>
        <w:gridCol w:w="2813"/>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私部門指標</w:t>
            </w:r>
          </w:p>
        </w:tc>
        <w:tc>
          <w:tcPr>
            <w:tcW w:type="dxa" w:w="2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公部門轉化指標</w:t>
            </w:r>
          </w:p>
        </w:tc>
        <w:tc>
          <w:tcPr>
            <w:tcW w:type="dxa" w:w="2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AI時代新增指標</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財務／資源</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營收、ROI</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預算執行率、成本效益</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算力投資效益、AI成本可持續性</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顧客／公民</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顧客滿意、市占率</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公民滿意度、陳情回應時間</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AI服務包容性、演算法公平性感知</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內部流程</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品質、時程</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作業流程效率、法規遵循</w:t>
            </w:r>
          </w:p>
        </w:tc>
        <w:tc>
          <w:tcPr>
            <w:tcW w:type="dxa" w:w="2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資料治理成熟度、模型風險分級、資安事件</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學習成長</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員工訓練、資訊系統</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公務人員專業能力、知識管理</w:t>
            </w:r>
          </w:p>
        </w:tc>
        <w:tc>
          <w:tcPr>
            <w:tcW w:type="dxa" w:w="2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AI素養涵蓋率、繁中語料貢獻量、TAIDE使用度</w:t>
            </w:r>
          </w:p>
        </w:tc>
      </w:tr>
    </w:tbl>
    <w:p>
      <w:pPr>
        <w:spacing w:after="280" w:before="120"/>
        <w:jc w:val="center"/>
      </w:pPr>
      <w:r>
        <w:rPr>
          <w:rFonts w:ascii="微軟正黑體" w:cs="微軟正黑體" w:eastAsia="微軟正黑體" w:hAnsi="微軟正黑體"/>
          <w:i/>
          <w:iCs/>
          <w:color w:val="555555"/>
          <w:sz w:val="18"/>
          <w:szCs w:val="18"/>
        </w:rPr>
        <w:t xml:space="preserve">表20-6　平衡計分卡在公部門與AI時代之轉化</w:t>
      </w:r>
    </w:p>
    <w:p>
      <w:r>
        <w:rPr>
          <w:b/>
          <w:sz w:val="22"/>
        </w:rPr>
        <w:t>概念圖20-D　AI時代策略治理：AI提供分析速度，但不外包價值選擇</w:t>
      </w:r>
    </w:p>
    <w:tbl>
      <w:tblPr>
        <w:tblW w:type="auto" w:w="0"/>
        <w:jc w:val="center"/>
        <w:tblLook w:firstColumn="1" w:firstRow="1" w:lastColumn="0" w:lastRow="0" w:noHBand="0" w:noVBand="1" w:val="04A0"/>
      </w:tblPr>
      <w:tblGrid>
        <w:gridCol w:w="3009"/>
        <w:gridCol w:w="3009"/>
        <w:gridCol w:w="3009"/>
      </w:tblGrid>
      <w:tr>
        <w:tc>
          <w:tcPr>
            <w:tcW w:type="dxa" w:w="3009"/>
            <w:vAlign w:val="center"/>
            <w:shd w:fill="D9EAF7"/>
          </w:tcPr>
          <w:p>
            <w:r/>
            <w:r>
              <w:rPr>
                <w:b/>
                <w:sz w:val="17"/>
              </w:rPr>
              <w:t>策略節點</w:t>
            </w:r>
          </w:p>
        </w:tc>
        <w:tc>
          <w:tcPr>
            <w:tcW w:type="dxa" w:w="3009"/>
            <w:vAlign w:val="center"/>
            <w:shd w:fill="D9EAF7"/>
          </w:tcPr>
          <w:p>
            <w:r/>
            <w:r>
              <w:rPr>
                <w:b/>
                <w:sz w:val="17"/>
              </w:rPr>
              <w:t>AI可增強之處</w:t>
            </w:r>
          </w:p>
        </w:tc>
        <w:tc>
          <w:tcPr>
            <w:tcW w:type="dxa" w:w="3009"/>
            <w:vAlign w:val="center"/>
            <w:shd w:fill="D9EAF7"/>
          </w:tcPr>
          <w:p>
            <w:r/>
            <w:r>
              <w:rPr>
                <w:b/>
                <w:sz w:val="17"/>
              </w:rPr>
              <w:t>不可外包的治理責任</w:t>
            </w:r>
          </w:p>
        </w:tc>
      </w:tr>
      <w:tr>
        <w:tc>
          <w:tcPr>
            <w:tcW w:type="dxa" w:w="3009"/>
            <w:vAlign w:val="center"/>
          </w:tcPr>
          <w:p>
            <w:r/>
            <w:r>
              <w:rPr>
                <w:b w:val="0"/>
                <w:sz w:val="17"/>
              </w:rPr>
              <w:t>環境掃描</w:t>
            </w:r>
          </w:p>
        </w:tc>
        <w:tc>
          <w:tcPr>
            <w:tcW w:type="dxa" w:w="3009"/>
            <w:vAlign w:val="center"/>
          </w:tcPr>
          <w:p>
            <w:r/>
            <w:r>
              <w:rPr>
                <w:b w:val="0"/>
                <w:sz w:val="17"/>
              </w:rPr>
              <w:t>大量資料整理、趨勢偵測、異常訊號標記</w:t>
            </w:r>
          </w:p>
        </w:tc>
        <w:tc>
          <w:tcPr>
            <w:tcW w:type="dxa" w:w="3009"/>
            <w:vAlign w:val="center"/>
          </w:tcPr>
          <w:p>
            <w:r/>
            <w:r>
              <w:rPr>
                <w:b w:val="0"/>
                <w:sz w:val="17"/>
              </w:rPr>
              <w:t>決定何者值得公共注意，避免資料偏誤</w:t>
            </w:r>
          </w:p>
        </w:tc>
      </w:tr>
      <w:tr>
        <w:tc>
          <w:tcPr>
            <w:tcW w:type="dxa" w:w="3009"/>
            <w:vAlign w:val="center"/>
          </w:tcPr>
          <w:p>
            <w:r/>
            <w:r>
              <w:rPr>
                <w:b w:val="0"/>
                <w:sz w:val="17"/>
              </w:rPr>
              <w:t>方案生成</w:t>
            </w:r>
          </w:p>
        </w:tc>
        <w:tc>
          <w:tcPr>
            <w:tcW w:type="dxa" w:w="3009"/>
            <w:vAlign w:val="center"/>
          </w:tcPr>
          <w:p>
            <w:r/>
            <w:r>
              <w:rPr>
                <w:b w:val="0"/>
                <w:sz w:val="17"/>
              </w:rPr>
              <w:t>SWOT/TOWS草案、情境模擬</w:t>
            </w:r>
          </w:p>
        </w:tc>
        <w:tc>
          <w:tcPr>
            <w:tcW w:type="dxa" w:w="3009"/>
            <w:vAlign w:val="center"/>
          </w:tcPr>
          <w:p>
            <w:r/>
            <w:r>
              <w:rPr>
                <w:b w:val="0"/>
                <w:sz w:val="17"/>
              </w:rPr>
              <w:t>政治與價值判斷、利益衝突與公平取捨</w:t>
            </w:r>
          </w:p>
        </w:tc>
      </w:tr>
      <w:tr>
        <w:tc>
          <w:tcPr>
            <w:tcW w:type="dxa" w:w="3009"/>
            <w:vAlign w:val="center"/>
          </w:tcPr>
          <w:p>
            <w:r/>
            <w:r>
              <w:rPr>
                <w:b w:val="0"/>
                <w:sz w:val="17"/>
              </w:rPr>
              <w:t>資源配置</w:t>
            </w:r>
          </w:p>
        </w:tc>
        <w:tc>
          <w:tcPr>
            <w:tcW w:type="dxa" w:w="3009"/>
            <w:vAlign w:val="center"/>
          </w:tcPr>
          <w:p>
            <w:r/>
            <w:r>
              <w:rPr>
                <w:b w:val="0"/>
                <w:sz w:val="17"/>
              </w:rPr>
              <w:t>預算情境比較、能力缺口分析</w:t>
            </w:r>
          </w:p>
        </w:tc>
        <w:tc>
          <w:tcPr>
            <w:tcW w:type="dxa" w:w="3009"/>
            <w:vAlign w:val="center"/>
          </w:tcPr>
          <w:p>
            <w:r/>
            <w:r>
              <w:rPr>
                <w:b w:val="0"/>
                <w:sz w:val="17"/>
              </w:rPr>
              <w:t>正式授權、預算決定與責任歸屬</w:t>
            </w:r>
          </w:p>
        </w:tc>
      </w:tr>
      <w:tr>
        <w:tc>
          <w:tcPr>
            <w:tcW w:type="dxa" w:w="3009"/>
            <w:vAlign w:val="center"/>
          </w:tcPr>
          <w:p>
            <w:r/>
            <w:r>
              <w:rPr>
                <w:b w:val="0"/>
                <w:sz w:val="17"/>
              </w:rPr>
              <w:t>執行監測</w:t>
            </w:r>
          </w:p>
        </w:tc>
        <w:tc>
          <w:tcPr>
            <w:tcW w:type="dxa" w:w="3009"/>
            <w:vAlign w:val="center"/>
          </w:tcPr>
          <w:p>
            <w:r/>
            <w:r>
              <w:rPr>
                <w:b w:val="0"/>
                <w:sz w:val="17"/>
              </w:rPr>
              <w:t>即時指標、風險預警、數位孿生模擬</w:t>
            </w:r>
          </w:p>
        </w:tc>
        <w:tc>
          <w:tcPr>
            <w:tcW w:type="dxa" w:w="3009"/>
            <w:vAlign w:val="center"/>
          </w:tcPr>
          <w:p>
            <w:r/>
            <w:r>
              <w:rPr>
                <w:b w:val="0"/>
                <w:sz w:val="17"/>
              </w:rPr>
              <w:t>決定何時介入、修正或停止策略</w:t>
            </w:r>
          </w:p>
        </w:tc>
      </w:tr>
      <w:tr>
        <w:tc>
          <w:tcPr>
            <w:tcW w:type="dxa" w:w="3009"/>
            <w:vAlign w:val="center"/>
          </w:tcPr>
          <w:p>
            <w:r/>
            <w:r>
              <w:rPr>
                <w:b w:val="0"/>
                <w:sz w:val="17"/>
              </w:rPr>
              <w:t>學習回饋</w:t>
            </w:r>
          </w:p>
        </w:tc>
        <w:tc>
          <w:tcPr>
            <w:tcW w:type="dxa" w:w="3009"/>
            <w:vAlign w:val="center"/>
          </w:tcPr>
          <w:p>
            <w:r/>
            <w:r>
              <w:rPr>
                <w:b w:val="0"/>
                <w:sz w:val="17"/>
              </w:rPr>
              <w:t>彙整結果、情境比較、反事實分析</w:t>
            </w:r>
          </w:p>
        </w:tc>
        <w:tc>
          <w:tcPr>
            <w:tcW w:type="dxa" w:w="3009"/>
            <w:vAlign w:val="center"/>
          </w:tcPr>
          <w:p>
            <w:r/>
            <w:r>
              <w:rPr>
                <w:b w:val="0"/>
                <w:sz w:val="17"/>
              </w:rPr>
              <w:t>重新檢視策略假設，而非把模型輸出當真理</w:t>
            </w:r>
          </w:p>
        </w:tc>
      </w:tr>
    </w:tbl>
    <w:p>
      <w:r>
        <w:rPr>
          <w:i/>
          <w:sz w:val="16"/>
        </w:rPr>
        <w:t>資料來源：OECD (2025), Governing with Artificial Intelligence；《人工智慧基本法》（2026）。本圖屬本書AI策略治理分析工具。</w:t>
      </w:r>
    </w:p>
    <w:p>
      <w:pPr>
        <w:spacing w:after="180" w:before="360"/>
      </w:pPr>
      <w:r>
        <w:rPr>
          <w:rFonts w:ascii="微軟正黑體" w:cs="微軟正黑體" w:eastAsia="微軟正黑體" w:hAnsi="微軟正黑體"/>
          <w:b/>
          <w:bCs/>
          <w:color w:val="1F4E79"/>
          <w:sz w:val="26"/>
          <w:szCs w:val="26"/>
        </w:rPr>
        <w:t xml:space="preserve">第八節　AI時代的策略管理:AI驅動SWOT與動態策略</w:t>
      </w:r>
    </w:p>
    <w:p>
      <w:pPr>
        <w:spacing w:after="140" w:before="260"/>
      </w:pPr>
      <w:r>
        <w:rPr>
          <w:rFonts w:ascii="微軟正黑體" w:cs="微軟正黑體" w:eastAsia="微軟正黑體" w:hAnsi="微軟正黑體"/>
          <w:b/>
          <w:bCs/>
          <w:color w:val="2E5C8A"/>
          <w:sz w:val="23"/>
          <w:szCs w:val="23"/>
        </w:rPr>
        <w:t xml:space="preserve">一、生成式AI對傳統策略規劃之挑戰</w:t>
      </w:r>
    </w:p>
    <w:p>
      <w:pPr>
        <w:spacing w:after="200" w:line="360"/>
        <w:ind w:firstLine="431"/>
        <w:jc w:val="both"/>
      </w:pPr>
      <w:r>
        <w:rPr>
          <w:rFonts w:ascii="微軟正黑體" w:cs="微軟正黑體" w:eastAsia="微軟正黑體" w:hAnsi="微軟正黑體"/>
          <w:sz w:val="22"/>
          <w:szCs w:val="22"/>
        </w:rPr>
        <w:t xml:space="preserve">傳統策略規劃假設環境相對可預測、資訊可透過專家工作坊取得。生成式AI帶來三重破壞:速度破壞——技術週期從年縮至月,SWOT若一年做一次即失效;資訊破壞——AI生成內容造成資訊過剩與真假難辨,專家直覺可能被幻覺(Hallucination)污染;能力破壞——原有優勢(如人力充足)可能因AI自動化而快速貶值,VRIO需重新評價。因此,SWOT是否失效成為核心治理挑戰。學者主張並非工具失效,而是靜態使用方式失效,需轉向AI增強之動態SWOT。</w:t>
      </w:r>
    </w:p>
    <w:p>
      <w:pPr>
        <w:spacing w:after="140" w:before="260"/>
      </w:pPr>
      <w:r>
        <w:rPr>
          <w:rFonts w:ascii="微軟正黑體" w:cs="微軟正黑體" w:eastAsia="微軟正黑體" w:hAnsi="微軟正黑體"/>
          <w:b/>
          <w:bCs/>
          <w:color w:val="2E5C8A"/>
          <w:sz w:val="23"/>
          <w:szCs w:val="23"/>
        </w:rPr>
        <w:t xml:space="preserve">二、AI驅動SWOT(AI-Augmented SWOT)</w:t>
      </w:r>
    </w:p>
    <w:p>
      <w:pPr>
        <w:spacing w:after="200" w:line="360"/>
        <w:ind w:firstLine="431"/>
        <w:jc w:val="both"/>
      </w:pPr>
      <w:r>
        <w:rPr>
          <w:rFonts w:ascii="微軟正黑體" w:cs="微軟正黑體" w:eastAsia="微軟正黑體" w:hAnsi="微軟正黑體"/>
          <w:sz w:val="22"/>
          <w:szCs w:val="22"/>
        </w:rPr>
        <w:t xml:space="preserve">AI驅動SWOT運用生成式AI與資料分析,強化SWOT之廣度、深度與即時性:資料廣度——透過自然語言處理(NLP)即時爬梳民意、新聞、國際評比與法規草案,自動識別機會與威脅,避免專家偏誤;深度分析——結合知識圖譜與因果推論,挖掘優勢與劣勢間之隱藏連結,例如繁中語料品質與模型公平性之關聯;動態模擬——以數位孿生(Digital Twin)與代理人基建模(Agent-Based Modeling)模擬不同策略組合之後果,進行反事實推理;偏誤校正——透過紅隊演練與可解釋AI(XAI)揭露SWOT過程之人為偏誤與資料偏誤,強化可問責。然AI驅動SWOT亦有限制:資料品質決定分析品質、模型偏見可能複製既有權力結構、過度依賴AI將導致策略思考能力空洞化。因此,人機共構(Human-AI Teaming)之設計至關重要,人類負責價值判斷與民主正當性,AI負責資料處理與情境推演。</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傳統SWOT</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AI驅動SWOT</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資料來源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專家工作坊、問卷</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NLP整合民意、開放資料、社群、國際資料庫</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更新頻率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年度或專案式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即時儀表板、連續監測</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分析深度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主觀質性描述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量化證據＋因果圖譜＋情境模擬</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參與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少數高階主管</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擴大公民與基層參與,AI輔助共識萃取</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風險</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從眾與權威偏誤</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幻覺、偏見、自動化偏誤,需人機覆核</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產出</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靜態四象限清單</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動態策略地圖與數位孿生模擬劇本</w:t>
            </w:r>
          </w:p>
        </w:tc>
      </w:tr>
    </w:tbl>
    <w:p>
      <w:pPr>
        <w:spacing w:after="280" w:before="120"/>
        <w:jc w:val="center"/>
      </w:pPr>
      <w:r>
        <w:rPr>
          <w:rFonts w:ascii="微軟正黑體" w:cs="微軟正黑體" w:eastAsia="微軟正黑體" w:hAnsi="微軟正黑體"/>
          <w:i/>
          <w:iCs/>
          <w:color w:val="555555"/>
          <w:sz w:val="18"/>
          <w:szCs w:val="18"/>
        </w:rPr>
        <w:t xml:space="preserve">表20-7　傳統SWOT vs AI驅動SWOT之比較</w:t>
      </w:r>
    </w:p>
    <w:p>
      <w:pPr>
        <w:spacing w:after="140" w:before="260"/>
      </w:pPr>
      <w:r>
        <w:rPr>
          <w:rFonts w:ascii="微軟正黑體" w:cs="微軟正黑體" w:eastAsia="微軟正黑體" w:hAnsi="微軟正黑體"/>
          <w:b/>
          <w:bCs/>
          <w:color w:val="2E5C8A"/>
          <w:sz w:val="23"/>
          <w:szCs w:val="23"/>
        </w:rPr>
        <w:t xml:space="preserve">三、數位孿生戰略模擬</w:t>
      </w:r>
    </w:p>
    <w:p>
      <w:pPr>
        <w:spacing w:after="200" w:line="360"/>
        <w:ind w:firstLine="431"/>
        <w:jc w:val="both"/>
      </w:pPr>
      <w:r>
        <w:rPr>
          <w:rFonts w:ascii="微軟正黑體" w:cs="微軟正黑體" w:eastAsia="微軟正黑體" w:hAnsi="微軟正黑體"/>
          <w:sz w:val="22"/>
          <w:szCs w:val="22"/>
        </w:rPr>
        <w:t xml:space="preserve">數位孿生政府(Digital Twin Government)指以即時資料建構實體政府運作之虛擬鏡像,進行政策與策略之前瞻模擬。例如新加坡Virtual Singapore可模擬交通、能源與災防政策之跨域外溢。我國可運用國網中心算力與部會資料,建立部會或地方政府之數位孿生,測試不同主權AI投資組合(如算力vs人才vs資料)對公共價值之長期影響,提升策略韌性。</w:t>
      </w:r>
    </w:p>
    <w:p>
      <w:pPr>
        <w:spacing w:after="180" w:before="360"/>
      </w:pPr>
      <w:r>
        <w:rPr>
          <w:rFonts w:ascii="微軟正黑體" w:cs="微軟正黑體" w:eastAsia="微軟正黑體" w:hAnsi="微軟正黑體"/>
          <w:b/>
          <w:bCs/>
          <w:color w:val="1F4E79"/>
          <w:sz w:val="26"/>
          <w:szCs w:val="26"/>
        </w:rPr>
        <w:t xml:space="preserve">第九節　AI治理專節:策略管理的AI增強與主權AI戰略</w:t>
      </w:r>
    </w:p>
    <w:p>
      <w:pPr>
        <w:spacing w:after="200" w:line="360"/>
        <w:ind w:firstLine="431"/>
        <w:jc w:val="both"/>
      </w:pPr>
      <w:r>
        <w:rPr>
          <w:rFonts w:ascii="微軟正黑體" w:cs="微軟正黑體" w:eastAsia="微軟正黑體" w:hAnsi="微軟正黑體"/>
          <w:sz w:val="22"/>
          <w:szCs w:val="22"/>
        </w:rPr>
        <w:t xml:space="preserve">本節聚焦AI時代策略管理之治理挑戰、理論回應、工具與台灣路徑。治理挑戰有二:一、SWOT在生成式AI時代是否失效?傳統SWOT依賴年度專家工作坊與主觀判斷,面對生成式AI帶來之高速不確定、資訊超載與能力快速折舊,若仍一年一次,易淪為策略劇場。二、主權AI作為國家策略之急迫性:當繁中語料多混雜簡體偏誤,算力與基礎模型由少數境外企業壟斷時,若無主權AI,國家將喪失語言、文化與民主話語主權,形同將社會大腦外包。</w:t>
      </w:r>
    </w:p>
    <w:p>
      <w:pPr>
        <w:spacing w:after="200" w:line="360"/>
        <w:ind w:firstLine="431"/>
        <w:jc w:val="both"/>
      </w:pPr>
      <w:r>
        <w:rPr>
          <w:rFonts w:ascii="微軟正黑體" w:cs="微軟正黑體" w:eastAsia="微軟正黑體" w:hAnsi="微軟正黑體"/>
          <w:sz w:val="22"/>
          <w:szCs w:val="22"/>
        </w:rPr>
        <w:t xml:space="preserve">理論回應上,第一,策略管理三階段重構為敏捷循環:規劃階段導入AI驅動環境掃描與情境推演,執行階段以AI代理人分工與MLOps維運,評估階段以即時儀表板與演算法影響評估(AIA)促成雙圈學習。第二,主權AI四主權戰略:資料主權(可信任資料治理與繁中語料共用)、運算主權(自主綠色算力中心)、模型主權(發展TAIDE等可信任基礎模型)、治理主權(AI基本法與風險分級確保價值對齊),四者缺一不可。第三,GovTech戰略透過採購、沙盒與平台化形成政府即平台生態;第四,AI風險戰略依風險分級(不可接受、高風險、有限、最小)進行差異化治理,高風險要求標示、AIA與人工覆核。</w:t>
      </w:r>
    </w:p>
    <w:p>
      <w:pPr>
        <w:spacing w:after="200" w:line="360"/>
        <w:ind w:firstLine="431"/>
        <w:jc w:val="both"/>
      </w:pPr>
      <w:r>
        <w:rPr>
          <w:rFonts w:ascii="微軟正黑體" w:cs="微軟正黑體" w:eastAsia="微軟正黑體" w:hAnsi="微軟正黑體"/>
          <w:sz w:val="22"/>
          <w:szCs w:val="22"/>
        </w:rPr>
        <w:t xml:space="preserve">工具構面包括:AI戰略地圖將BSC擴充為算力、資料、模型、人才與公共價值五支柱;數位孿生戰略模擬在虛擬環境測試不同主權AI投資組合之政經社衝擊,提升韌性。</w:t>
      </w:r>
    </w:p>
    <w:p>
      <w:pPr>
        <w:spacing w:after="200" w:line="360"/>
        <w:ind w:firstLine="431"/>
        <w:jc w:val="both"/>
      </w:pPr>
      <w:r>
        <w:rPr>
          <w:rFonts w:ascii="微軟正黑體" w:cs="微軟正黑體" w:eastAsia="微軟正黑體" w:hAnsi="微軟正黑體"/>
          <w:sz w:val="22"/>
          <w:szCs w:val="22"/>
        </w:rPr>
        <w:t xml:space="preserve">台灣案例:AI基本法歷經2024年7月國科會預告、2025年8月行政院通過、2025年12月立法院三讀,確立永續、人類自主、隱私與資料治理、安全、透明可解釋、公平、可問責七大原則與四大推動重點,要求建立風險分類與資料開放機制,定錨AI島願景。TAIDE戰略方面,國科會自2023年以TAIWANIA 2算力為基礎,建構繁中與在地文化語料,採RLHF發展可信任模型,並結合TAIWAN AI RAP平台形成算力—平台—模型—應用之主權AI生態,展現三主權實踐,後續需以AIA與公民參與持續檢視,邁向民主主權AI典範。</w:t>
      </w:r>
    </w:p>
    <w:p>
      <w:pPr>
        <w:spacing w:after="200" w:line="360"/>
        <w:ind w:firstLine="431"/>
        <w:jc w:val="both"/>
      </w:pPr>
      <w:r>
        <w:rPr>
          <w:rFonts w:ascii="微軟正黑體" w:cs="微軟正黑體" w:eastAsia="微軟正黑體" w:hAnsi="微軟正黑體"/>
          <w:sz w:val="22"/>
          <w:szCs w:val="22"/>
        </w:rPr>
        <w:t xml:space="preserve">觀念釐清：使命、SWOT與平衡計分卡先寫完</w:t>
      </w:r>
    </w:p>
    <w:p>
      <w:pPr>
        <w:spacing w:after="200" w:line="360"/>
        <w:ind w:firstLine="431"/>
        <w:jc w:val="both"/>
      </w:pPr>
      <w:r>
        <w:rPr>
          <w:rFonts w:ascii="微軟正黑體" w:cs="微軟正黑體" w:eastAsia="微軟正黑體" w:hAnsi="微軟正黑體"/>
          <w:sz w:val="22"/>
          <w:szCs w:val="22"/>
        </w:rPr>
        <w:t xml:space="preserve">策略管理的層次與過程、使命願景目標、內外環境、SWOT與策略類型、BSC與策略地圖，是策略章的共同語言。AI驅動SWOT與主權AI戰略，不能把使命換成模型可優化的指標就結束。左欄的公共價值與授權環境仍是Moore三角那一側。</w:t>
      </w:r>
    </w:p>
    <w:p>
      <w:pPr>
        <w:spacing w:after="180" w:before="360"/>
      </w:pPr>
      <w:r>
        <w:rPr>
          <w:rFonts w:ascii="微軟正黑體" w:cs="微軟正黑體" w:eastAsia="微軟正黑體" w:hAnsi="微軟正黑體"/>
          <w:b/>
          <w:bCs/>
          <w:color w:val="1F4E79"/>
          <w:sz w:val="26"/>
          <w:szCs w:val="26"/>
        </w:rPr>
        <w:t xml:space="preserve">AI鑲嵌後的權力與結構變化:策略形成中的權力位移</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AI環境掃描系統決定哪些趨勢被標記為「值得關注的變化」、哪些訊號被過濾為雜訊,實質上框定了策略規劃者能看見的世界;若掃描資料本身存有代表性缺口,策略議程便可能系統性地忽略特定群體之真實需求。</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行政裁量權(P2)的移轉:當AI生成之策略建議被直接視為方向選項(單圈修正),而非成為價值假定之檢討對象(雙圈學習),原本應由高層承擔之政治判斷裁量,實質上被壓縮為技術可行性的確認。</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公權力影響力(P3)的擴散:設計AI戰略模擬模型與訓練資料的技術團隊,對「未來被如何想像」擁有實質影響力,卻未必進入正式的策略決策與課責架構之中。</w:t>
      </w:r>
    </w:p>
    <w:p>
      <w:pPr>
        <w:spacing w:after="200" w:line="360"/>
        <w:ind w:firstLine="431"/>
        <w:jc w:val="both"/>
      </w:pPr>
      <w:r>
        <w:rPr>
          <w:rFonts w:ascii="微軟正黑體" w:cs="微軟正黑體" w:eastAsia="微軟正黑體" w:hAnsi="微軟正黑體"/>
          <w:sz w:val="22"/>
          <w:szCs w:val="22"/>
        </w:rPr>
        <w:t xml:space="preserve">三種結構性效應中,本章尤須警惕「技術官僚化的策略遁逃」:策略管理向來是政治性最強的管理功能之一,因其決定資源如何分配、誰的優先順序被採納;若AI生成的策略建議被誤認為客觀中立的最適解,決策者可能在不自覺中將政治判斷讓渡給技術系統,用分析的複雜性掩護對政治課責的實質迴避。此一現象與邊界消解亦相關:策略規劃與策略執行之邊界,因AI即時模擬與快速迭代而更難清楚劃分——今日的環境掃描結果,可能於數小時內已被納入明日的資源配置決策,留給民主審議的緩衝時間隨之壓縮。</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策略管理階段的四鏈七審應用,重點在於檢視AI是否僅提供選項而未僭越政治決策、策略執行是否可課責,以及主權AI四主權戰略是否落實: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AI環境掃描標記哪些趨勢為「值得關注之異常」,哪些訊號被系統性忽略</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資料代表性審計、組織能力審計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AI生成之策略建議是否僭越組織正式決策權威,政治判斷是否被技術可行性取代</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策略選擇之理由能否回溯至可理解之證據與價值權衡,而非僅呈現演算法輸出</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策略執行失敗或落差發生時,究責對象是規劃者、執行機關抑或AI模擬工具供應商</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表20-8　策略管理階段之四鏈七審應用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主權AI就像不想什麼都跟別人借鑰匙,自己也要留一套備用鑰匙。</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案例思考一(國際案例):法國主權AI戰略——Mistral的成功與國家策略執行落差</w:t>
      </w:r>
    </w:p>
    <w:p>
      <w:pPr>
        <w:spacing w:after="200" w:line="360"/>
        <w:ind w:firstLine="431"/>
        <w:jc w:val="both"/>
      </w:pPr>
      <w:r>
        <w:rPr>
          <w:rFonts w:ascii="微軟正黑體" w:cs="微軟正黑體" w:eastAsia="微軟正黑體" w:hAnsi="微軟正黑體"/>
          <w:sz w:val="22"/>
          <w:szCs w:val="22"/>
        </w:rPr>
        <w:t>法國自2018年推出「國家人工智慧戰略」(AI for Humanity)以來,已投入逾十億歐元,並於2025年2月主辦巴黎AI行動峰會,宣布私部門與國際夥伴合計約1,090億歐元之投資承諾,誓言將法國打造為「AI強權」。峰會後催生之新創獨角獸Mistral AI,以自主開發之大型語言模型迅速成為歐洲主權AI象徵,年度經常性營收超過4億美元,並於2026年與法國國防部簽署為期三年之合作協議,將其模型導入軍事幕僚作業(如公文摘要、情資翻譯與地理空間資訊分析),而非直接涉入戰鬥決策。</w:t>
      </w:r>
    </w:p>
    <w:p>
      <w:pPr>
        <w:spacing w:after="200" w:line="360"/>
        <w:ind w:firstLine="431"/>
        <w:jc w:val="both"/>
      </w:pPr>
      <w:r>
        <w:rPr>
          <w:rFonts w:ascii="微軟正黑體" w:cs="微軟正黑體" w:eastAsia="微軟正黑體" w:hAnsi="微軟正黑體"/>
          <w:sz w:val="22"/>
          <w:szCs w:val="22"/>
        </w:rPr>
        <w:t>然而,法國審計法院(Cour des Comptes)於2025年11月發布之國家AI戰略評估報告指出,前期戰略雖在研究端表現亮眼(全球AI論文產出排名第三),卻在「將研究優勢轉化為廣泛經濟採用」上出現嚴重落差:2023至2025年投入11億歐元之產業擴散經費,僅換來零星的公部門AI轉型成功案例;峰會宣布之1,090億歐元投資中,已知境外承諾即高達逾500億歐元(阿聯約300至500億歐元、加拿大布魯克菲爾德約200億歐元),佔比逾八成,法國本地承諾之精確金額則未見官方統一揭露;17年間法國數位事務部長更迭達11位,平均任期僅15個月,政策延續性長期斷裂;主權雲端計畫Cloudwatt與Numergy燒掉約1.5億歐元,兩者合計僅創造約800萬歐元營收(Cloudwatt約200萬歐元、Numergy約600萬歐元)後即告終止。分析者指出,Mistral之商業成功,主要奠基於創辦團隊在美國頂尖實驗室之訓練背景、美式創投資本挹注與境外雲端運算資源,而非國家戰略之直接培植——凸顯策略「宣稱之功」與「實質之功」間的責任歸屬爭議。此一落差促成2025年後之「AI for Humanity 2.0」階段,將重心從高調峰會宣示,轉向可課責之運算主權基礎建設(如Mistral於埃松省建置之約1.38萬顆GPU資料中心)與企業實際導入指標之追蹤。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在法國主權AI戰略案例中的具體意涵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峰會宣布1,090億歐元投資,惟逾八成為境外非拘束性承諾,資訊呈現框定了外界對戰略規模之認知</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資料代表性審計、民主課責審計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17年間更迭11位數位部長,平均任期15個月,策略權威與政策延續性高度斷裂</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法國審計法院於2025年11月發布獨立評估報告,系統性檢視戰略執行落差之證據與理由</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Mistral商業成功主要歸功於獨立於國家體系之人才、資本與運算資源,國家戰略之直接貢獻與宣稱功勞間存在落差</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表20-9　用四鏈七審檢視法國主權AI戰略案例</w:t>
      </w:r>
    </w:p>
    <w:p>
      <w:pPr>
        <w:spacing w:after="140" w:before="260"/>
      </w:pPr>
      <w:r>
        <w:rPr>
          <w:rFonts w:ascii="微軟正黑體" w:cs="微軟正黑體" w:eastAsia="微軟正黑體" w:hAnsi="微軟正黑體"/>
          <w:b/>
          <w:bCs/>
          <w:color w:val="2E5C8A"/>
          <w:sz w:val="23"/>
          <w:szCs w:val="23"/>
        </w:rPr>
        <w:t xml:space="preserve">案例思考二(國內案例):臺灣AI行動計畫2.0——五大策略主軸的期末策略評估</w:t>
      </w:r>
    </w:p>
    <w:p>
      <w:pPr>
        <w:spacing w:after="200" w:line="360"/>
        <w:ind w:firstLine="431"/>
        <w:jc w:val="both"/>
      </w:pPr>
      <w:r>
        <w:rPr>
          <w:rFonts w:ascii="微軟正黑體" w:cs="微軟正黑體" w:eastAsia="微軟正黑體" w:hAnsi="微軟正黑體"/>
          <w:sz w:val="22"/>
          <w:szCs w:val="22"/>
        </w:rPr>
        <w:t>國家科學及技術委員會於2023年2月提出「臺灣AI行動計畫2.0(2023-2026年)」,並於同年3月底經行政院核定,願景為「以AI帶動產業轉型升級、以AI協助增進社會福祉、讓臺灣成為全球AI新銳」。計畫涵蓋五大策略主軸:人才優化與擴增(每年培育AI研究人才600名、應用人才8,000人次)、技術深耕與產業發展(培育10家國際級AI軟硬體新創、AI晶片特定領域市占全球前3)、完善運作環境(資料治理、法制推動、AI評測中心)、提升國際影響力(參與GPAI全球AI夥伴聯盟、與美加法德以等國合作)、回應人文社會議題(發展3至5個AI實證方案,回應勞動力短缺、超高齡社會與淨零排放)。量化目標包括產業導入AI效益及軟硬體產值增加逾2,500億元新台幣,以及人才指數、商業化指數與頂尖AI論文產出排名於亞洲四小龍中進步一名。</w:t>
      </w:r>
    </w:p>
    <w:p>
      <w:pPr>
        <w:spacing w:after="200" w:line="360"/>
        <w:ind w:firstLine="431"/>
        <w:jc w:val="both"/>
      </w:pPr>
      <w:r>
        <w:rPr>
          <w:rFonts w:ascii="微軟正黑體" w:cs="微軟正黑體" w:eastAsia="微軟正黑體" w:hAnsi="微軟正黑體"/>
          <w:sz w:val="22"/>
          <w:szCs w:val="22"/>
        </w:rPr>
        <w:t xml:space="preserve">本計畫執行期至2026年届滿,恰為本書寫作之時點,適合以策略評估角度檢視:計畫由行政院智慧國家推動小組跨部會統籌,國科會科技辦公室協調執行,惟其量化目標多採「排名進步一名」之相對指標,易受其他三地(新加坡、香港、南韓)自身表現波動影響,未必能準確反映臺灣自身之絕對進步;預算規模則採「與科技計畫、前瞻基礎建設及各部會計畫統合推動」之分散編列方式,缺乏單一可追蹤之整體預算揭露機制,使外部監督與課責較為困難。此一案例對照Bryson策略評估理論中「課責必須同時對上、對外、對內」之要求,呈現公共部門策略在資源整合與成效揭露上的典型挑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在臺灣AI行動計畫2.0案例中的具體意涵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以「亞洲四小龍排名進步一名」定義成功,惟排名易受其他三地表現波動干擾,是否真實反映自身進步易生爭議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資料代表性審計、理由說明審計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由國科會統籌、行政院智慧國家推動小組跨部會協調,惟與六大核心戰略產業等方案分屬不同體系,權威分散</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計畫書明確揭示五大策略主軸與量化目標,惟預算採分散編列方式,缺乏單一可追蹤之整體預算揭露</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理由說明審計、資料代表性審計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計畫於2026年屆滿執行期,若量化目標未能達成,國科會、各部會與行政院之最終策略績效責任歸屬尚待明確化</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表20-10　用四鏈七審檢視臺灣AI行動計畫2.0期末評估</w:t>
      </w:r>
    </w:p>
    <w:p>
      <w:pPr>
        <w:spacing w:after="140" w:before="260"/>
      </w:pPr>
      <w:r>
        <w:rPr>
          <w:rFonts w:ascii="微軟正黑體" w:cs="微軟正黑體" w:eastAsia="微軟正黑體" w:hAnsi="微軟正黑體"/>
          <w:b/>
          <w:bCs/>
          <w:color w:val="2E5C8A"/>
          <w:sz w:val="23"/>
          <w:szCs w:val="23"/>
        </w:rPr>
        <w:t xml:space="preserve">案例思考三:「牆上的願景」——策略規劃與執行之斷裂</w:t>
      </w:r>
    </w:p>
    <w:p>
      <w:pPr>
        <w:pStyle w:val="ListParagraph"/>
        <w:numPr>
          <w:ilvl w:val="0"/>
          <w:numId w:val="2"/>
        </w:numPr>
        <w:spacing w:after="120" w:line="340"/>
      </w:pPr>
      <w:r>
        <w:rPr>
          <w:rFonts w:ascii="微軟正黑體" w:cs="微軟正黑體" w:eastAsia="微軟正黑體" w:hAnsi="微軟正黑體"/>
          <w:sz w:val="22"/>
          <w:szCs w:val="22"/>
        </w:rPr>
        <w:t xml:space="preserve">許多機關擁有製作精美的願景牆、使命宣言與策略地圖海報,懸掛於大廳與會議室,然而第一線同仁往往無法說出本機關當年度策略目標,更遑論理解其與自身日常工作之因果連結——此即Bryson所警示之「整體豪語、基層無感」現象。</w:t>
      </w:r>
    </w:p>
    <w:p>
      <w:pPr>
        <w:pStyle w:val="ListParagraph"/>
        <w:numPr>
          <w:ilvl w:val="0"/>
          <w:numId w:val="2"/>
        </w:numPr>
        <w:spacing w:after="120" w:line="340"/>
      </w:pPr>
      <w:r>
        <w:rPr>
          <w:rFonts w:ascii="微軟正黑體" w:cs="微軟正黑體" w:eastAsia="微軟正黑體" w:hAnsi="微軟正黑體"/>
          <w:sz w:val="22"/>
          <w:szCs w:val="22"/>
        </w:rPr>
        <w:t xml:space="preserve">生成式AI放大了此一風險:AI可在數分鐘內生成措辭優美、邏輯完整的願景宣言與策略地圖草稿,但語言的流暢並不等於策略的落地——若機關僅將AI產出的策略文件視為「已完成規劃」,而未投入資源建立目標設定、資源配置與跨部門協作之執行機制,策略失敗於執行階段(研究顯示約六至八成)之風險反而可能因「產出速度加快」而被錯誤地低估。</w:t>
      </w:r>
    </w:p>
    <w:p>
      <w:pPr>
        <w:pStyle w:val="ListParagraph"/>
        <w:numPr>
          <w:ilvl w:val="0"/>
          <w:numId w:val="2"/>
        </w:numPr>
        <w:spacing w:after="120" w:line="340"/>
      </w:pPr>
      <w:r>
        <w:rPr>
          <w:rFonts w:ascii="微軟正黑體" w:cs="微軟正黑體" w:eastAsia="微軟正黑體" w:hAnsi="微軟正黑體"/>
          <w:sz w:val="22"/>
          <w:szCs w:val="22"/>
        </w:rPr>
        <w:t xml:space="preserve">此案例提示:策略管理真正的挑戰,從來不在於寫出漂亮的願景文字,而在於建立願景與日常決策之間可追蹤、可課責的因果鏈——這正是平衡計分卡與策略地圖之核心價值所在,也是AI工具無法自動代勞的治理工程。</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一、基礎:用25座標定位法國主權AI戰略案例或臺灣AI行動計畫2.0案例,畫出其跨格移動路徑:此案例應屬哪一治理座標?因AI技術嵌入後,又沉澱或位移至哪一座標?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三、實作:若你是機關策略規劃幕僚,請撰寫一份300字的「AI驅動SWOT分析執行守則」,說明資料來源查核、人機分工與偏誤校正之具體作法。</w:t>
      </w:r>
    </w:p>
    <w:p>
      <w:pPr>
        <w:spacing w:after="160" w:line="340"/>
        <w:ind w:left="431" w:hanging="431"/>
      </w:pPr>
      <w:r>
        <w:rPr>
          <w:rFonts w:ascii="微軟正黑體" w:cs="微軟正黑體" w:eastAsia="微軟正黑體" w:hAnsi="微軟正黑體"/>
          <w:sz w:val="22"/>
          <w:szCs w:val="22"/>
        </w:rPr>
        <w:t xml:space="preserve">四、前瞻:本章是第五層管理運作之首章。請以前瞻句格式(例如「本章確立了……,下一部分將……」),寫出本章應如何銜接下一章第二十一章「行政領導」之討論。</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作為第五層管理層之首章,系統闡釋策略管理在公共部門之理論與實務。策略管理涵蓋規劃、執行與評估三階段,強調在不確定與價值衝突下,為達成使命與創造公共價值所作之資源配置與模式選擇,其層次從整體政府、機關、功能至操作需縱向一致。願景、使命與價值是策略之哲學基礎,PESTEL與五力分析協助掃描外部機會威脅,VRIO則協助盤點內部優勢劣勢,SWOT/TOWS矩陣則進行策略配對,形成成長、穩定、縮減與組合等策略類型。平衡計分卡與策略地圖提供將策略轉化為可衡量行動之工具,強調從學習成長、內部流程、公民到資源之因果鏈。</w:t>
      </w:r>
    </w:p>
    <w:p>
      <w:pPr>
        <w:spacing w:after="200" w:line="360"/>
        <w:ind w:firstLine="431"/>
        <w:jc w:val="both"/>
      </w:pPr>
      <w:r>
        <w:rPr>
          <w:rFonts w:ascii="微軟正黑體" w:cs="微軟正黑體" w:eastAsia="微軟正黑體" w:hAnsi="微軟正黑體"/>
          <w:sz w:val="22"/>
          <w:szCs w:val="22"/>
        </w:rPr>
        <w:t xml:space="preserve">進入生成式AI時代,傳統靜態、專家驅動之策略規劃面臨速度、資訊與能力三重破壞,AI驅動SWOT與數位孿生戰略模擬成為動態策略之新工具,強調人機共構與雙圈學習。主權AI戰略則回應國家層次之資料、算力、模型與治理四主權,GovTech與AI風險戰略提供差異化治理路徑。我國AI基本法三讀通過與TAIDE可信任模型之發展,展現以法制定錨與以在地模型落實主權AI之台灣路徑;而法國主權AI戰略之經驗則提醒,策略宣示之聲量與策略執行之實效未必同步,唯有建立可課責之因果鏈,方能避免策略淪為劇場。</w:t>
      </w:r>
    </w:p>
    <w:p>
      <w:pPr>
        <w:spacing w:after="240" w:line="340"/>
        <w:ind w:left="576" w:right="576"/>
      </w:pPr>
      <w:r>
        <w:rPr>
          <w:rFonts w:ascii="微軟正黑體" w:cs="微軟正黑體" w:eastAsia="微軟正黑體" w:hAnsi="微軟正黑體"/>
          <w:i/>
          <w:iCs/>
          <w:sz w:val="21"/>
          <w:szCs w:val="21"/>
        </w:rPr>
        <w:t xml:space="preserve">方向若錯,越努力執行越偏離目標;唯有持續叩問「我們為何出發」,策略才不會在AI加速的年代裡,以最快的速度走向錯誤的遠方。</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策略(Strategy)　</w:t>
      </w:r>
      <w:r>
        <w:rPr>
          <w:rFonts w:ascii="微軟正黑體" w:cs="微軟正黑體" w:eastAsia="微軟正黑體" w:hAnsi="微軟正黑體"/>
          <w:sz w:val="22"/>
          <w:szCs w:val="22"/>
        </w:rPr>
        <w:t xml:space="preserve">在不確定與資源有限下,為達成長期目標所作之資源配置與行動抉擇之模式,Mintzberg歸納為計畫、計謀、模式、定位、觀點五種觀點(5P)。</w:t>
      </w:r>
    </w:p>
    <w:p>
      <w:pPr>
        <w:spacing w:after="160" w:line="340"/>
      </w:pPr>
      <w:r>
        <w:rPr>
          <w:rFonts w:ascii="微軟正黑體" w:cs="微軟正黑體" w:eastAsia="微軟正黑體" w:hAnsi="微軟正黑體"/>
          <w:b/>
          <w:bCs/>
          <w:sz w:val="22"/>
          <w:szCs w:val="22"/>
        </w:rPr>
        <w:t xml:space="preserve">策略管理(Strategic Management)　</w:t>
      </w:r>
      <w:r>
        <w:rPr>
          <w:rFonts w:ascii="微軟正黑體" w:cs="微軟正黑體" w:eastAsia="微軟正黑體" w:hAnsi="微軟正黑體"/>
          <w:sz w:val="22"/>
          <w:szCs w:val="22"/>
        </w:rPr>
        <w:t xml:space="preserve">組織為達成使命與目標,進行策略規劃、執行與評估之動態循環歷程,並透過環境監測與組織學習不斷調適。</w:t>
      </w:r>
    </w:p>
    <w:p>
      <w:pPr>
        <w:spacing w:after="160" w:line="340"/>
      </w:pPr>
      <w:r>
        <w:rPr>
          <w:rFonts w:ascii="微軟正黑體" w:cs="微軟正黑體" w:eastAsia="微軟正黑體" w:hAnsi="微軟正黑體"/>
          <w:b/>
          <w:bCs/>
          <w:sz w:val="22"/>
          <w:szCs w:val="22"/>
        </w:rPr>
        <w:t xml:space="preserve">策略規劃、執行、評估　</w:t>
      </w:r>
      <w:r>
        <w:rPr>
          <w:rFonts w:ascii="微軟正黑體" w:cs="微軟正黑體" w:eastAsia="微軟正黑體" w:hAnsi="微軟正黑體"/>
          <w:sz w:val="22"/>
          <w:szCs w:val="22"/>
        </w:rPr>
        <w:t xml:space="preserve">策略管理之三階段動態循環;研究顯示約六至八成策略失敗於執行階段,而非規劃階段。</w:t>
      </w:r>
    </w:p>
    <w:p>
      <w:pPr>
        <w:spacing w:after="160" w:line="340"/>
      </w:pPr>
      <w:r>
        <w:rPr>
          <w:rFonts w:ascii="微軟正黑體" w:cs="微軟正黑體" w:eastAsia="微軟正黑體" w:hAnsi="微軟正黑體"/>
          <w:b/>
          <w:bCs/>
          <w:sz w:val="22"/>
          <w:szCs w:val="22"/>
        </w:rPr>
        <w:t xml:space="preserve">願景、使命、核心價值(Vision, Mission, Values)　</w:t>
      </w:r>
      <w:r>
        <w:rPr>
          <w:rFonts w:ascii="微軟正黑體" w:cs="微軟正黑體" w:eastAsia="微軟正黑體" w:hAnsi="微軟正黑體"/>
          <w:sz w:val="22"/>
          <w:szCs w:val="22"/>
        </w:rPr>
        <w:t xml:space="preserve">策略管理之哲學基石,分別回答組織欲往何去、為何存在、依何原則行動。</w:t>
      </w:r>
    </w:p>
    <w:p>
      <w:pPr>
        <w:spacing w:after="160" w:line="340"/>
      </w:pPr>
      <w:r>
        <w:rPr>
          <w:rFonts w:ascii="微軟正黑體" w:cs="微軟正黑體" w:eastAsia="微軟正黑體" w:hAnsi="微軟正黑體"/>
          <w:b/>
          <w:bCs/>
          <w:sz w:val="22"/>
          <w:szCs w:val="22"/>
        </w:rPr>
        <w:t xml:space="preserve">PESTEL分析　</w:t>
      </w:r>
      <w:r>
        <w:rPr>
          <w:rFonts w:ascii="微軟正黑體" w:cs="微軟正黑體" w:eastAsia="微軟正黑體" w:hAnsi="微軟正黑體"/>
          <w:sz w:val="22"/>
          <w:szCs w:val="22"/>
        </w:rPr>
        <w:t xml:space="preserve">政治、經濟、社會、科技、環境、法律六構面之總體環境分析工具。</w:t>
      </w:r>
    </w:p>
    <w:p>
      <w:pPr>
        <w:spacing w:after="160" w:line="340"/>
      </w:pPr>
      <w:r>
        <w:rPr>
          <w:rFonts w:ascii="微軟正黑體" w:cs="微軟正黑體" w:eastAsia="微軟正黑體" w:hAnsi="微軟正黑體"/>
          <w:b/>
          <w:bCs/>
          <w:sz w:val="22"/>
          <w:szCs w:val="22"/>
        </w:rPr>
        <w:t xml:space="preserve">五力分析(Five Forces)　</w:t>
      </w:r>
      <w:r>
        <w:rPr>
          <w:rFonts w:ascii="微軟正黑體" w:cs="微軟正黑體" w:eastAsia="微軟正黑體" w:hAnsi="微軟正黑體"/>
          <w:sz w:val="22"/>
          <w:szCs w:val="22"/>
        </w:rPr>
        <w:t xml:space="preserve">Porter提出之產業競爭分析架構,轉化至公部門為機關間資源競逐與替代提供者威脅之分析。</w:t>
      </w:r>
    </w:p>
    <w:p>
      <w:pPr>
        <w:spacing w:after="160" w:line="340"/>
      </w:pPr>
      <w:r>
        <w:rPr>
          <w:rFonts w:ascii="微軟正黑體" w:cs="微軟正黑體" w:eastAsia="微軟正黑體" w:hAnsi="微軟正黑體"/>
          <w:b/>
          <w:bCs/>
          <w:sz w:val="22"/>
          <w:szCs w:val="22"/>
        </w:rPr>
        <w:t xml:space="preserve">資源基礎觀(RBV)與VRIO　</w:t>
      </w:r>
      <w:r>
        <w:rPr>
          <w:rFonts w:ascii="微軟正黑體" w:cs="微軟正黑體" w:eastAsia="微軟正黑體" w:hAnsi="微軟正黑體"/>
          <w:sz w:val="22"/>
          <w:szCs w:val="22"/>
        </w:rPr>
        <w:t xml:space="preserve">主張組織持續優勢來自具價值、稀少、難以模仿、可有效組織運用四特性之資源。</w:t>
      </w:r>
    </w:p>
    <w:p>
      <w:pPr>
        <w:spacing w:after="160" w:line="340"/>
      </w:pPr>
      <w:r>
        <w:rPr>
          <w:rFonts w:ascii="微軟正黑體" w:cs="微軟正黑體" w:eastAsia="微軟正黑體" w:hAnsi="微軟正黑體"/>
          <w:b/>
          <w:bCs/>
          <w:sz w:val="22"/>
          <w:szCs w:val="22"/>
        </w:rPr>
        <w:t xml:space="preserve">SWOT/TOWS分析　</w:t>
      </w:r>
      <w:r>
        <w:rPr>
          <w:rFonts w:ascii="微軟正黑體" w:cs="微軟正黑體" w:eastAsia="微軟正黑體" w:hAnsi="微軟正黑體"/>
          <w:sz w:val="22"/>
          <w:szCs w:val="22"/>
        </w:rPr>
        <w:t xml:space="preserve">交叉分析內部優勢劣勢與外部機會威脅,形成SO、WO、ST、WT四種策略類型之工具。</w:t>
      </w:r>
    </w:p>
    <w:p>
      <w:pPr>
        <w:spacing w:after="160" w:line="340"/>
      </w:pPr>
      <w:r>
        <w:rPr>
          <w:rFonts w:ascii="微軟正黑體" w:cs="微軟正黑體" w:eastAsia="微軟正黑體" w:hAnsi="微軟正黑體"/>
          <w:b/>
          <w:bCs/>
          <w:sz w:val="22"/>
          <w:szCs w:val="22"/>
        </w:rPr>
        <w:t xml:space="preserve">Miles &amp; Snow策略類型　</w:t>
      </w:r>
      <w:r>
        <w:rPr>
          <w:rFonts w:ascii="微軟正黑體" w:cs="微軟正黑體" w:eastAsia="微軟正黑體" w:hAnsi="微軟正黑體"/>
          <w:sz w:val="22"/>
          <w:szCs w:val="22"/>
        </w:rPr>
        <w:t xml:space="preserve">將組織之策略調適區分為探勘者、防禦者、分析者、反應者四種類型。</w:t>
      </w:r>
    </w:p>
    <w:p>
      <w:pPr>
        <w:spacing w:after="160" w:line="340"/>
      </w:pPr>
      <w:r>
        <w:rPr>
          <w:rFonts w:ascii="微軟正黑體" w:cs="微軟正黑體" w:eastAsia="微軟正黑體" w:hAnsi="微軟正黑體"/>
          <w:b/>
          <w:bCs/>
          <w:sz w:val="22"/>
          <w:szCs w:val="22"/>
        </w:rPr>
        <w:t xml:space="preserve">平衡計分卡(Balanced Scorecard, BSC)　</w:t>
      </w:r>
      <w:r>
        <w:rPr>
          <w:rFonts w:ascii="微軟正黑體" w:cs="微軟正黑體" w:eastAsia="微軟正黑體" w:hAnsi="微軟正黑體"/>
          <w:sz w:val="22"/>
          <w:szCs w:val="22"/>
        </w:rPr>
        <w:t xml:space="preserve">從財務、顧客、內部流程、學習成長四構面衡量策略執行成效之工具,公部門常將公共價值構面置於頂端。</w:t>
      </w:r>
    </w:p>
    <w:p>
      <w:pPr>
        <w:spacing w:after="160" w:line="340"/>
      </w:pPr>
      <w:r>
        <w:rPr>
          <w:rFonts w:ascii="微軟正黑體" w:cs="微軟正黑體" w:eastAsia="微軟正黑體" w:hAnsi="微軟正黑體"/>
          <w:b/>
          <w:bCs/>
          <w:sz w:val="22"/>
          <w:szCs w:val="22"/>
        </w:rPr>
        <w:t xml:space="preserve">策略地圖(Strategy Map)　</w:t>
      </w:r>
      <w:r>
        <w:rPr>
          <w:rFonts w:ascii="微軟正黑體" w:cs="微軟正黑體" w:eastAsia="微軟正黑體" w:hAnsi="微軟正黑體"/>
          <w:sz w:val="22"/>
          <w:szCs w:val="22"/>
        </w:rPr>
        <w:t xml:space="preserve">BSC之視覺化工具,以因果邏輯連結各構面目標,展現策略如何逐層轉化為成果。</w:t>
      </w:r>
    </w:p>
    <w:p>
      <w:pPr>
        <w:spacing w:after="160" w:line="340"/>
      </w:pPr>
      <w:r>
        <w:rPr>
          <w:rFonts w:ascii="微軟正黑體" w:cs="微軟正黑體" w:eastAsia="微軟正黑體" w:hAnsi="微軟正黑體"/>
          <w:b/>
          <w:bCs/>
          <w:sz w:val="22"/>
          <w:szCs w:val="22"/>
        </w:rPr>
        <w:t xml:space="preserve">AI驅動SWOT(AI-Augmented SWOT)　</w:t>
      </w:r>
      <w:r>
        <w:rPr>
          <w:rFonts w:ascii="微軟正黑體" w:cs="微軟正黑體" w:eastAsia="微軟正黑體" w:hAnsi="微軟正黑體"/>
          <w:sz w:val="22"/>
          <w:szCs w:val="22"/>
        </w:rPr>
        <w:t xml:space="preserve">運用生成式AI與資料分析強化SWOT之資料廣度、分析深度與即時性之動態策略工具。</w:t>
      </w:r>
    </w:p>
    <w:p>
      <w:pPr>
        <w:spacing w:after="160" w:line="340"/>
      </w:pPr>
      <w:r>
        <w:rPr>
          <w:rFonts w:ascii="微軟正黑體" w:cs="微軟正黑體" w:eastAsia="微軟正黑體" w:hAnsi="微軟正黑體"/>
          <w:b/>
          <w:bCs/>
          <w:sz w:val="22"/>
          <w:szCs w:val="22"/>
        </w:rPr>
        <w:t xml:space="preserve">數位孿生戰略模擬(Digital Twin Strategy Simulation)　</w:t>
      </w:r>
      <w:r>
        <w:rPr>
          <w:rFonts w:ascii="微軟正黑體" w:cs="微軟正黑體" w:eastAsia="微軟正黑體" w:hAnsi="微軟正黑體"/>
          <w:sz w:val="22"/>
          <w:szCs w:val="22"/>
        </w:rPr>
        <w:t xml:space="preserve">以即時資料建構實體政府運作之虛擬鏡像,用以模擬不同策略組合之後果。</w:t>
      </w:r>
    </w:p>
    <w:p>
      <w:pPr>
        <w:spacing w:after="160" w:line="340"/>
      </w:pPr>
      <w:r>
        <w:rPr>
          <w:rFonts w:ascii="微軟正黑體" w:cs="微軟正黑體" w:eastAsia="微軟正黑體" w:hAnsi="微軟正黑體"/>
          <w:b/>
          <w:bCs/>
          <w:sz w:val="22"/>
          <w:szCs w:val="22"/>
        </w:rPr>
        <w:t xml:space="preserve">主權AI(Sovereign AI)與四主權　</w:t>
      </w:r>
      <w:r>
        <w:rPr>
          <w:rFonts w:ascii="微軟正黑體" w:cs="微軟正黑體" w:eastAsia="微軟正黑體" w:hAnsi="微軟正黑體"/>
          <w:sz w:val="22"/>
          <w:szCs w:val="22"/>
        </w:rPr>
        <w:t xml:space="preserve">指國家在資料、運算、模型、治理四面向具備自主能力,避免AI能力完全依賴境外供應者。</w:t>
      </w:r>
    </w:p>
    <w:p>
      <w:pPr>
        <w:spacing w:after="160" w:line="340"/>
      </w:pPr>
      <w:r>
        <w:rPr>
          <w:rFonts w:ascii="微軟正黑體" w:cs="微軟正黑體" w:eastAsia="微軟正黑體" w:hAnsi="微軟正黑體"/>
          <w:b/>
          <w:bCs/>
          <w:sz w:val="22"/>
          <w:szCs w:val="22"/>
        </w:rPr>
        <w:t xml:space="preserve">GovTech戰略與政府即平台　</w:t>
      </w:r>
      <w:r>
        <w:rPr>
          <w:rFonts w:ascii="微軟正黑體" w:cs="微軟正黑體" w:eastAsia="微軟正黑體" w:hAnsi="微軟正黑體"/>
          <w:sz w:val="22"/>
          <w:szCs w:val="22"/>
        </w:rPr>
        <w:t xml:space="preserve">透過採購創新、沙盒試驗與平台化,將政府定位為公私協力之數位服務生態平台。</w:t>
      </w:r>
    </w:p>
    <w:p>
      <w:pPr>
        <w:spacing w:after="160" w:line="340"/>
      </w:pPr>
      <w:r>
        <w:rPr>
          <w:rFonts w:ascii="微軟正黑體" w:cs="微軟正黑體" w:eastAsia="微軟正黑體" w:hAnsi="微軟正黑體"/>
          <w:b/>
          <w:bCs/>
          <w:sz w:val="22"/>
          <w:szCs w:val="22"/>
        </w:rPr>
        <w:t xml:space="preserve">AI風險分級與演算法影響評估(AIA)　</w:t>
      </w:r>
      <w:r>
        <w:rPr>
          <w:rFonts w:ascii="微軟正黑體" w:cs="微軟正黑體" w:eastAsia="微軟正黑體" w:hAnsi="微軟正黑體"/>
          <w:sz w:val="22"/>
          <w:szCs w:val="22"/>
        </w:rPr>
        <w:t xml:space="preserve">依風險程度(不可接受、高風險、有限、最小)差異化治理AI系統,並於高風險情境要求影響評估與人工覆核。</w:t>
      </w:r>
    </w:p>
    <w:p>
      <w:pPr>
        <w:spacing w:after="160" w:line="340"/>
      </w:pPr>
      <w:r>
        <w:rPr>
          <w:rFonts w:ascii="微軟正黑體" w:cs="微軟正黑體" w:eastAsia="微軟正黑體" w:hAnsi="微軟正黑體"/>
          <w:b/>
          <w:bCs/>
          <w:sz w:val="22"/>
          <w:szCs w:val="22"/>
        </w:rPr>
        <w:t xml:space="preserve">AI戰略地圖　</w:t>
      </w:r>
      <w:r>
        <w:rPr>
          <w:rFonts w:ascii="微軟正黑體" w:cs="微軟正黑體" w:eastAsia="微軟正黑體" w:hAnsi="微軟正黑體"/>
          <w:sz w:val="22"/>
          <w:szCs w:val="22"/>
        </w:rPr>
        <w:t xml:space="preserve">將傳統策略地圖擴充,納入算力、資料、模型、人才與公共價值五支柱之AI時代策略工具。</w:t>
      </w:r>
    </w:p>
    <w:p>
      <w:pPr>
        <w:spacing w:after="160" w:line="340"/>
      </w:pPr>
      <w:r>
        <w:rPr>
          <w:rFonts w:ascii="微軟正黑體" w:cs="微軟正黑體" w:eastAsia="微軟正黑體" w:hAnsi="微軟正黑體"/>
          <w:b/>
          <w:bCs/>
          <w:sz w:val="22"/>
          <w:szCs w:val="22"/>
        </w:rPr>
        <w:t xml:space="preserve">人工智慧基本法　</w:t>
      </w:r>
      <w:r>
        <w:rPr>
          <w:rFonts w:ascii="微軟正黑體" w:cs="微軟正黑體" w:eastAsia="微軟正黑體" w:hAnsi="微軟正黑體"/>
          <w:sz w:val="22"/>
          <w:szCs w:val="22"/>
        </w:rPr>
        <w:t xml:space="preserve">我國2025年12月三讀通過之AI治理法律,確立永續、人類自主、隱私與資料治理等七大原則。</w:t>
      </w:r>
    </w:p>
    <w:p>
      <w:pPr>
        <w:spacing w:after="160" w:line="340"/>
      </w:pPr>
      <w:r>
        <w:rPr>
          <w:rFonts w:ascii="微軟正黑體" w:cs="微軟正黑體" w:eastAsia="微軟正黑體" w:hAnsi="微軟正黑體"/>
          <w:b/>
          <w:bCs/>
          <w:sz w:val="22"/>
          <w:szCs w:val="22"/>
        </w:rPr>
        <w:t xml:space="preserve">TAIDE可信任AI對話引擎　</w:t>
      </w:r>
      <w:r>
        <w:rPr>
          <w:rFonts w:ascii="微軟正黑體" w:cs="微軟正黑體" w:eastAsia="微軟正黑體" w:hAnsi="微軟正黑體"/>
          <w:sz w:val="22"/>
          <w:szCs w:val="22"/>
        </w:rPr>
        <w:t xml:space="preserve">國科會主導開發之繁體中文可信任生成式AI模型,體現資料、模型主權之台灣實踐。</w:t>
      </w:r>
    </w:p>
    <w:p>
      <w:pPr>
        <w:spacing w:after="160" w:line="340"/>
      </w:pPr>
      <w:r>
        <w:rPr>
          <w:rFonts w:ascii="微軟正黑體" w:cs="微軟正黑體" w:eastAsia="微軟正黑體" w:hAnsi="微軟正黑體"/>
          <w:b/>
          <w:bCs/>
          <w:sz w:val="22"/>
          <w:szCs w:val="22"/>
        </w:rPr>
        <w:t xml:space="preserve">策略韌性(Strategic Resilience)　</w:t>
      </w:r>
      <w:r>
        <w:rPr>
          <w:rFonts w:ascii="微軟正黑體" w:cs="微軟正黑體" w:eastAsia="微軟正黑體" w:hAnsi="微軟正黑體"/>
          <w:sz w:val="22"/>
          <w:szCs w:val="22"/>
        </w:rPr>
        <w:t xml:space="preserve">組織在高度不確定與快速變遷環境中,持續調適策略方向而不喪失核心使命之能力。</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一、公共組織策略管理與私部門策略管理在目標、環境與課責上有何根本差異?請以Bryson與Moore之公共價值三角,說明為何公部門不能照搬Porter競爭策略?若導入主權AI作為國家策略,應如何通過公共價值三重檢驗?</w:t>
      </w:r>
    </w:p>
    <w:p>
      <w:pPr>
        <w:spacing w:after="160" w:line="340"/>
        <w:ind w:left="431" w:hanging="431"/>
      </w:pPr>
      <w:r>
        <w:rPr>
          <w:rFonts w:ascii="微軟正黑體" w:cs="微軟正黑體" w:eastAsia="微軟正黑體" w:hAnsi="微軟正黑體"/>
          <w:sz w:val="22"/>
          <w:szCs w:val="22"/>
        </w:rPr>
        <w:t xml:space="preserve">二、以你熟悉之中央或地方政府機關為例,試以PESTEL與五力轉化分析其外部機會與威脅,並以VRIO分析其內部優勢與劣勢,建構一完整SWOT矩陣。若運用生成式AI進行資料蒐集與分析,可能帶來何種偏誤與風險?應如何設計人機共構流程以降低風險?</w:t>
      </w:r>
    </w:p>
    <w:p>
      <w:pPr>
        <w:spacing w:after="160" w:line="340"/>
        <w:ind w:left="431" w:hanging="431"/>
      </w:pPr>
      <w:r>
        <w:rPr>
          <w:rFonts w:ascii="微軟正黑體" w:cs="微軟正黑體" w:eastAsia="微軟正黑體" w:hAnsi="微軟正黑體"/>
          <w:sz w:val="22"/>
          <w:szCs w:val="22"/>
        </w:rPr>
        <w:t xml:space="preserve">三、傳統SWOT常被批判為主觀清單式、缺乏因果與動態性。請比較傳統SWOT與AI驅動SWOT在資料來源、更新頻率、分析深度與正當性上之差異,並批判分析AI驅動SWOT可能產生之幻覺與自動化偏誤,提出具體治理機制。</w:t>
      </w:r>
    </w:p>
    <w:p>
      <w:pPr>
        <w:spacing w:after="160" w:line="340"/>
        <w:ind w:left="431" w:hanging="431"/>
      </w:pPr>
      <w:r>
        <w:rPr>
          <w:rFonts w:ascii="微軟正黑體" w:cs="微軟正黑體" w:eastAsia="微軟正黑體" w:hAnsi="微軟正黑體"/>
          <w:sz w:val="22"/>
          <w:szCs w:val="22"/>
        </w:rPr>
        <w:t xml:space="preserve">四、主權AI四主權架構包括資料、算力、模型與治理主權。請說明台灣若缺乏其中任一主權,可能面臨何種國家安全、文化與民主風險?我國《人工智慧基本法》七大原則與四大推動重點如何對應四主權?相較於歐盟AI法案與美國之相關政策,我國法制有何特色與不足?</w:t>
      </w:r>
    </w:p>
    <w:p>
      <w:pPr>
        <w:spacing w:after="160" w:line="340"/>
        <w:ind w:left="431" w:hanging="431"/>
      </w:pPr>
      <w:r>
        <w:rPr>
          <w:rFonts w:ascii="微軟正黑體" w:cs="微軟正黑體" w:eastAsia="微軟正黑體" w:hAnsi="微軟正黑體"/>
          <w:sz w:val="22"/>
          <w:szCs w:val="22"/>
        </w:rPr>
        <w:t xml:space="preserve">五、平衡計分卡如何從私部門四構面轉化為公部門與AI時代之五構面?請嘗試為數位發展部或你所屬機關設計一份AI戰略地圖,包含算力、資料、模型、人才與公共價值之因果鏈,並說明如何結合數位孿生模擬與演算法影響評估(AIA),建構動態策略評估機制。</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本章資訊量大,建議以「策略三角(價值—授權—能力)」作為貫穿全章之核心比喻,協助學生記憶各節如何分別檢驗此三重條件。</w:t>
      </w:r>
    </w:p>
    <w:p>
      <w:pPr>
        <w:pStyle w:val="ListParagraph"/>
        <w:numPr>
          <w:ilvl w:val="0"/>
          <w:numId w:val="2"/>
        </w:numPr>
        <w:spacing w:after="120" w:line="340"/>
      </w:pPr>
      <w:r>
        <w:rPr>
          <w:rFonts w:ascii="微軟正黑體" w:cs="微軟正黑體" w:eastAsia="微軟正黑體" w:hAnsi="微軟正黑體"/>
          <w:sz w:val="22"/>
          <w:szCs w:val="22"/>
        </w:rPr>
        <w:t xml:space="preserve">PESTEL、五力、VRIO與SWOT四項工具易於混淆,建議以流程圖呈現其邏輯順序(外部分析→內部分析→配對決策),而非平行條列。</w:t>
      </w:r>
    </w:p>
    <w:p>
      <w:pPr>
        <w:pStyle w:val="ListParagraph"/>
        <w:numPr>
          <w:ilvl w:val="0"/>
          <w:numId w:val="2"/>
        </w:numPr>
        <w:spacing w:after="120" w:line="340"/>
      </w:pPr>
      <w:r>
        <w:rPr>
          <w:rFonts w:ascii="微軟正黑體" w:cs="微軟正黑體" w:eastAsia="微軟正黑體" w:hAnsi="微軟正黑體"/>
          <w:sz w:val="22"/>
          <w:szCs w:val="22"/>
        </w:rPr>
        <w:t xml:space="preserve">法國案例資訊豐富但涉及較多外國制度細節,建議先以「宣示金額 vs 實質金額」之對比切入,再逐步展開部長更迭與審計報告之細節。</w:t>
      </w:r>
    </w:p>
    <w:p>
      <w:pPr>
        <w:pStyle w:val="ListParagraph"/>
        <w:numPr>
          <w:ilvl w:val="0"/>
          <w:numId w:val="2"/>
        </w:numPr>
        <w:spacing w:after="120" w:line="340"/>
      </w:pPr>
      <w:r>
        <w:rPr>
          <w:rFonts w:ascii="微軟正黑體" w:cs="微軟正黑體" w:eastAsia="微軟正黑體" w:hAnsi="微軟正黑體"/>
          <w:sz w:val="22"/>
          <w:szCs w:val="22"/>
        </w:rPr>
        <w:t xml:space="preserve">臺灣AI行動計畫2.0案例適合安排課前預習,請學生自行查閱計畫書原文摘要,課堂上再進行策略評估之角色扮演討論。</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Mintzberg策略5P架構之區辨與舉例。</w:t>
      </w:r>
    </w:p>
    <w:p>
      <w:pPr>
        <w:pStyle w:val="ListParagraph"/>
        <w:numPr>
          <w:ilvl w:val="0"/>
          <w:numId w:val="2"/>
        </w:numPr>
        <w:spacing w:after="120" w:line="340"/>
      </w:pPr>
      <w:r>
        <w:rPr>
          <w:rFonts w:ascii="微軟正黑體" w:cs="微軟正黑體" w:eastAsia="微軟正黑體" w:hAnsi="微軟正黑體"/>
          <w:sz w:val="22"/>
          <w:szCs w:val="22"/>
        </w:rPr>
        <w:t xml:space="preserve">公部門策略管理與私部門策略管理之根本差異(政治可行性、法律合規性、民主課責性)。</w:t>
      </w:r>
    </w:p>
    <w:p>
      <w:pPr>
        <w:pStyle w:val="ListParagraph"/>
        <w:numPr>
          <w:ilvl w:val="0"/>
          <w:numId w:val="2"/>
        </w:numPr>
        <w:spacing w:after="120" w:line="340"/>
      </w:pPr>
      <w:r>
        <w:rPr>
          <w:rFonts w:ascii="微軟正黑體" w:cs="微軟正黑體" w:eastAsia="微軟正黑體" w:hAnsi="微軟正黑體"/>
          <w:sz w:val="22"/>
          <w:szCs w:val="22"/>
        </w:rPr>
        <w:t xml:space="preserve">策略管理三階段中,執行階段失敗率偏高之原因分析。</w:t>
      </w:r>
    </w:p>
    <w:p>
      <w:pPr>
        <w:pStyle w:val="ListParagraph"/>
        <w:numPr>
          <w:ilvl w:val="0"/>
          <w:numId w:val="2"/>
        </w:numPr>
        <w:spacing w:after="120" w:line="340"/>
      </w:pPr>
      <w:r>
        <w:rPr>
          <w:rFonts w:ascii="微軟正黑體" w:cs="微軟正黑體" w:eastAsia="微軟正黑體" w:hAnsi="微軟正黑體"/>
          <w:sz w:val="22"/>
          <w:szCs w:val="22"/>
        </w:rPr>
        <w:t xml:space="preserve">SWOT/TOWS矩陣之操作方式,以及TOWS強調先外部後內部之理由。</w:t>
      </w:r>
    </w:p>
    <w:p>
      <w:pPr>
        <w:pStyle w:val="ListParagraph"/>
        <w:numPr>
          <w:ilvl w:val="0"/>
          <w:numId w:val="2"/>
        </w:numPr>
        <w:spacing w:after="120" w:line="340"/>
      </w:pPr>
      <w:r>
        <w:rPr>
          <w:rFonts w:ascii="微軟正黑體" w:cs="微軟正黑體" w:eastAsia="微軟正黑體" w:hAnsi="微軟正黑體"/>
          <w:sz w:val="22"/>
          <w:szCs w:val="22"/>
        </w:rPr>
        <w:t xml:space="preserve">平衡計分卡在公部門之調整(顧客構面置頂、增列公共價值構面)。</w:t>
      </w:r>
    </w:p>
    <w:p>
      <w:pPr>
        <w:pStyle w:val="ListParagraph"/>
        <w:numPr>
          <w:ilvl w:val="0"/>
          <w:numId w:val="2"/>
        </w:numPr>
        <w:spacing w:after="120" w:line="340"/>
      </w:pPr>
      <w:r>
        <w:rPr>
          <w:rFonts w:ascii="微軟正黑體" w:cs="微軟正黑體" w:eastAsia="微軟正黑體" w:hAnsi="微軟正黑體"/>
          <w:sz w:val="22"/>
          <w:szCs w:val="22"/>
        </w:rPr>
        <w:t xml:space="preserve">主權AI四主權(資料、運算、模型、治理)之內涵與台灣對應作法。</w:t>
      </w:r>
    </w:p>
    <w:p>
      <w:pPr>
        <w:pStyle w:val="ListParagraph"/>
        <w:numPr>
          <w:ilvl w:val="0"/>
          <w:numId w:val="2"/>
        </w:numPr>
        <w:spacing w:after="120" w:line="340"/>
      </w:pPr>
      <w:r>
        <w:rPr>
          <w:rFonts w:ascii="微軟正黑體" w:cs="微軟正黑體" w:eastAsia="微軟正黑體" w:hAnsi="微軟正黑體"/>
          <w:sz w:val="22"/>
          <w:szCs w:val="22"/>
        </w:rPr>
        <w:t xml:space="preserve">AI驅動SWOT相較傳統SWOT之優勢與新增風險(幻覺、自動化偏誤)。</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分組演練:各組選定一機關,於20分鐘內完成PESTEL簡表與SWOT矩陣草稿,並互評彼此之佐證資料是否充分。</w:t>
      </w:r>
    </w:p>
    <w:p>
      <w:pPr>
        <w:pStyle w:val="ListParagraph"/>
        <w:numPr>
          <w:ilvl w:val="0"/>
          <w:numId w:val="2"/>
        </w:numPr>
        <w:spacing w:after="120" w:line="340"/>
      </w:pPr>
      <w:r>
        <w:rPr>
          <w:rFonts w:ascii="微軟正黑體" w:cs="微軟正黑體" w:eastAsia="微軟正黑體" w:hAnsi="微軟正黑體"/>
          <w:sz w:val="22"/>
          <w:szCs w:val="22"/>
        </w:rPr>
        <w:t xml:space="preserve">辯論活動:正方主張「AI驅動SWOT應全面取代年度策略工作坊」,反方主張「策略規劃之政治判斷不可由AI取代」,進行結構化辯論。</w:t>
      </w:r>
    </w:p>
    <w:p>
      <w:pPr>
        <w:pStyle w:val="ListParagraph"/>
        <w:numPr>
          <w:ilvl w:val="0"/>
          <w:numId w:val="2"/>
        </w:numPr>
        <w:spacing w:after="120" w:line="340"/>
      </w:pPr>
      <w:r>
        <w:rPr>
          <w:rFonts w:ascii="微軟正黑體" w:cs="微軟正黑體" w:eastAsia="微軟正黑體" w:hAnsi="微軟正黑體"/>
          <w:sz w:val="22"/>
          <w:szCs w:val="22"/>
        </w:rPr>
        <w:t xml:space="preserve">案例診斷:提供法國主權AI戰略時間軸,請學生標記策略規劃、執行、評估三階段之關鍵事件,並找出執行階段之具體斷裂點。</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問題一指引:可從Moore策略三角切入,說明私部門策略僅需通過市場檢驗,公部門策略則需同時通過公共價值、政治授權與行政能力三重檢驗,主權AI之公共價值三重檢驗可要求學生具體列出檢驗指標。</w:t>
      </w:r>
    </w:p>
    <w:p>
      <w:pPr>
        <w:spacing w:after="200" w:line="360"/>
        <w:ind w:firstLine="431"/>
        <w:jc w:val="both"/>
      </w:pPr>
      <w:r>
        <w:rPr>
          <w:rFonts w:ascii="微軟正黑體" w:cs="微軟正黑體" w:eastAsia="微軟正黑體" w:hAnsi="微軟正黑體"/>
          <w:sz w:val="22"/>
          <w:szCs w:val="22"/>
        </w:rPr>
        <w:t xml:space="preserve">問題二指引:引導學生選擇熟悉機關,避免流於空泛臆測,強調SWOT須有具體佐證數據;人機共構流程可討論AI負責資料蒐集、人類負責價值判斷之分工原則。</w:t>
      </w:r>
    </w:p>
    <w:p>
      <w:pPr>
        <w:spacing w:after="200" w:line="360"/>
        <w:ind w:firstLine="431"/>
        <w:jc w:val="both"/>
      </w:pPr>
      <w:r>
        <w:rPr>
          <w:rFonts w:ascii="微軟正黑體" w:cs="微軟正黑體" w:eastAsia="微軟正黑體" w:hAnsi="微軟正黑體"/>
          <w:sz w:val="22"/>
          <w:szCs w:val="22"/>
        </w:rPr>
        <w:t xml:space="preserve">問題三指引:可整理表20-7對照表,請學生逐項比較,並延伸討論若機關僅有AI生成之SWOT而無專家覆核,可能產生何種決策風險。</w:t>
      </w:r>
    </w:p>
    <w:p>
      <w:pPr>
        <w:spacing w:after="200" w:line="360"/>
        <w:ind w:firstLine="431"/>
        <w:jc w:val="both"/>
      </w:pPr>
      <w:r>
        <w:rPr>
          <w:rFonts w:ascii="微軟正黑體" w:cs="微軟正黑體" w:eastAsia="微軟正黑體" w:hAnsi="微軟正黑體"/>
          <w:sz w:val="22"/>
          <w:szCs w:val="22"/>
        </w:rPr>
        <w:t xml:space="preserve">問題四指引:可要求學生逐一對照AI基本法七大原則與四主權之關係,並簡要比較歐盟風險分級模式與我國法制之異同,不要求深入比較法研究,重在建立初步比較架構。</w:t>
      </w:r>
    </w:p>
    <w:p>
      <w:pPr>
        <w:spacing w:after="200" w:line="360"/>
        <w:ind w:firstLine="431"/>
        <w:jc w:val="both"/>
      </w:pPr>
      <w:r>
        <w:rPr>
          <w:rFonts w:ascii="微軟正黑體" w:cs="微軟正黑體" w:eastAsia="微軟正黑體" w:hAnsi="微軟正黑體"/>
          <w:sz w:val="22"/>
          <w:szCs w:val="22"/>
        </w:rPr>
        <w:t xml:space="preserve">問題五指引:可提供BSC四構面模板供學生填空練習,並強調AI戰略地圖之因果鏈必須具體可衡量,而非僅列出抽象願景詞彙。</w:t>
      </w: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r>
        <w:rPr>
          <w:b/>
        </w:rPr>
        <w:t>第十節　臺灣政府現行策略管理：從「計畫管理」走向「策略—資源—績效」整合</w:t>
      </w:r>
    </w:p>
    <w:p>
      <w:r>
        <w:rPr>
          <w:b w:val="0"/>
        </w:rPr>
        <w:t>如果只用企業策略管理的語言介紹公部門，容易讓學生誤以為政府只是把 SWOT、平衡計分卡或策略地圖搬進機關即可。臺灣的制度發展其實有自己的脈絡：行政院長期透過國家發展計畫、施政方針、中程施政計畫、中長程個案計畫、年度施政計畫及績效管理制度，把「方向—計畫—資源—執行—績效」逐步制度化。這使臺灣策略管理具有「計畫體系＋績效管理＋預算資源」的特色。</w:t>
      </w:r>
    </w:p>
    <w:p>
      <w:r>
        <w:rPr>
          <w:b w:val="0"/>
        </w:rPr>
        <w:t>依國家發展委員會現行規範，行政院所屬機關之中長程個案計畫，以行政院施政方針、國家發展長期展望、中程國家發展計畫、各機關中程施政計畫及其他重要施政事項為依據；計畫應進行資源盤點、內外環境分析、目標設定、策略與方法設計、分年實施及經費需求規劃。2025年2月修正的編審要點又將淨零、性別、人權、財務、技術、人力、社會參與等可行性納入審議，顯示今日政府策略管理已不是單純「寫計畫」。</w:t>
      </w:r>
    </w:p>
    <w:p>
      <w:r>
        <w:rPr>
          <w:b w:val="0"/>
        </w:rPr>
        <w:t>因此，本章所稱「策略管理」在臺灣應理解為一套制度化治理能力：上位國家方向如何轉成機關使命？使命如何轉成關鍵策略目標？目標如何與預算、人力、流程及跨機關協作連結？最後如何透過績效資訊判斷繼續、調整、擴張或終止？這些問題才是公部門策略管理的核心。</w:t>
      </w:r>
    </w:p>
    <w:p>
      <w:pPr>
        <w:jc w:val="center"/>
      </w:pPr>
      <w:r>
        <w:drawing>
          <wp:inline xmlns:a="http://schemas.openxmlformats.org/drawingml/2006/main" xmlns:pic="http://schemas.openxmlformats.org/drawingml/2006/picture">
            <wp:extent cx="6035040" cy="3550024"/>
            <wp:docPr id="1" name="Picture 1"/>
            <wp:cNvGraphicFramePr>
              <a:graphicFrameLocks noChangeAspect="1"/>
            </wp:cNvGraphicFramePr>
            <a:graphic>
              <a:graphicData uri="http://schemas.openxmlformats.org/drawingml/2006/picture">
                <pic:pic>
                  <pic:nvPicPr>
                    <pic:cNvPr id="0" name="圖20-1_台灣政府策略管理制度鏈.png"/>
                    <pic:cNvPicPr/>
                  </pic:nvPicPr>
                  <pic:blipFill>
                    <a:blip r:embed="rId6"/>
                    <a:stretch>
                      <a:fillRect/>
                    </a:stretch>
                  </pic:blipFill>
                  <pic:spPr>
                    <a:xfrm>
                      <a:off x="0" y="0"/>
                      <a:ext cx="6035040" cy="3550024"/>
                    </a:xfrm>
                    <a:prstGeom prst="rect"/>
                  </pic:spPr>
                </pic:pic>
              </a:graphicData>
            </a:graphic>
          </wp:inline>
        </w:drawing>
      </w:r>
    </w:p>
    <w:p>
      <w:pPr>
        <w:jc w:val="center"/>
      </w:pPr>
      <w:r>
        <w:t>圖20-1　臺灣政府現行策略管理制度鏈：從上位方向逐層轉化為機關計畫、策略目標、資源配置與績效回饋。</w:t>
      </w:r>
    </w:p>
    <w:p>
      <w:r>
        <w:rPr>
          <w:b/>
        </w:rPr>
        <w:t>一、臺灣策略管理研究的學術貢獻</w:t>
      </w:r>
    </w:p>
    <w:p>
      <w:r>
        <w:rPr>
          <w:b w:val="0"/>
        </w:rPr>
        <w:t>黃朝盟是臺灣公部門策略規劃研究的重要代表。其研究不只介紹國外策略規劃，而是直接檢驗行政院中程施政計畫制度的執行問題，指出正式制度可能出現「策略思考不足」與形式化風險，提醒我們：策略制度化本身不等於策略能力提升。</w:t>
      </w:r>
    </w:p>
    <w:p>
      <w:r>
        <w:rPr>
          <w:b w:val="0"/>
        </w:rPr>
        <w:t>黃朝盟另從公共策略管理模式比較出發，主張公共組織不宜機械套用單一企業策略模型，而應依組織任務、環境與政治條件選擇、修正或混合不同策略途徑。這與當代公共策略管理強調公共價值、授權與執行能力的方向一致。</w:t>
      </w:r>
    </w:p>
    <w:p>
      <w:r>
        <w:rPr>
          <w:b w:val="0"/>
        </w:rPr>
        <w:t>臺灣地方政府的策略地圖研究提供重要實務線索。臺北市政府曾以府級願景與目標為上位框架，要求局處建立策略目標、行動方案與KPI，再以平衡計分卡與策略地圖將策略轉化為日常管理。這說明策略地圖的價值不只在畫圖，而在於建立府級與局處之間的縱向校準。</w:t>
      </w:r>
    </w:p>
    <w:p>
      <w:r>
        <w:rPr>
          <w:b w:val="0"/>
        </w:rPr>
        <w:t>臺灣研究也逐步從「導入BSC是否成功」走向「策略制度如何落地」：包括地方政府績效管理、策略地圖導入過程、策略與預算校準、風險因素對地方政府策略管理的影響，以及政府業務終結等。這些研究構成臺灣公共策略管理不可忽視的本土知識累積。</w:t>
      </w:r>
    </w:p>
    <w:p>
      <w:r>
        <w:rPr>
          <w:b/>
        </w:rPr>
        <w:t>二、臺灣現行策略管理的四個制度特徵</w:t>
      </w:r>
    </w:p>
    <w:p>
      <w:r>
        <w:rPr>
          <w:b w:val="0"/>
        </w:rPr>
        <w:t>第一，具有「上位計畫—機關計畫—個案計畫」的縱向鏈結。策略不是單一機關閉門形成，而受到國家發展計畫與行政院施政方針引導。</w:t>
      </w:r>
    </w:p>
    <w:p>
      <w:r>
        <w:rPr>
          <w:b w:val="0"/>
        </w:rPr>
        <w:t>第二，具有「策略與資源同步考量」的制度要求。中長程個案計畫必須說明財務需求、經費來源及與中程歲出概算額度的配合，意味策略選擇必須面對資源約束。</w:t>
      </w:r>
    </w:p>
    <w:p>
      <w:r>
        <w:rPr>
          <w:b w:val="0"/>
        </w:rPr>
        <w:t>第三，逐漸由「投入與工作項目」轉向「成果與影響」。現行規範要求計畫目標盡量採產出型或成果效益型指標，與策略管理強調結果的發展一致。</w:t>
      </w:r>
    </w:p>
    <w:p>
      <w:r>
        <w:rPr>
          <w:b w:val="0"/>
        </w:rPr>
        <w:t>第四，策略管理已跨越單一部門。淨零、人權、性別、國家安全、數位轉型等議題，要求策略規劃同時處理跨機關協調與多元價值，接近整體政府的治理邏輯。</w:t>
      </w:r>
    </w:p>
    <w:p>
      <w:pPr>
        <w:jc w:val="center"/>
      </w:pPr>
      <w:r>
        <w:drawing>
          <wp:inline xmlns:a="http://schemas.openxmlformats.org/drawingml/2006/main" xmlns:pic="http://schemas.openxmlformats.org/drawingml/2006/picture">
            <wp:extent cx="6035040" cy="3550024"/>
            <wp:docPr id="2" name="Picture 2"/>
            <wp:cNvGraphicFramePr>
              <a:graphicFrameLocks noChangeAspect="1"/>
            </wp:cNvGraphicFramePr>
            <a:graphic>
              <a:graphicData uri="http://schemas.openxmlformats.org/drawingml/2006/picture">
                <pic:pic>
                  <pic:nvPicPr>
                    <pic:cNvPr id="0" name="圖20-2_策略管理動態循環與台灣制度對照.png"/>
                    <pic:cNvPicPr/>
                  </pic:nvPicPr>
                  <pic:blipFill>
                    <a:blip r:embed="rId8"/>
                    <a:stretch>
                      <a:fillRect/>
                    </a:stretch>
                  </pic:blipFill>
                  <pic:spPr>
                    <a:xfrm>
                      <a:off x="0" y="0"/>
                      <a:ext cx="6035040" cy="3550024"/>
                    </a:xfrm>
                    <a:prstGeom prst="rect"/>
                  </pic:spPr>
                </pic:pic>
              </a:graphicData>
            </a:graphic>
          </wp:inline>
        </w:drawing>
      </w:r>
    </w:p>
    <w:p>
      <w:pPr>
        <w:jc w:val="center"/>
      </w:pPr>
      <w:r>
        <w:t>圖20-2　策略管理動態循環與臺灣制度對照：制度化計畫提供穩定框架，但仍必須透過學習與調整避免形式化。</w:t>
      </w:r>
    </w:p>
    <w:p>
      <w:r>
        <w:rPr>
          <w:b/>
          <w:sz w:val="22"/>
        </w:rPr>
        <w:t>概念圖20-C　策略管理的動態循環：形成—執行—學習</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階段</w:t>
            </w:r>
          </w:p>
        </w:tc>
        <w:tc>
          <w:tcPr>
            <w:tcW w:type="dxa" w:w="2256"/>
            <w:vAlign w:val="center"/>
            <w:shd w:fill="D9EAF7"/>
          </w:tcPr>
          <w:p>
            <w:r/>
            <w:r>
              <w:rPr>
                <w:b/>
                <w:sz w:val="17"/>
              </w:rPr>
              <w:t>核心活動</w:t>
            </w:r>
          </w:p>
        </w:tc>
        <w:tc>
          <w:tcPr>
            <w:tcW w:type="dxa" w:w="2256"/>
            <w:vAlign w:val="center"/>
            <w:shd w:fill="D9EAF7"/>
          </w:tcPr>
          <w:p>
            <w:r/>
            <w:r>
              <w:rPr>
                <w:b/>
                <w:sz w:val="17"/>
              </w:rPr>
              <w:t>關鍵控制問題</w:t>
            </w:r>
          </w:p>
        </w:tc>
        <w:tc>
          <w:tcPr>
            <w:tcW w:type="dxa" w:w="2256"/>
            <w:vAlign w:val="center"/>
            <w:shd w:fill="D9EAF7"/>
          </w:tcPr>
          <w:p>
            <w:r/>
            <w:r>
              <w:rPr>
                <w:b/>
                <w:sz w:val="17"/>
              </w:rPr>
              <w:t>銜接下一階段</w:t>
            </w:r>
          </w:p>
        </w:tc>
      </w:tr>
      <w:tr>
        <w:tc>
          <w:tcPr>
            <w:tcW w:type="dxa" w:w="2256"/>
            <w:vAlign w:val="center"/>
          </w:tcPr>
          <w:p>
            <w:r/>
            <w:r>
              <w:rPr>
                <w:b w:val="0"/>
                <w:sz w:val="17"/>
              </w:rPr>
              <w:t>1. 情勢與議題建構</w:t>
            </w:r>
          </w:p>
        </w:tc>
        <w:tc>
          <w:tcPr>
            <w:tcW w:type="dxa" w:w="2256"/>
            <w:vAlign w:val="center"/>
          </w:tcPr>
          <w:p>
            <w:r/>
            <w:r>
              <w:rPr>
                <w:b w:val="0"/>
                <w:sz w:val="17"/>
              </w:rPr>
              <w:t>環境掃描、利害關係人、能力盤點</w:t>
            </w:r>
          </w:p>
        </w:tc>
        <w:tc>
          <w:tcPr>
            <w:tcW w:type="dxa" w:w="2256"/>
            <w:vAlign w:val="center"/>
          </w:tcPr>
          <w:p>
            <w:r/>
            <w:r>
              <w:rPr>
                <w:b w:val="0"/>
                <w:sz w:val="17"/>
              </w:rPr>
              <w:t>我們真正面對的是什麼問題？</w:t>
            </w:r>
          </w:p>
        </w:tc>
        <w:tc>
          <w:tcPr>
            <w:tcW w:type="dxa" w:w="2256"/>
            <w:vAlign w:val="center"/>
          </w:tcPr>
          <w:p>
            <w:r/>
            <w:r>
              <w:rPr>
                <w:b w:val="0"/>
                <w:sz w:val="17"/>
              </w:rPr>
              <w:t>形成策略選項</w:t>
            </w:r>
          </w:p>
        </w:tc>
      </w:tr>
      <w:tr>
        <w:tc>
          <w:tcPr>
            <w:tcW w:type="dxa" w:w="2256"/>
            <w:vAlign w:val="center"/>
          </w:tcPr>
          <w:p>
            <w:r/>
            <w:r>
              <w:rPr>
                <w:b w:val="0"/>
                <w:sz w:val="17"/>
              </w:rPr>
              <w:t>2. 策略形成</w:t>
            </w:r>
          </w:p>
        </w:tc>
        <w:tc>
          <w:tcPr>
            <w:tcW w:type="dxa" w:w="2256"/>
            <w:vAlign w:val="center"/>
          </w:tcPr>
          <w:p>
            <w:r/>
            <w:r>
              <w:rPr>
                <w:b w:val="0"/>
                <w:sz w:val="17"/>
              </w:rPr>
              <w:t>使命、目標、選項、優先序</w:t>
            </w:r>
          </w:p>
        </w:tc>
        <w:tc>
          <w:tcPr>
            <w:tcW w:type="dxa" w:w="2256"/>
            <w:vAlign w:val="center"/>
          </w:tcPr>
          <w:p>
            <w:r/>
            <w:r>
              <w:rPr>
                <w:b w:val="0"/>
                <w:sz w:val="17"/>
              </w:rPr>
              <w:t>為何選這個方向？</w:t>
            </w:r>
          </w:p>
        </w:tc>
        <w:tc>
          <w:tcPr>
            <w:tcW w:type="dxa" w:w="2256"/>
            <w:vAlign w:val="center"/>
          </w:tcPr>
          <w:p>
            <w:r/>
            <w:r>
              <w:rPr>
                <w:b w:val="0"/>
                <w:sz w:val="17"/>
              </w:rPr>
              <w:t>配置資源與責任</w:t>
            </w:r>
          </w:p>
        </w:tc>
      </w:tr>
      <w:tr>
        <w:tc>
          <w:tcPr>
            <w:tcW w:type="dxa" w:w="2256"/>
            <w:vAlign w:val="center"/>
          </w:tcPr>
          <w:p>
            <w:r/>
            <w:r>
              <w:rPr>
                <w:b w:val="0"/>
                <w:sz w:val="17"/>
              </w:rPr>
              <w:t>3. 策略執行</w:t>
            </w:r>
          </w:p>
        </w:tc>
        <w:tc>
          <w:tcPr>
            <w:tcW w:type="dxa" w:w="2256"/>
            <w:vAlign w:val="center"/>
          </w:tcPr>
          <w:p>
            <w:r/>
            <w:r>
              <w:rPr>
                <w:b w:val="0"/>
                <w:sz w:val="17"/>
              </w:rPr>
              <w:t>組織、預算、人力、協作</w:t>
            </w:r>
          </w:p>
        </w:tc>
        <w:tc>
          <w:tcPr>
            <w:tcW w:type="dxa" w:w="2256"/>
            <w:vAlign w:val="center"/>
          </w:tcPr>
          <w:p>
            <w:r/>
            <w:r>
              <w:rPr>
                <w:b w:val="0"/>
                <w:sz w:val="17"/>
              </w:rPr>
              <w:t>誰做、用什麼能力、投入多少？</w:t>
            </w:r>
          </w:p>
        </w:tc>
        <w:tc>
          <w:tcPr>
            <w:tcW w:type="dxa" w:w="2256"/>
            <w:vAlign w:val="center"/>
          </w:tcPr>
          <w:p>
            <w:r/>
            <w:r>
              <w:rPr>
                <w:b w:val="0"/>
                <w:sz w:val="17"/>
              </w:rPr>
              <w:t>產生輸出與結果</w:t>
            </w:r>
          </w:p>
        </w:tc>
      </w:tr>
      <w:tr>
        <w:tc>
          <w:tcPr>
            <w:tcW w:type="dxa" w:w="2256"/>
            <w:vAlign w:val="center"/>
          </w:tcPr>
          <w:p>
            <w:r/>
            <w:r>
              <w:rPr>
                <w:b w:val="0"/>
                <w:sz w:val="17"/>
              </w:rPr>
              <w:t>4. 監測與評估</w:t>
            </w:r>
          </w:p>
        </w:tc>
        <w:tc>
          <w:tcPr>
            <w:tcW w:type="dxa" w:w="2256"/>
            <w:vAlign w:val="center"/>
          </w:tcPr>
          <w:p>
            <w:r/>
            <w:r>
              <w:rPr>
                <w:b w:val="0"/>
                <w:sz w:val="17"/>
              </w:rPr>
              <w:t>績效、風險、回饋</w:t>
            </w:r>
          </w:p>
        </w:tc>
        <w:tc>
          <w:tcPr>
            <w:tcW w:type="dxa" w:w="2256"/>
            <w:vAlign w:val="center"/>
          </w:tcPr>
          <w:p>
            <w:r/>
            <w:r>
              <w:rPr>
                <w:b w:val="0"/>
                <w:sz w:val="17"/>
              </w:rPr>
              <w:t>策略是否仍有效？</w:t>
            </w:r>
          </w:p>
        </w:tc>
        <w:tc>
          <w:tcPr>
            <w:tcW w:type="dxa" w:w="2256"/>
            <w:vAlign w:val="center"/>
          </w:tcPr>
          <w:p>
            <w:r/>
            <w:r>
              <w:rPr>
                <w:b w:val="0"/>
                <w:sz w:val="17"/>
              </w:rPr>
              <w:t>修正假設與重新選擇</w:t>
            </w:r>
          </w:p>
        </w:tc>
      </w:tr>
    </w:tbl>
    <w:p>
      <w:r>
        <w:rPr>
          <w:i/>
          <w:sz w:val="16"/>
        </w:rPr>
        <w:t>資料來源：Bryson (2018)；Bryson &amp; George (2020)。本圖依公共策略「形成—執行—持續學習」整理。</w:t>
      </w:r>
    </w:p>
    <w:p>
      <w:r>
        <w:rPr>
          <w:b/>
        </w:rPr>
        <w:t>第十一節　全球策略管理文獻補強：從「計畫」到「策略實踐」</w:t>
      </w:r>
    </w:p>
    <w:p>
      <w:r>
        <w:rPr>
          <w:b w:val="0"/>
        </w:rPr>
        <w:t>第一個重要轉折，是從「策略規劃」走向「策略管理」。早期策略規劃重視環境分析、目標與策略選擇；後來研究逐漸強調執行、學習、領導、文化與資源配置。Bryson與George將公共策略管理視為整合策略形成、執行與持續學習的過程，並把策略理解為連結「抱負」與「能力」的橋梁。</w:t>
      </w:r>
    </w:p>
    <w:p>
      <w:r>
        <w:rPr>
          <w:b w:val="0"/>
        </w:rPr>
        <w:t>第二個轉折，是從「競爭優勢」走向「公共價值」。Moore的策略三角提醒公部門策略至少要同時處理公共價值、合法性與支持，以及操作能力。因此公部門不能只問效率最高的方案，也必須問這項策略是否獲得授權、是否公平、是否值得社會支持。</w:t>
      </w:r>
    </w:p>
    <w:p>
      <w:r>
        <w:rPr>
          <w:b w:val="0"/>
        </w:rPr>
        <w:t>第三個轉折，是從「資源擁有」走向「能力建構」。資源基礎觀在公部門並非只追求競爭優勢，而是要求組織辨識法定授權、專業人才、公共信任、資料治理、跨域網絡與第一線服務能力等難以替代的能力。</w:t>
      </w:r>
    </w:p>
    <w:p>
      <w:r>
        <w:rPr>
          <w:b w:val="0"/>
        </w:rPr>
        <w:t>第四個轉折，是從「策略文件」走向「策略實踐」。當代研究越來越關注策略如何在會議、協商、預算、績效、日常管理與跨組織合作中被實際做出來，而不是只看正式策略計畫寫得是否完整。</w:t>
      </w:r>
    </w:p>
    <w:p>
      <w:r>
        <w:rPr>
          <w:b w:val="0"/>
        </w:rPr>
        <w:t>第五個轉折，是策略的動態性與韌性。面對氣候變遷、地緣政治、科技快速演進與AI，策略不宜被理解為一次性的五年計畫，而應建立持續掃描、情境推演、快速調整與組織學習能力；核心使命可以穩定，策略手段則必須能調適。</w:t>
      </w:r>
    </w:p>
    <w:p>
      <w:r>
        <w:rPr>
          <w:b/>
        </w:rPr>
        <w:t>第十二節　策略地圖不是裝飾：從「策略故事」到因果鏈</w:t>
      </w:r>
    </w:p>
    <w:p>
      <w:r>
        <w:rPr>
          <w:b w:val="0"/>
        </w:rPr>
        <w:t>策略地圖的核心不是把漂亮箭頭放在海報上，而是回答「為什麼這些工作會導致那些成果」。如果機關說要提升公共服務品質，就必須說明人才與組織學習如何改善流程、流程改善如何提升服務品質，以及服務品質如何增加公民信任與公共價值。</w:t>
      </w:r>
    </w:p>
    <w:p>
      <w:r>
        <w:rPr>
          <w:b w:val="0"/>
        </w:rPr>
        <w:t>在公部門，策略地圖還必須加入民主與公共價值因素。企業可把財務成果作為最終目的，但政府的最終成果通常是健康、教育、安全、環境、社會公平、信任與公共服務品質，因此可把公共價值／政策成果置於頂端。</w:t>
      </w:r>
    </w:p>
    <w:p>
      <w:r>
        <w:rPr>
          <w:b w:val="0"/>
        </w:rPr>
        <w:t>臺灣策略地圖實務尤其值得教學使用，因為它顯示策略地圖如何從府級願景一路展開到局處策略目標、行動方案與KPI，使學生看到策略管理是政府把政治方向轉化為行政管理語言的具體技術。</w:t>
      </w:r>
    </w:p>
    <w:p>
      <w:pPr>
        <w:jc w:val="center"/>
      </w:pPr>
      <w:r>
        <w:drawing>
          <wp:inline xmlns:a="http://schemas.openxmlformats.org/drawingml/2006/main" xmlns:pic="http://schemas.openxmlformats.org/drawingml/2006/picture">
            <wp:extent cx="6035040" cy="3550024"/>
            <wp:docPr id="3" name="Picture 3"/>
            <wp:cNvGraphicFramePr>
              <a:graphicFrameLocks noChangeAspect="1"/>
            </wp:cNvGraphicFramePr>
            <a:graphic>
              <a:graphicData uri="http://schemas.openxmlformats.org/drawingml/2006/picture">
                <pic:pic>
                  <pic:nvPicPr>
                    <pic:cNvPr id="0" name="圖20-3_公部門策略地圖_公共價值版.png"/>
                    <pic:cNvPicPr/>
                  </pic:nvPicPr>
                  <pic:blipFill>
                    <a:blip r:embed="rId9"/>
                    <a:stretch>
                      <a:fillRect/>
                    </a:stretch>
                  </pic:blipFill>
                  <pic:spPr>
                    <a:xfrm>
                      <a:off x="0" y="0"/>
                      <a:ext cx="6035040" cy="3550024"/>
                    </a:xfrm>
                    <a:prstGeom prst="rect"/>
                  </pic:spPr>
                </pic:pic>
              </a:graphicData>
            </a:graphic>
          </wp:inline>
        </w:drawing>
      </w:r>
    </w:p>
    <w:p>
      <w:pPr>
        <w:jc w:val="center"/>
      </w:pPr>
      <w:r>
        <w:t>圖20-3　公部門策略地圖的基本因果鏈：能力改善必須透過流程與服務轉化為可觀察的公共價值。</w:t>
      </w:r>
    </w:p>
    <w:p>
      <w:r>
        <w:rPr>
          <w:b/>
        </w:rPr>
        <w:t>第十三節　策略執行的專案化工具：甘特圖、CPM與PERT</w:t>
      </w:r>
    </w:p>
    <w:p>
      <w:r>
        <w:rPr>
          <w:b w:val="0"/>
        </w:rPr>
        <w:t>策略管理不能停在高層方向選擇，還必須轉成可以執行的工作。早期教材常將甘特圖、要徑法（CPM）與計畫評核術（PERT）放在策略規劃工具之下；它們雖不是策略選擇工具，卻是把策略落實成專案時程的重要技術。</w:t>
      </w:r>
    </w:p>
    <w:p>
      <w:r>
        <w:rPr>
          <w:b w:val="0"/>
        </w:rPr>
        <w:t>甘特圖以時間為橫軸、工作項目為縱軸，適合呈現任務開始、結束與進度；CPM把工作拆成活動並分析相依性，找出決定整體工期的關鍵路徑；PERT則以機率性時間估計處理不確定性。</w:t>
      </w:r>
    </w:p>
    <w:p>
      <w:r>
        <w:rPr>
          <w:b w:val="0"/>
        </w:rPr>
        <w:t>教學上應特別區分：SWOT、PESTEL是策略診斷工具；策略地圖與BSC是策略轉化與衡量工具；甘特圖、CPM、PERT則是策略執行與時程控制工具。</w:t>
      </w:r>
    </w:p>
    <w:p>
      <w:r>
        <w:rPr>
          <w:b/>
        </w:rPr>
        <w:t>第十四節　AI時代策略管理的合理定位：增強判斷，而非取代策略</w:t>
      </w:r>
    </w:p>
    <w:p>
      <w:r>
        <w:rPr>
          <w:b w:val="0"/>
        </w:rPr>
        <w:t>AI可以降低資料蒐集、文本整理、情境生成與趨勢監測成本，但不能自動決定公共價值的優先順序。策略本質包含取捨，而取捨牽涉誰受益、誰負擔成本、哪些價值不可交換，以及政治與法律授權。</w:t>
      </w:r>
    </w:p>
    <w:p>
      <w:r>
        <w:rPr>
          <w:b w:val="0"/>
        </w:rPr>
        <w:t>因此，AI較適合放在策略循環的「感知與分析」端：協助環境掃描、整理利害關係人意見、比較政策選項、模擬情境；人類則必須保留價值判斷、授權確認、風險承擔與最終決策的權責。</w:t>
      </w:r>
    </w:p>
    <w:p>
      <w:r>
        <w:rPr>
          <w:b w:val="0"/>
        </w:rPr>
        <w:t>臺灣的制度可作為基準：即使使用AI產生策略分析，仍必須回到正式的施政方針、中程計畫、個案計畫、預算與績效制度，才能成為真正具有行政效力的策略。AI產生的文字不是策略；能被授權、資源化、執行、衡量與修正的選擇，才是策略管理。</w:t>
      </w:r>
    </w:p>
    <w:p>
      <w:r>
        <w:rPr>
          <w:b/>
        </w:rPr>
        <w:t>第十五節　臺灣與全球重要文獻補強</w:t>
      </w:r>
    </w:p>
    <w:p>
      <w:r>
        <w:rPr>
          <w:b w:val="0"/>
        </w:rPr>
        <w:t>黃朝盟（2000）。〈公共策略管理之適當模式－哈佛企業政策、策略聯盟、競爭力分析…還是其他？〉，《中國行政評論》，9(4)，1-34。</w:t>
      </w:r>
    </w:p>
    <w:p>
      <w:r>
        <w:rPr>
          <w:b w:val="0"/>
        </w:rPr>
        <w:t>黃朝盟（2000）。〈公共策略規劃暨績效預算——從美、澳的執行經驗建立適當之評估架構〉，《理論與政策》，14(1)，23-41。</w:t>
      </w:r>
    </w:p>
    <w:p>
      <w:r>
        <w:rPr>
          <w:b w:val="0"/>
        </w:rPr>
        <w:t>黃朝盟（2005）。《公共組織策略規劃之研究：理論、執行與評估》。臺北：韋伯文化。</w:t>
      </w:r>
    </w:p>
    <w:p>
      <w:r>
        <w:rPr>
          <w:b w:val="0"/>
        </w:rPr>
        <w:t>黃朝盟（2006）。〈Strategic Planning and Dysfunction: The Dark Side of Mandating a Formal Planning System〉，《東吳政治學報》，22，47-71。</w:t>
      </w:r>
    </w:p>
    <w:p>
      <w:r>
        <w:rPr>
          <w:b w:val="0"/>
        </w:rPr>
        <w:t>黃朝盟（2005）。〈從行政院中程施政計畫制度之初期執行評估——策略思考不足的策略規劃〉，《中國行政》，76，99-124。</w:t>
      </w:r>
    </w:p>
    <w:p>
      <w:r>
        <w:rPr>
          <w:b w:val="0"/>
        </w:rPr>
        <w:t>曲兆祥、陳蕙娟（2016）。〈地方政府績效管理——臺北市政府推動策略地圖之過程與效益〉，《國土及公共治理季刊》，4(3)，124-130。</w:t>
      </w:r>
    </w:p>
    <w:p>
      <w:r>
        <w:rPr>
          <w:b w:val="0"/>
        </w:rPr>
        <w:t>呂育誠（2017）。〈地方政府績效管理作為之研究：以臺北市政府策略地圖為例〉，《國土及公共治理季刊》，5(3)，80-93。</w:t>
      </w:r>
    </w:p>
    <w:p>
      <w:r>
        <w:rPr>
          <w:b w:val="0"/>
        </w:rPr>
        <w:t>沈建忠、吳美雲、施乃元（2017）。〈政府績效管理之變革〉，《國土及公共治理季刊》，5(3)，94-107。</w:t>
      </w:r>
    </w:p>
    <w:p>
      <w:r>
        <w:rPr>
          <w:b w:val="0"/>
        </w:rPr>
        <w:t>施能傑（2008）。〈政府業務終結的分析架構〉，《公共行政學報》，28，85-113。</w:t>
      </w:r>
    </w:p>
    <w:p>
      <w:r>
        <w:rPr>
          <w:b w:val="0"/>
        </w:rPr>
        <w:t>朱炫璉、鄭珍如（2007）。〈某政府機關績效管理制度之實證評估——平衡計分卡及層級分析法之利用〉，《管理學報》，24(6)，689-705。</w:t>
      </w:r>
    </w:p>
    <w:p>
      <w:r>
        <w:rPr>
          <w:b w:val="0"/>
        </w:rPr>
        <w:t>吳安妮（2003）。〈平衡計分卡之精髓、範疇及整合〉，《會計研究月刊》，211、212。</w:t>
      </w:r>
    </w:p>
    <w:p>
      <w:r>
        <w:rPr>
          <w:b w:val="0"/>
        </w:rPr>
        <w:t>國家發展委員會（2025）。《行政院所屬各機關中長程個案計畫編審要點》。</w:t>
      </w:r>
    </w:p>
    <w:p>
      <w:r>
        <w:rPr>
          <w:b w:val="0"/>
        </w:rPr>
        <w:t>國家發展委員會（現行）。《行政院所屬各機關中長程個案計畫制度》。</w:t>
      </w:r>
    </w:p>
    <w:p>
      <w:r>
        <w:rPr>
          <w:b w:val="0"/>
        </w:rPr>
        <w:t>國家發展委員會／行政院相關機關（現行）。《行政院所屬各機關施政績效管理要點》及作業手冊。</w:t>
      </w:r>
    </w:p>
    <w:p>
      <w:r>
        <w:rPr>
          <w:b w:val="0"/>
        </w:rPr>
        <w:t>Mintzberg, H. (1987). The Strategy Concept I: Five Ps for Strategy. California Management Review, 30(1), 11–24.</w:t>
      </w:r>
    </w:p>
    <w:p>
      <w:r>
        <w:rPr>
          <w:b w:val="0"/>
        </w:rPr>
        <w:t>Chandler, A. D. (1962). Strategy and Structure. MIT Press.</w:t>
      </w:r>
    </w:p>
    <w:p>
      <w:r>
        <w:rPr>
          <w:b w:val="0"/>
        </w:rPr>
        <w:t>Andrews, K. R. (1971). The Concept of Corporate Strategy. Dow Jones-Irwin.</w:t>
      </w:r>
    </w:p>
    <w:p>
      <w:r>
        <w:rPr>
          <w:b w:val="0"/>
        </w:rPr>
        <w:t>Porter, M. E. (1980). Competitive Strategy. Free Press.</w:t>
      </w:r>
    </w:p>
    <w:p>
      <w:r>
        <w:rPr>
          <w:b w:val="0"/>
        </w:rPr>
        <w:t>Miles, R. E., &amp; Snow, C. C. (1978). Organizational Strategy, Structure, and Process. McGraw-Hill.</w:t>
      </w:r>
    </w:p>
    <w:p>
      <w:r>
        <w:rPr>
          <w:b w:val="0"/>
        </w:rPr>
        <w:t>Moore, M. H. (1995). Creating Public Value. Harvard University Press.</w:t>
      </w:r>
    </w:p>
    <w:p>
      <w:r>
        <w:rPr>
          <w:b w:val="0"/>
        </w:rPr>
        <w:t>Bryson, J. M. (2018). Strategic Planning for Public and Nonprofit Organizations (5th ed.). Wiley.</w:t>
      </w:r>
    </w:p>
    <w:p>
      <w:r>
        <w:rPr>
          <w:b w:val="0"/>
        </w:rPr>
        <w:t>Bryson, J. M., &amp; George, B. (2020). Strategic Management in Public Administration. Oxford Research Encyclopedia of Politics.</w:t>
      </w:r>
    </w:p>
    <w:p>
      <w:r>
        <w:rPr>
          <w:b w:val="0"/>
        </w:rPr>
        <w:t>Bryson, J. M. (2007). Putting the Resource-Based View of Strategy and Distinctive Competencies to Work in Public Organizations. Public Administration Review, 67(4), 702–717.</w:t>
      </w:r>
    </w:p>
    <w:p>
      <w:r>
        <w:rPr>
          <w:b w:val="0"/>
        </w:rPr>
        <w:t>Kaplan, R. S., &amp; Norton, D. P. (1996). The Balanced Scorecard. Harvard Business School Press.</w:t>
      </w:r>
    </w:p>
    <w:p>
      <w:r>
        <w:rPr>
          <w:b w:val="0"/>
        </w:rPr>
        <w:t>Kaplan, R. S., &amp; Norton, D. P. (2001). The Strategy-Focused Organization. Harvard Business School Press.</w:t>
      </w:r>
    </w:p>
    <w:p>
      <w:r>
        <w:rPr>
          <w:b w:val="0"/>
        </w:rPr>
        <w:t>Weihrich, H. (1982). The TOWS Matrix: A Tool for Situational Analysis. Long Range Planning, 15(2), 54–66.</w:t>
      </w:r>
    </w:p>
    <w:p>
      <w:r>
        <w:rPr>
          <w:b w:val="0"/>
        </w:rPr>
        <w:t>Niven, P. R. (2008). Balanced Scorecard Step-by-Step for Government and Nonprofit Agencies (2nd ed.). Wiley.</w:t>
      </w:r>
    </w:p>
    <w:p>
      <w:r>
        <w:rPr>
          <w:b/>
        </w:rPr>
        <w:t>教學整合提醒：本章應讓學生記住的不是十幾個工具名稱，而是一條完整的策略邏輯：</w:t>
      </w:r>
    </w:p>
    <w:p>
      <w:r>
        <w:rPr>
          <w:b w:val="0"/>
        </w:rPr>
        <w:t>「公共價值與使命 → 環境與能力診斷 → 策略選擇與取捨 → 資源與組織配置 → 執行與協作 → KPI與成果 → 學習、調整、延續或終止」。臺灣政府的中程施政、個案計畫與績效制度，正好可以作為這條邏輯的制度化案例。</w:t>
      </w:r>
    </w:p>
    <w:p>
      <w:pPr>
        <w:spacing w:after="200" w:line="360"/>
        <w:ind w:firstLine="431"/>
        <w:jc w:val="both"/>
      </w:pPr>
      <w:r>
        <w:rPr>
          <w:rFonts w:ascii="微軟正黑體" w:cs="微軟正黑體" w:eastAsia="微軟正黑體" w:hAnsi="微軟正黑體"/>
          <w:sz w:val="22"/>
          <w:szCs w:val="22"/>
        </w:rPr>
        <w:t xml:space="preserve">Andrews, K. R. (1971). The Concept of Corporate Strategy. Homewood, IL: Dow Jones-Irwin.</w:t>
      </w:r>
    </w:p>
    <w:p>
      <w:pPr>
        <w:spacing w:after="200" w:line="360"/>
        <w:ind w:firstLine="431"/>
        <w:jc w:val="both"/>
      </w:pPr>
      <w:r>
        <w:rPr>
          <w:rFonts w:ascii="微軟正黑體" w:cs="微軟正黑體" w:eastAsia="微軟正黑體" w:hAnsi="微軟正黑體"/>
          <w:sz w:val="22"/>
          <w:szCs w:val="22"/>
        </w:rPr>
        <w:t>Chandler, A. D. (1962). Strategy and Structure: Chapters in the History of the American Industrial Enterprise. MIT Press.</w:t>
      </w:r>
    </w:p>
    <w:p>
      <w:pPr>
        <w:spacing w:after="200" w:line="360"/>
        <w:ind w:firstLine="431"/>
        <w:jc w:val="both"/>
      </w:pPr>
      <w:r>
        <w:rPr>
          <w:rFonts w:ascii="微軟正黑體" w:cs="微軟正黑體" w:eastAsia="微軟正黑體" w:hAnsi="微軟正黑體"/>
          <w:sz w:val="22"/>
          <w:szCs w:val="22"/>
        </w:rPr>
        <w:t>Weihrich, H. (1982). The TOWS matrix: A tool for situational analysis. Long Range Planning, 15(2), 54-66.</w:t>
      </w:r>
    </w:p>
    <w:p>
      <w:pPr>
        <w:spacing w:after="200" w:line="360"/>
        <w:ind w:firstLine="431"/>
        <w:jc w:val="both"/>
      </w:pPr>
      <w:r>
        <w:rPr>
          <w:rFonts w:ascii="微軟正黑體" w:cs="微軟正黑體" w:eastAsia="微軟正黑體" w:hAnsi="微軟正黑體"/>
          <w:sz w:val="22"/>
          <w:szCs w:val="22"/>
        </w:rPr>
        <w:t>Kaplan, R. S., &amp; Norton, D. P. (1996). The Balanced Scorecard: Translating Strategy into Action. Harvard Business School Press.</w:t>
      </w:r>
    </w:p>
    <w:p>
      <w:pPr>
        <w:spacing w:after="200" w:line="360"/>
        <w:ind w:firstLine="431"/>
        <w:jc w:val="both"/>
      </w:pPr>
      <w:r>
        <w:rPr>
          <w:rFonts w:ascii="微軟正黑體" w:cs="微軟正黑體" w:eastAsia="微軟正黑體" w:hAnsi="微軟正黑體"/>
          <w:sz w:val="22"/>
          <w:szCs w:val="22"/>
        </w:rPr>
        <w:t xml:space="preserve">Bryson, J. M. (2018). Strategic Planning for Public and Nonprofit Organizations (5th ed.). Wiley.</w:t>
      </w:r>
    </w:p>
    <w:p>
      <w:pPr>
        <w:spacing w:after="200" w:line="360"/>
        <w:ind w:firstLine="431"/>
        <w:jc w:val="both"/>
      </w:pPr>
      <w:r>
        <w:rPr>
          <w:rFonts w:ascii="微軟正黑體" w:cs="微軟正黑體" w:eastAsia="微軟正黑體" w:hAnsi="微軟正黑體"/>
          <w:sz w:val="22"/>
          <w:szCs w:val="22"/>
        </w:rPr>
        <w:t xml:space="preserve">Bryson, J. M., &amp; George, B. (2020). Strategic management in public administration. In Oxford Research Encyclopedia of Politics.</w:t>
      </w:r>
    </w:p>
    <w:p>
      <w:pPr>
        <w:spacing w:after="200" w:line="360"/>
        <w:ind w:firstLine="431"/>
        <w:jc w:val="both"/>
      </w:pPr>
      <w:r>
        <w:rPr>
          <w:rFonts w:ascii="微軟正黑體" w:cs="微軟正黑體" w:eastAsia="微軟正黑體" w:hAnsi="微軟正黑體"/>
          <w:sz w:val="22"/>
          <w:szCs w:val="22"/>
        </w:rPr>
        <w:t xml:space="preserve">David, F. R., &amp; David, F. R. (2020). Strategic Management: A Competitive Advantage Approach (17th ed.). Pearson.</w:t>
      </w:r>
    </w:p>
    <w:p>
      <w:pPr>
        <w:spacing w:after="200" w:line="360"/>
        <w:ind w:firstLine="431"/>
        <w:jc w:val="both"/>
      </w:pPr>
      <w:r>
        <w:rPr>
          <w:rFonts w:ascii="微軟正黑體" w:cs="微軟正黑體" w:eastAsia="微軟正黑體" w:hAnsi="微軟正黑體"/>
          <w:sz w:val="22"/>
          <w:szCs w:val="22"/>
        </w:rPr>
        <w:t xml:space="preserve">Kaplan, R. S., &amp; Norton, D. P. (2001). The Strategy-Focused Organization. Harvard Business School Press.</w:t>
      </w:r>
    </w:p>
    <w:p>
      <w:pPr>
        <w:spacing w:after="200" w:line="360"/>
        <w:ind w:firstLine="431"/>
        <w:jc w:val="both"/>
      </w:pPr>
      <w:r>
        <w:rPr>
          <w:rFonts w:ascii="微軟正黑體" w:cs="微軟正黑體" w:eastAsia="微軟正黑體" w:hAnsi="微軟正黑體"/>
          <w:sz w:val="22"/>
          <w:szCs w:val="22"/>
        </w:rPr>
        <w:t xml:space="preserve">Miles, R. E., &amp; Snow, C. C. (1978). Organizational Strategy, Structure, and Process. McGraw-Hill.</w:t>
      </w:r>
    </w:p>
    <w:p>
      <w:pPr>
        <w:spacing w:after="200" w:line="360"/>
        <w:ind w:firstLine="431"/>
        <w:jc w:val="both"/>
      </w:pPr>
      <w:r>
        <w:rPr>
          <w:rFonts w:ascii="微軟正黑體" w:cs="微軟正黑體" w:eastAsia="微軟正黑體" w:hAnsi="微軟正黑體"/>
          <w:sz w:val="22"/>
          <w:szCs w:val="22"/>
        </w:rPr>
        <w:t xml:space="preserve">Mintzberg, H. (1987). The strategy concept I: Five Ps for strategy. California Management Review, 30(1), 11-24.</w:t>
      </w:r>
    </w:p>
    <w:p>
      <w:pPr>
        <w:spacing w:after="200" w:line="360"/>
        <w:ind w:firstLine="431"/>
        <w:jc w:val="both"/>
      </w:pPr>
      <w:r>
        <w:rPr>
          <w:rFonts w:ascii="微軟正黑體" w:cs="微軟正黑體" w:eastAsia="微軟正黑體" w:hAnsi="微軟正黑體"/>
          <w:sz w:val="22"/>
          <w:szCs w:val="22"/>
        </w:rPr>
        <w:t xml:space="preserve">Moore, M. H. (1995). Creating Public Value. Harvard University Press.</w:t>
      </w:r>
    </w:p>
    <w:p>
      <w:pPr>
        <w:spacing w:after="200" w:line="360"/>
        <w:ind w:firstLine="431"/>
        <w:jc w:val="both"/>
      </w:pPr>
      <w:r>
        <w:rPr>
          <w:rFonts w:ascii="微軟正黑體" w:cs="微軟正黑體" w:eastAsia="微軟正黑體" w:hAnsi="微軟正黑體"/>
          <w:sz w:val="22"/>
          <w:szCs w:val="22"/>
        </w:rPr>
        <w:t xml:space="preserve">Niven, P. R. (2008). Balanced Scorecard Step-by-Step for Government and Nonprofit Agencies (2nd ed.). Wiley.</w:t>
      </w:r>
    </w:p>
    <w:p>
      <w:pPr>
        <w:spacing w:after="200" w:line="360"/>
        <w:ind w:firstLine="431"/>
        <w:jc w:val="both"/>
      </w:pPr>
      <w:r>
        <w:rPr>
          <w:rFonts w:ascii="微軟正黑體" w:cs="微軟正黑體" w:eastAsia="微軟正黑體" w:hAnsi="微軟正黑體"/>
          <w:sz w:val="22"/>
          <w:szCs w:val="22"/>
        </w:rPr>
        <w:t xml:space="preserve">Porter, M. E. (1980). Competitive Strategy. Free Press.</w:t>
      </w:r>
    </w:p>
    <w:p>
      <w:pPr>
        <w:spacing w:after="200" w:line="360"/>
        <w:ind w:firstLine="431"/>
        <w:jc w:val="both"/>
      </w:pPr>
      <w:r>
        <w:rPr>
          <w:rFonts w:ascii="微軟正黑體" w:cs="微軟正黑體" w:eastAsia="微軟正黑體" w:hAnsi="微軟正黑體"/>
          <w:sz w:val="22"/>
          <w:szCs w:val="22"/>
        </w:rPr>
        <w:t xml:space="preserve">行政院(2025)。人工智慧基本法草案與立法說明。行政院全球資訊網。</w:t>
      </w:r>
    </w:p>
    <w:p>
      <w:pPr>
        <w:spacing w:after="200" w:line="360"/>
        <w:ind w:firstLine="431"/>
        <w:jc w:val="both"/>
      </w:pPr>
      <w:r>
        <w:rPr>
          <w:rFonts w:ascii="微軟正黑體" w:cs="微軟正黑體" w:eastAsia="微軟正黑體" w:hAnsi="微軟正黑體"/>
          <w:sz w:val="22"/>
          <w:szCs w:val="22"/>
        </w:rPr>
        <w:t xml:space="preserve">立法院(2025年12月)。立法院三讀通過《人工智慧基本法》。數位發展部新聞稿。</w:t>
      </w:r>
    </w:p>
    <w:p>
      <w:pPr>
        <w:spacing w:after="200" w:line="360"/>
        <w:ind w:firstLine="431"/>
        <w:jc w:val="both"/>
      </w:pPr>
      <w:r>
        <w:rPr>
          <w:rFonts w:ascii="微軟正黑體" w:cs="微軟正黑體" w:eastAsia="微軟正黑體" w:hAnsi="微軟正黑體"/>
          <w:sz w:val="22"/>
          <w:szCs w:val="22"/>
        </w:rPr>
        <w:t xml:space="preserve">國家科學及技術委員會(2023)。臺灣AI行動計畫2.0(2023-2026年)核定本。國科會。</w:t>
      </w:r>
    </w:p>
    <w:p>
      <w:pPr>
        <w:spacing w:after="200" w:line="360"/>
        <w:ind w:firstLine="431"/>
        <w:jc w:val="both"/>
      </w:pPr>
      <w:r>
        <w:rPr>
          <w:rFonts w:ascii="微軟正黑體" w:cs="微軟正黑體" w:eastAsia="微軟正黑體" w:hAnsi="微軟正黑體"/>
          <w:sz w:val="22"/>
          <w:szCs w:val="22"/>
        </w:rPr>
        <w:t xml:space="preserve">國家科學及技術委員會(2024)。TAIDE可信任生成式AI對話引擎發展報告與台灣主體性語料建構。國科會。</w:t>
      </w:r>
    </w:p>
    <w:p>
      <w:pPr>
        <w:spacing w:after="200" w:line="360"/>
        <w:ind w:firstLine="431"/>
        <w:jc w:val="both"/>
      </w:pPr>
      <w:r>
        <w:rPr>
          <w:rFonts w:ascii="微軟正黑體" w:cs="微軟正黑體" w:eastAsia="微軟正黑體" w:hAnsi="微軟正黑體"/>
          <w:sz w:val="22"/>
          <w:szCs w:val="22"/>
        </w:rPr>
        <w:t xml:space="preserve">國家實驗研究院國家高速網路與計算中心(2024)。TAIWAN AI RAP與TAIDE亮點成果發表會資料。</w:t>
      </w:r>
    </w:p>
    <w:p>
      <w:pPr>
        <w:spacing w:after="200" w:line="360"/>
        <w:ind w:firstLine="431"/>
        <w:jc w:val="both"/>
      </w:pPr>
      <w:r>
        <w:rPr>
          <w:rFonts w:ascii="微軟正黑體" w:cs="微軟正黑體" w:eastAsia="微軟正黑體" w:hAnsi="微軟正黑體"/>
          <w:sz w:val="22"/>
          <w:szCs w:val="22"/>
        </w:rPr>
        <w:t xml:space="preserve">數位發展部(2024)。行政院及所屬機關(構)使用生成式AI參考指引與AI風險分類框架研議。</w:t>
      </w:r>
    </w:p>
    <w:p>
      <w:pPr>
        <w:spacing w:after="200" w:line="360"/>
        <w:ind w:firstLine="431"/>
        <w:jc w:val="both"/>
      </w:pPr>
      <w:r>
        <w:rPr>
          <w:rFonts w:ascii="微軟正黑體" w:cs="微軟正黑體" w:eastAsia="微軟正黑體" w:hAnsi="微軟正黑體"/>
          <w:sz w:val="22"/>
          <w:szCs w:val="22"/>
        </w:rPr>
        <w:t xml:space="preserve">European Commission. (2024). EU AI Act: Official Journal of the European Union. Risk-based approach and General-Purpose AI Model obligations.</w:t>
      </w:r>
    </w:p>
    <w:p>
      <w:pPr>
        <w:spacing w:after="200" w:line="360"/>
        <w:ind w:firstLine="431"/>
        <w:jc w:val="both"/>
      </w:pPr>
      <w:r>
        <w:rPr>
          <w:rFonts w:ascii="微軟正黑體" w:cs="微軟正黑體" w:eastAsia="微軟正黑體" w:hAnsi="微軟正黑體"/>
          <w:sz w:val="22"/>
          <w:szCs w:val="22"/>
        </w:rPr>
        <w:t xml:space="preserve">George, B., et al. (2023). Meta-analysis of strategic planning and performance in public organizations. Public Management Review, 25(1), 1-27.</w:t>
      </w:r>
    </w:p>
    <w:p>
      <w:pPr>
        <w:spacing w:after="200" w:line="360"/>
        <w:ind w:firstLine="431"/>
        <w:jc w:val="both"/>
      </w:pPr>
      <w:r>
        <w:rPr>
          <w:rFonts w:ascii="微軟正黑體" w:cs="微軟正黑體" w:eastAsia="微軟正黑體" w:hAnsi="微軟正黑體"/>
          <w:sz w:val="22"/>
          <w:szCs w:val="22"/>
        </w:rPr>
        <w:t xml:space="preserve">Huang, H. H., et al. (2024). TAIDE: Building trustworthy AI dialogue engine for Taiwan. Academia Sinica &amp; NCHC Technical Reports.</w:t>
      </w:r>
    </w:p>
    <w:p>
      <w:pPr>
        <w:spacing w:after="200" w:line="360"/>
        <w:ind w:firstLine="431"/>
        <w:jc w:val="both"/>
      </w:pPr>
      <w:r>
        <w:rPr>
          <w:rFonts w:ascii="微軟正黑體" w:cs="微軟正黑體" w:eastAsia="微軟正黑體" w:hAnsi="微軟正黑體"/>
          <w:sz w:val="22"/>
          <w:szCs w:val="22"/>
        </w:rPr>
        <w:t xml:space="preserve">NVIDIA. (2024). Sovereign AI: Nations building their own AI factories. Technical Brief on Data, Compute and Model Sovereignty.</w:t>
      </w:r>
    </w:p>
    <w:p>
      <w:pPr>
        <w:spacing w:after="200" w:line="360"/>
        <w:ind w:firstLine="431"/>
        <w:jc w:val="both"/>
      </w:pPr>
      <w:r>
        <w:rPr>
          <w:rFonts w:ascii="微軟正黑體" w:cs="微軟正黑體" w:eastAsia="微軟正黑體" w:hAnsi="微軟正黑體"/>
          <w:sz w:val="22"/>
          <w:szCs w:val="22"/>
        </w:rPr>
        <w:t xml:space="preserve">Wirtz, B. W., et al. (2024). AI governance in the public sector: Risks, strategies and GovTech. International Journal of Public Administration, 47(3), 185-204.</w:t>
      </w:r>
    </w:p>
    <w:p>
      <w:pPr>
        <w:spacing w:after="200" w:line="360"/>
        <w:ind w:firstLine="431"/>
        <w:jc w:val="both"/>
      </w:pPr>
      <w:r>
        <w:rPr>
          <w:rFonts w:ascii="微軟正黑體" w:cs="微軟正黑體" w:eastAsia="微軟正黑體" w:hAnsi="微軟正黑體"/>
          <w:sz w:val="22"/>
          <w:szCs w:val="22"/>
        </w:rPr>
        <w:t xml:space="preserve">Cour des Comptes (2025). The National Strategy for Artificial Intelligence. Republique Francaise.</w:t>
      </w:r>
    </w:p>
    <w:p>
      <w:pPr>
        <w:spacing w:after="200" w:line="360"/>
        <w:ind w:firstLine="431"/>
        <w:jc w:val="both"/>
      </w:pPr>
      <w:r>
        <w:rPr>
          <w:rFonts w:ascii="微軟正黑體" w:cs="微軟正黑體" w:eastAsia="微軟正黑體" w:hAnsi="微軟正黑體"/>
          <w:sz w:val="22"/>
          <w:szCs w:val="22"/>
        </w:rPr>
        <w:t xml:space="preserve">Sayankina, S., Tsen, E., Tan, E.-W., &amp; Ko, R. K. L. (2025). Defining the intension and extension of nations' sovereignty in the age of generative AI. Territory, Politics, Governance, 14(6), 1067-1082.</w:t>
      </w:r>
    </w:p>
    <w:p>
      <w:pPr>
        <w:spacing w:after="200" w:line="360"/>
        <w:ind w:firstLine="431"/>
        <w:jc w:val="both"/>
      </w:pPr>
      <w:r>
        <w:rPr>
          <w:rFonts w:ascii="微軟正黑體" w:cs="微軟正黑體" w:eastAsia="微軟正黑體" w:hAnsi="微軟正黑體"/>
          <w:sz w:val="22"/>
          <w:szCs w:val="22"/>
        </w:rPr>
        <w:t xml:space="preserve">George, J. (2026). Assessing sovereign AI: A two-pronged framework. Center for Security and Emerging Technology, Georgetown University.</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前瞻:通往第二十一章「行政領導」</w:t>
            </w:r>
          </w:p>
          <w:p>
            <w:pPr>
              <w:spacing w:line="340"/>
              <w:jc w:val="both"/>
            </w:pPr>
            <w:r>
              <w:rPr>
                <w:rFonts w:ascii="微軟正黑體" w:cs="微軟正黑體" w:eastAsia="微軟正黑體" w:hAnsi="微軟正黑體"/>
                <w:sz w:val="21"/>
                <w:szCs w:val="21"/>
              </w:rPr>
              <w:t xml:space="preserve">本章作為第五層管理運作之首章,系統梳理策略管理之理論與實務,從願景使命、PESTEL與五力外部分析、RBV與VRIO內部分析、SWOT/TOWS策略配對,到平衡計分卡與策略地圖,再到AI時代之動態SWOT與主權AI四主權戰略,建立了「組織往何處去」之完整分析架構。然而,策略再精良,若無人願意、無人能夠帶領組織成員朝此方向前進,方向終究只是紙上文字。下一章「行政領導」將銜接此一提問,探討政治與行政領導之二元關係、領導理論之古典與當代發展,以及生成式AI時代領導者之雙軌素養(操作能力與批判審計能力)——若本章回答的是「往何處去」,下一章要回答的正是「誰來帶領大家,以及如何帶領」。</w:t>
            </w:r>
          </w:p>
        </w:tc>
      </w:tr>
    </w:tbl>
    <w:p>
      <w:r>
        <w:rPr>
          <w:b/>
        </w:rPr>
        <w:t>本次補強新增／核驗文獻</w:t>
      </w:r>
    </w:p>
    <w:p>
      <w:r>
        <w:t>Bryson, J. M., &amp; George, B. (2020). Strategic Management in Public Administration. Oxford Research Encyclopedia of Politics. DOI: 10.1093/acrefore/9780190228637.013.1396.</w:t>
      </w:r>
    </w:p>
    <w:p>
      <w:r>
        <w:t>Bryson, J. M. (2010). The Future of Public and Nonprofit Strategic Planning in the United States. Public Administration Review, 70(s1), s255–s267. DOI: 10.1111/j.1540-6210.2010.02285.x.</w:t>
      </w:r>
    </w:p>
    <w:p>
      <w:r>
        <w:t>Bryson, J. M. (2007). Putting the Resource-Based View of Strategy and Distinctive Competencies to Work in Public Organizations. Public Administration Review, 67(4), 702–717.</w:t>
      </w:r>
    </w:p>
    <w:p>
      <w:r>
        <w:t>OECD. (2025). Governing with Artificial Intelligence: The State of Play and Way Forward in Core Government Functions. OECD Publishing. DOI: 10.1787/795de142-en.</w:t>
      </w:r>
    </w:p>
    <w:p>
      <w:r>
        <w:t>總統府（2026）。《人工智慧基本法》，中華民國115年1月14日公布。</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2026-08-31T10:17:02.839Z</dcterms:created>
  <dcterms:modified xsi:type="dcterms:W3CDTF">2026-08-31T10:17:02.839Z</dcterms:modified>
</cp:coreProperties>
</file>

<file path=docProps/custom.xml><?xml version="1.0" encoding="utf-8"?>
<Properties xmlns="http://schemas.openxmlformats.org/officeDocument/2006/custom-properties" xmlns:vt="http://schemas.openxmlformats.org/officeDocument/2006/docPropsVTypes"/>
</file>