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4"/>
          <w:szCs w:val="44"/>
        </w:rPr>
        <w:t>行政學教科書</w:t>
      </w:r>
    </w:p>
    <w:p>
      <w:pPr>
        <w:spacing w:after="60"/>
        <w:jc w:val="center"/>
      </w:pPr>
      <w:r>
        <w:rPr>
          <w:rFonts w:ascii="微軟正黑體" w:cs="微軟正黑體" w:eastAsia="微軟正黑體" w:hAnsi="微軟正黑體"/>
          <w:b/>
          <w:bCs/>
          <w:color w:val="444444"/>
          <w:sz w:val="30"/>
          <w:szCs w:val="30"/>
        </w:rPr>
        <w:t xml:space="preserve">第十九章　組織學習與發展:從學習型組織到學習型政府2.0</w:t>
      </w:r>
    </w:p>
    <w:p>
      <w:pPr>
        <w:spacing w:after="400"/>
        <w:jc w:val="center"/>
      </w:pPr>
      <w:r>
        <w:rPr>
          <w:rFonts w:ascii="微軟正黑體" w:cs="微軟正黑體" w:eastAsia="微軟正黑體" w:hAnsi="微軟正黑體"/>
          <w:i/>
          <w:iCs/>
          <w:color w:val="777777"/>
          <w:sz w:val="22"/>
          <w:szCs w:val="22"/>
        </w:rPr>
        <w:t xml:space="preserve">——第四層組織層之總結章:設計、文化與學習的協同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本章在25座標的位置</w:t>
            </w:r>
          </w:p>
          <w:p>
            <w:pPr>
              <w:spacing w:line="340"/>
              <w:jc w:val="both"/>
            </w:pPr>
            <w:r>
              <w:rPr>
                <w:rFonts w:ascii="微軟正黑體" w:cs="微軟正黑體" w:eastAsia="微軟正黑體" w:hAnsi="微軟正黑體"/>
                <w:sz w:val="21"/>
                <w:szCs w:val="21"/>
              </w:rPr>
              <w:t xml:space="preserve">本章作為第四層「組織設計」×「組織」單位之總結章,聚焦組織學習與發展在高度不確定與AI治理時代下的動態能力;主要對應組織能力審計——機關能否透過學習機制,持續辨識並修正AI導入後的結構性風險。第四層組織層包含三個核心構面:組織設計(結構與權變,第十七章)、組織文化(價值與器物、假定,第十八章)與本章組織學習與發展(能力與動態演化)。若組織設計回答「如何分工與整合」,組織文化回答「為何如此思考與行動」,則組織學習與發展回答「如何持續改變與超越」。三者共同回應公共組織在高度不確定、數位轉型與AI治理時代下,如何建構既穩定又具調適性的能力。</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2"/>
        </w:numPr>
        <w:spacing w:after="120" w:line="340"/>
      </w:pPr>
      <w:r>
        <w:rPr>
          <w:rFonts w:ascii="微軟正黑體" w:cs="微軟正黑體" w:eastAsia="微軟正黑體" w:hAnsi="微軟正黑體"/>
          <w:sz w:val="22"/>
          <w:szCs w:val="22"/>
        </w:rPr>
        <w:t xml:space="preserve">能區辨個人學習、組織學習與學習型組織之意涵,闡釋組織學習對公共組織效能、韌性與公共價值之意義。</w:t>
      </w:r>
    </w:p>
    <w:p>
      <w:pPr>
        <w:pStyle w:val="ListParagraph"/>
        <w:numPr>
          <w:ilvl w:val="0"/>
          <w:numId w:val="2"/>
        </w:numPr>
        <w:spacing w:after="120" w:line="340"/>
      </w:pPr>
      <w:r>
        <w:rPr>
          <w:rFonts w:ascii="微軟正黑體" w:cs="微軟正黑體" w:eastAsia="微軟正黑體" w:hAnsi="微軟正黑體"/>
          <w:sz w:val="22"/>
          <w:szCs w:val="22"/>
        </w:rPr>
        <w:t xml:space="preserve">能闡釋Argyris與Schön之單圈學習、雙圈學習與三圈學習,以及學習障礙與防衛性推理在官僚體制中之展現。</w:t>
      </w:r>
    </w:p>
    <w:p>
      <w:pPr>
        <w:pStyle w:val="ListParagraph"/>
        <w:numPr>
          <w:ilvl w:val="0"/>
          <w:numId w:val="2"/>
        </w:numPr>
        <w:spacing w:after="120" w:line="340"/>
      </w:pPr>
      <w:r>
        <w:rPr>
          <w:rFonts w:ascii="微軟正黑體" w:cs="微軟正黑體" w:eastAsia="微軟正黑體" w:hAnsi="微軟正黑體"/>
          <w:sz w:val="22"/>
          <w:szCs w:val="22"/>
        </w:rPr>
        <w:t xml:space="preserve">能系統說明Senge五項修練(系統思考、自我超越、改善心智模式、建立共享願景、團隊學習)之內涵與批判,並比較傳統組織與學習型組織之差異。</w:t>
      </w:r>
    </w:p>
    <w:p>
      <w:pPr>
        <w:pStyle w:val="ListParagraph"/>
        <w:numPr>
          <w:ilvl w:val="0"/>
          <w:numId w:val="2"/>
        </w:numPr>
        <w:spacing w:after="120" w:line="340"/>
      </w:pPr>
      <w:r>
        <w:rPr>
          <w:rFonts w:ascii="微軟正黑體" w:cs="微軟正黑體" w:eastAsia="微軟正黑體" w:hAnsi="微軟正黑體"/>
          <w:sz w:val="22"/>
          <w:szCs w:val="22"/>
        </w:rPr>
        <w:t xml:space="preserve">能掌握組織發展(OD)之意義、價值前提、Lewin三階段變革程序與主要介入技術(敏感度訓練、管理格道、團隊建立等)。</w:t>
      </w:r>
    </w:p>
    <w:p>
      <w:pPr>
        <w:pStyle w:val="ListParagraph"/>
        <w:numPr>
          <w:ilvl w:val="0"/>
          <w:numId w:val="2"/>
        </w:numPr>
        <w:spacing w:after="120" w:line="340"/>
      </w:pPr>
      <w:r>
        <w:rPr>
          <w:rFonts w:ascii="微軟正黑體" w:cs="微軟正黑體" w:eastAsia="微軟正黑體" w:hAnsi="微軟正黑體"/>
          <w:sz w:val="22"/>
          <w:szCs w:val="22"/>
        </w:rPr>
        <w:t xml:space="preserve">能論述生成式AI對組織學習之增強作用,闡釋數位孿生學習、AI知識管理、AI代理人作為學習機制,並建構學習型政府2.0之治理框架。</w:t>
      </w:r>
    </w:p>
    <w:p>
      <w:pPr>
        <w:pStyle w:val="ListParagraph"/>
        <w:numPr>
          <w:ilvl w:val="0"/>
          <w:numId w:val="2"/>
        </w:numPr>
        <w:spacing w:after="120" w:line="340"/>
      </w:pPr>
      <w:r>
        <w:rPr>
          <w:rFonts w:ascii="微軟正黑體" w:cs="微軟正黑體" w:eastAsia="微軟正黑體" w:hAnsi="微軟正黑體"/>
          <w:sz w:val="22"/>
          <w:szCs w:val="22"/>
        </w:rPr>
        <w:t xml:space="preserve">能整合組織設計、文化、學習三構面,提出第四層組織層作為公共行政微觀到中觀之整合性觀點,並能以台灣政府AI學習社群與TAIDE為案例進行批判性分析。</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「雖有嘉肴,弗食,不知其旨也;雖有至道,弗學,不知其善也。」——《禮記·學記》</w:t>
      </w:r>
    </w:p>
    <w:p>
      <w:pPr>
        <w:spacing w:after="200" w:line="360"/>
        <w:ind w:firstLine="431"/>
        <w:jc w:val="both"/>
      </w:pPr>
      <w:r>
        <w:rPr>
          <w:rFonts w:ascii="微軟正黑體" w:cs="微軟正黑體" w:eastAsia="微軟正黑體" w:hAnsi="微軟正黑體"/>
          <w:sz w:val="22"/>
          <w:szCs w:val="22"/>
        </w:rPr>
        <w:t xml:space="preserve">承第十八章「組織文化」之討論——器物、價值與基本假定構成了組織的深層靈魂;本章追問最後一個問題:這個靈魂,如何持續成長、如何避免僵化?《禮記·學記》指出,再美好的道理,不透過學習親自體會,也無從知曉其中的好處。這句話對組織亦然:再精良的組織設計、再美好的文化宣言,若組織本身不具備學習與自我修正的能力,終將在環境變遷中逐漸失能。本章作為第四層組織層之總結章,正是要回答:當組織設計提供了骨架、組織文化提供了靈魂,組織學習與發展,便是讓這具身軀得以持續呼吸、持續進化的動能。</w:t>
      </w:r>
    </w:p>
    <w:p>
      <w:pPr>
        <w:spacing w:after="200" w:line="360"/>
        <w:ind w:firstLine="431"/>
        <w:jc w:val="both"/>
      </w:pPr>
      <w:r>
        <w:rPr>
          <w:rFonts w:ascii="微軟正黑體" w:cs="微軟正黑體" w:eastAsia="微軟正黑體" w:hAnsi="微軟正黑體"/>
          <w:sz w:val="22"/>
          <w:szCs w:val="22"/>
        </w:rPr>
        <w:t xml:space="preserve">本章從組織學習的意涵與興起出發,經Argyris與Schön之單圈╱雙圈╱三圈學習、Senge五項修練與學習型組織、組織發展(OD)之行為科學基礎,進入第四層組織層之整合觀點,最後以AI治理專節深入辨證:當生成式AI全面進入政府,組織學習已從單純的人際學習,擴展為人機共學(Human-AI Co-learning)——這究竟是學習深度的躍升,還是「加速的單圈陷阱」?</w:t>
      </w:r>
    </w:p>
    <w:p>
      <w:pPr>
        <w:spacing w:after="180" w:before="360"/>
      </w:pPr>
      <w:r>
        <w:rPr>
          <w:rFonts w:ascii="微軟正黑體" w:cs="微軟正黑體" w:eastAsia="微軟正黑體" w:hAnsi="微軟正黑體"/>
          <w:b/>
          <w:bCs/>
          <w:color w:val="1F4E79"/>
          <w:sz w:val="26"/>
          <w:szCs w:val="26"/>
        </w:rPr>
        <w:t xml:space="preserve">本章概念架構</w:t>
      </w:r>
    </w:p>
    <w:p>
      <w:pPr>
        <w:spacing w:after="200" w:line="360"/>
        <w:ind w:firstLine="431"/>
        <w:jc w:val="both"/>
      </w:pPr>
      <w:r>
        <w:rPr>
          <w:rFonts w:ascii="微軟正黑體" w:cs="微軟正黑體" w:eastAsia="微軟正黑體" w:hAnsi="微軟正黑體"/>
          <w:sz w:val="22"/>
          <w:szCs w:val="22"/>
        </w:rPr>
        <w:t xml:space="preserve">本章可分為三個相互銜接的分析層次:</w:t>
      </w:r>
    </w:p>
    <w:p>
      <w:pPr>
        <w:pStyle w:val="ListParagraph"/>
        <w:numPr>
          <w:ilvl w:val="0"/>
          <w:numId w:val="2"/>
        </w:numPr>
        <w:spacing w:after="120" w:line="340"/>
      </w:pPr>
      <w:r>
        <w:rPr>
          <w:rFonts w:ascii="微軟正黑體" w:cs="微軟正黑體" w:eastAsia="微軟正黑體" w:hAnsi="微軟正黑體"/>
          <w:sz w:val="22"/>
          <w:szCs w:val="22"/>
        </w:rPr>
        <w:t xml:space="preserve">學習的基礎理論:組織學習之定義、類型(實驗型、獲取能力型、持續改進型、標竿學習型)與4I過程(直覺、詮釋、整合、制度化);Argyris與Schön單圈╱雙圈╱三圈學習;妨礙組織學習之因素(防衛性推理、能力陷阱、成功陷阱)。</w:t>
      </w:r>
    </w:p>
    <w:p>
      <w:pPr>
        <w:pStyle w:val="ListParagraph"/>
        <w:numPr>
          <w:ilvl w:val="0"/>
          <w:numId w:val="2"/>
        </w:numPr>
        <w:spacing w:after="120" w:line="340"/>
      </w:pPr>
      <w:r>
        <w:rPr>
          <w:rFonts w:ascii="微軟正黑體" w:cs="微軟正黑體" w:eastAsia="微軟正黑體" w:hAnsi="微軟正黑體"/>
          <w:sz w:val="22"/>
          <w:szCs w:val="22"/>
        </w:rPr>
        <w:t xml:space="preserve">學習的實踐工程:Senge學習型組織與五項修練;組織發展(OD)之價值前提、Lewin三階段變革模式與介入技術;第四層組織層之整合觀點(設計—文化—學習協同架構)。</w:t>
      </w:r>
    </w:p>
    <w:p>
      <w:pPr>
        <w:pStyle w:val="ListParagraph"/>
        <w:numPr>
          <w:ilvl w:val="0"/>
          <w:numId w:val="2"/>
        </w:numPr>
        <w:spacing w:after="120" w:line="340"/>
      </w:pPr>
      <w:r>
        <w:rPr>
          <w:rFonts w:ascii="微軟正黑體" w:cs="微軟正黑體" w:eastAsia="微軟正黑體" w:hAnsi="微軟正黑體"/>
          <w:sz w:val="22"/>
          <w:szCs w:val="22"/>
        </w:rPr>
        <w:t xml:space="preserve">AI時代的學習升級:AI治理專節之治理挑戰(加速的單圈陷阱)、Senge五項修練之AI升級版、學習型政府2.0之三特徵,以及台灣案例(政府AI學習社群、TAIDE RLHF回饋學習)。</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本章分析流程</w:t>
            </w:r>
          </w:p>
          <w:p>
            <w:pPr>
              <w:spacing w:line="340"/>
              <w:jc w:val="both"/>
            </w:pPr>
            <w:r>
              <w:rPr>
                <w:rFonts w:ascii="微軟正黑體" w:cs="微軟正黑體" w:eastAsia="微軟正黑體" w:hAnsi="微軟正黑體"/>
                <w:sz w:val="21"/>
                <w:szCs w:val="21"/>
              </w:rPr>
              <w:t xml:space="preserve">組織學習之定義、類型與4I過程　→　Argyris單圈╱雙圈╱三圈學習與學習障礙　→　Senge五項修練與學習型組織　→　組織發展(OD)與Lewin三階段變革　→　第四層設計—文化—學習整合架構　→　AI增強學習與學習型政府2.0　→　銜接第五層管理運作之討論</w:t>
            </w:r>
          </w:p>
        </w:tc>
      </w:tr>
    </w:tbl>
    <w:p>
      <w:pPr>
        <w:spacing w:after="200" w:line="360"/>
        <w:ind w:firstLine="431"/>
        <w:jc w:val="both"/>
      </w:pPr>
      <w:r>
        <w:rPr>
          <w:rFonts w:ascii="微軟正黑體" w:cs="微軟正黑體" w:eastAsia="微軟正黑體" w:hAnsi="微軟正黑體"/>
          <w:sz w:val="22"/>
          <w:szCs w:val="22"/>
        </w:rPr>
        <w:t xml:space="preserve">這個架構顯示,組織學習理論最核心的貢獻,不在於教組織「學什麼」,而在於教組織「如何辨識自己正在用哪一種深度學習」——這個提問,在AI回饋大量湧入的時代,比以往任何時候都更迫切。</w:t>
      </w:r>
    </w:p>
    <w:p>
      <w:pPr>
        <w:spacing w:after="180" w:before="360"/>
      </w:pPr>
      <w:r>
        <w:rPr>
          <w:rFonts w:ascii="微軟正黑體" w:cs="微軟正黑體" w:eastAsia="微軟正黑體" w:hAnsi="微軟正黑體"/>
          <w:b/>
          <w:bCs/>
          <w:color w:val="1F4E79"/>
          <w:sz w:val="26"/>
          <w:szCs w:val="26"/>
        </w:rPr>
        <w:t xml:space="preserve">第一節　組織學習的意涵與興起</w:t>
      </w:r>
    </w:p>
    <w:p>
      <w:pPr>
        <w:spacing w:after="140" w:before="260"/>
      </w:pPr>
      <w:r>
        <w:rPr>
          <w:rFonts w:ascii="微軟正黑體" w:cs="微軟正黑體" w:eastAsia="微軟正黑體" w:hAnsi="微軟正黑體"/>
          <w:b/>
          <w:bCs/>
          <w:color w:val="2E5C8A"/>
          <w:sz w:val="23"/>
          <w:szCs w:val="23"/>
        </w:rPr>
        <w:t xml:space="preserve">一、組織學習的定義</w:t>
      </w:r>
    </w:p>
    <w:p>
      <w:pPr>
        <w:spacing w:after="200" w:line="360"/>
        <w:ind w:firstLine="431"/>
        <w:jc w:val="both"/>
      </w:pPr>
      <w:r>
        <w:rPr>
          <w:rFonts w:ascii="微軟正黑體" w:cs="微軟正黑體" w:eastAsia="微軟正黑體" w:hAnsi="微軟正黑體"/>
          <w:sz w:val="22"/>
          <w:szCs w:val="22"/>
        </w:rPr>
        <w:t xml:space="preserve">組織學習(Organizational Learning)係指組織作為一個集體,透過成員互動、經驗累積、知識創造與制度化過程,偵測並矯正錯誤,進而改變組織知識基礎、行為模式與規範假定的歷程。相較於個人學習聚焦於個體認知與行為改變,組織學習強調學習成果必須超越個人而嵌入(embedded)於組織記憶(organizational memory)、例行程序(routines)、結構與文化之中,即使人員更迭,學習成果仍得以留存(Levitt &amp; March, 1988;Argote, 2021)。</w:t>
      </w:r>
    </w:p>
    <w:p>
      <w:pPr>
        <w:spacing w:after="200" w:line="360"/>
        <w:ind w:firstLine="431"/>
        <w:jc w:val="both"/>
      </w:pPr>
      <w:r>
        <w:rPr>
          <w:rFonts w:ascii="微軟正黑體" w:cs="微軟正黑體" w:eastAsia="微軟正黑體" w:hAnsi="微軟正黑體"/>
          <w:sz w:val="22"/>
          <w:szCs w:val="22"/>
        </w:rPr>
        <w:t xml:space="preserve">對公共組織而言,組織學習尤具特殊意義。公共組織面臨政策環境高度不確定、價值多元衝突與民主課責壓力,單靠依法行政與標準作業程序(SOP)難以回應。組織學習使公務體系能從政策失敗、公民回饋與跨域協作中學習,提升調適力(adaptability)與公共價值創造能力。</w:t>
      </w:r>
    </w:p>
    <w:p>
      <w:pPr>
        <w:spacing w:after="140" w:before="260"/>
      </w:pPr>
      <w:r>
        <w:rPr>
          <w:rFonts w:ascii="微軟正黑體" w:cs="微軟正黑體" w:eastAsia="微軟正黑體" w:hAnsi="微軟正黑體"/>
          <w:b/>
          <w:bCs/>
          <w:color w:val="2E5C8A"/>
          <w:sz w:val="23"/>
          <w:szCs w:val="23"/>
        </w:rPr>
        <w:t xml:space="preserve">二、組織學習的類型</w:t>
      </w:r>
    </w:p>
    <w:p>
      <w:pPr>
        <w:spacing w:after="200" w:line="360"/>
        <w:ind w:firstLine="431"/>
        <w:jc w:val="both"/>
      </w:pPr>
      <w:r>
        <w:rPr>
          <w:rFonts w:ascii="微軟正黑體" w:cs="微軟正黑體" w:eastAsia="微軟正黑體" w:hAnsi="微軟正黑體"/>
          <w:sz w:val="22"/>
          <w:szCs w:val="22"/>
        </w:rPr>
        <w:t xml:space="preserve">依知識來源與學習方式,可將組織學習區分為四種理想型,依其創新與學習深度效果有所差異:實驗型學習(Experiential Learning)——組織透過直接親身實作與試誤獲取第一手經驗,效果最佳但成本最高,如我國部分地方政府自行試辦生成式AI公文輔助系統,從錯誤中累積提示工程(prompt engineering)經驗;獲取能力型學習(Acquisitional Learning)——從他者經驗、標竿研究、專業社群或顧問知識中獲取第二手知識,效果次之,如觀摩愛沙尼亞e-Government Academy之數位政府經驗;持續改進型學習(Continuous Improvement)——透過全面品質管理(TQM)、PDCA循環不斷精進現有流程與服務品質,強調漸進式創新;標竿學習型(Benchmarking Learning)——模仿其他成功組織既有作法,風險低但易阻礙創新,效果相對最差,在AI時代若僅抄襲他機關提示詞而未理解脈絡,易產生「幻覺式移植」之風險。</w:t>
      </w:r>
    </w:p>
    <w:p>
      <w:pPr>
        <w:spacing w:after="140" w:before="260"/>
      </w:pPr>
      <w:r>
        <w:rPr>
          <w:rFonts w:ascii="微軟正黑體" w:cs="微軟正黑體" w:eastAsia="微軟正黑體" w:hAnsi="微軟正黑體"/>
          <w:b/>
          <w:bCs/>
          <w:color w:val="2E5C8A"/>
          <w:sz w:val="23"/>
          <w:szCs w:val="23"/>
        </w:rPr>
        <w:t xml:space="preserve">三、組織學習的過程與層次</w:t>
      </w:r>
    </w:p>
    <w:p>
      <w:pPr>
        <w:spacing w:after="200" w:line="360"/>
        <w:ind w:firstLine="431"/>
        <w:jc w:val="both"/>
      </w:pPr>
      <w:r>
        <w:rPr>
          <w:rFonts w:ascii="微軟正黑體" w:cs="微軟正黑體" w:eastAsia="微軟正黑體" w:hAnsi="微軟正黑體"/>
          <w:sz w:val="22"/>
          <w:szCs w:val="22"/>
        </w:rPr>
        <w:t>Crossan等人(1999)提出之4I框架,承接Huber(1991)對組織學習歷程之早期整理,指出,組織學習包含四個相互嵌合之過程:直覺(intuiting)、詮釋(interpreting)、整合(integrating)與制度化(institutionalizing)。此過程橫跨三個層次:個人層次——公務人員察覺實務與預期落差,產生新洞見;團體層次——透過對話與辯論,將個人直覺轉化為共享理解,建立共識;組織層次——將共享理解制度化為規章、資料庫、作業流程與數位系統,形成組織記憶。若缺乏制度化,學習僅停留於個人,隨人員退休即流失,此即為我國文官體系長期面臨「個人聰明、組織失憶」之困境。</w:t>
      </w:r>
    </w:p>
    <w:p>
      <w:pPr>
        <w:spacing w:after="140" w:before="260"/>
      </w:pPr>
      <w:r>
        <w:rPr>
          <w:rFonts w:ascii="微軟正黑體" w:cs="微軟正黑體" w:eastAsia="微軟正黑體" w:hAnsi="微軟正黑體"/>
          <w:b/>
          <w:bCs/>
          <w:color w:val="2E5C8A"/>
          <w:sz w:val="23"/>
          <w:szCs w:val="23"/>
        </w:rPr>
        <w:t xml:space="preserve">四、妨礙組織學習的因素</w:t>
      </w:r>
    </w:p>
    <w:p>
      <w:pPr>
        <w:spacing w:after="200" w:line="360"/>
        <w:ind w:firstLine="431"/>
        <w:jc w:val="both"/>
      </w:pPr>
      <w:r>
        <w:rPr>
          <w:rFonts w:ascii="微軟正黑體" w:cs="微軟正黑體" w:eastAsia="微軟正黑體" w:hAnsi="微軟正黑體"/>
          <w:sz w:val="22"/>
          <w:szCs w:val="22"/>
        </w:rPr>
        <w:t xml:space="preserve">官僚組織中常見之學習障礙包括:防衛性推理(defensive reasoning)——成員為維護面子與既得利益,隱藏錯誤資訊,導致組織無法偵測真實問題(Argyris, 1990);齊一性壓力與從眾——科層權威抑制異議;過度依賴標準作業程序導致「能力陷阱」(competency trap);以成功經驗為師,產生「成功陷阱」,如過去十年之數位化績效良好,反而阻礙AI轉型之必要性認知。</w:t>
      </w:r>
    </w:p>
    <w:p>
      <w:pPr>
        <w:spacing w:after="180" w:before="360"/>
      </w:pPr>
      <w:r>
        <w:rPr>
          <w:rFonts w:ascii="微軟正黑體" w:cs="微軟正黑體" w:eastAsia="微軟正黑體" w:hAnsi="微軟正黑體"/>
          <w:b/>
          <w:bCs/>
          <w:color w:val="1F4E79"/>
          <w:sz w:val="26"/>
          <w:szCs w:val="26"/>
        </w:rPr>
        <w:t xml:space="preserve">第二節　單圈、雙圈與三圈學習:Argyris與Schön的貢獻</w:t>
      </w:r>
    </w:p>
    <w:p>
      <w:pPr>
        <w:jc w:val="center"/>
      </w:pPr>
      <w:r>
        <w:drawing>
          <wp:inline xmlns:a="http://schemas.openxmlformats.org/drawingml/2006/main" xmlns:pic="http://schemas.openxmlformats.org/drawingml/2006/picture">
            <wp:extent cx="5669280" cy="3870118"/>
            <wp:docPr id="5" name="Picture 5"/>
            <wp:cNvGraphicFramePr>
              <a:graphicFrameLocks noChangeAspect="1"/>
            </wp:cNvGraphicFramePr>
            <a:graphic>
              <a:graphicData uri="http://schemas.openxmlformats.org/drawingml/2006/picture">
                <pic:pic>
                  <pic:nvPicPr>
                    <pic:cNvPr id="0" name="圖19-5_學習深度.png"/>
                    <pic:cNvPicPr/>
                  </pic:nvPicPr>
                  <pic:blipFill>
                    <a:blip r:embed="rId11"/>
                    <a:stretch>
                      <a:fillRect/>
                    </a:stretch>
                  </pic:blipFill>
                  <pic:spPr>
                    <a:xfrm>
                      <a:off x="0" y="0"/>
                      <a:ext cx="5669280" cy="3870118"/>
                    </a:xfrm>
                    <a:prstGeom prst="rect"/>
                  </pic:spPr>
                </pic:pic>
              </a:graphicData>
            </a:graphic>
          </wp:inline>
        </w:drawing>
      </w:r>
    </w:p>
    <w:p>
      <w:pPr>
        <w:jc w:val="center"/>
      </w:pPr>
      <w:r>
        <w:rPr>
          <w:b/>
          <w:sz w:val="22"/>
        </w:rPr>
        <w:t>圖19-5　學習深度：從錯誤修正到制度反思</w:t>
      </w:r>
    </w:p>
    <w:p>
      <w:r>
        <w:rPr>
          <w:i/>
          <w:sz w:val="18"/>
        </w:rPr>
        <w:t>資料來源：Argyris &amp; Schön（1978, 1996）；Argyris（1990）。AI「加速的單圈陷阱」為本書延伸分析。</w:t>
      </w:r>
    </w:p>
    <w:p>
      <w:pPr>
        <w:spacing w:after="200" w:line="360"/>
        <w:ind w:firstLine="431"/>
        <w:jc w:val="both"/>
      </w:pPr>
      <w:r>
        <w:rPr>
          <w:rFonts w:ascii="微軟正黑體" w:cs="微軟正黑體" w:eastAsia="微軟正黑體" w:hAnsi="微軟正黑體"/>
          <w:sz w:val="22"/>
          <w:szCs w:val="22"/>
        </w:rPr>
        <w:t xml:space="preserve">美國組織學習學者Argyris與Schön(1978, 1996)區辨組織學習深度,對公共行政如何面對錯誤與課責具有深刻啟示。</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542"/>
        <w:gridCol w:w="2542"/>
        <w:gridCol w:w="2542"/>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單圈學習(Single-loop)</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雙圈學習(Double-loop)</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三圈學習(Deutero-learning)</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學習焦點</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在既定目標與規範內矯正錯誤</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質疑並修正目標、規範與假定本身</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學習如何學習,檢視學習機制本身</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隱喻</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恆溫器:溫度不對,調整開關</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恆溫器:質疑為何設定此溫度</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恆溫器:反思為何需要恆溫器,以及誰決定</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公共行政例子</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公文逾期檢討流程,加速簽核</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質疑為何需層層核章,重新設計授權與課責假定</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建立組織學習平台,檢討政府為何總是重複相同錯誤</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AI脈絡下的意涵</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以AI加速既有流程,如AI公文校稿</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以AI回饋質疑政策目標與公平性假定</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建構政府學習如何與AI共學之基礎建設</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適用情境</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例行性問題</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價值衝突、政策失靈</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轉型期、典範轉移</w:t>
            </w:r>
          </w:p>
        </w:tc>
      </w:tr>
    </w:tbl>
    <w:p>
      <w:pPr>
        <w:spacing w:after="280" w:before="120"/>
        <w:jc w:val="center"/>
      </w:pPr>
      <w:r>
        <w:rPr>
          <w:rFonts w:ascii="微軟正黑體" w:cs="微軟正黑體" w:eastAsia="微軟正黑體" w:hAnsi="微軟正黑體"/>
          <w:i/>
          <w:iCs/>
          <w:color w:val="555555"/>
          <w:sz w:val="18"/>
          <w:szCs w:val="18"/>
        </w:rPr>
        <w:t xml:space="preserve">表19-1　單圈、雙圈與三圈學習之比較</w:t>
      </w:r>
    </w:p>
    <w:p>
      <w:pPr>
        <w:spacing w:after="200" w:line="360"/>
        <w:ind w:firstLine="431"/>
        <w:jc w:val="both"/>
      </w:pPr>
      <w:r>
        <w:rPr>
          <w:rFonts w:ascii="微軟正黑體" w:cs="微軟正黑體" w:eastAsia="微軟正黑體" w:hAnsi="微軟正黑體"/>
          <w:sz w:val="22"/>
          <w:szCs w:val="22"/>
        </w:rPr>
        <w:t xml:space="preserve">單圈學習係指組織在既定目標、政策與規範不變下,偵測並矯正執行落差,屬技術性、適應性學習。雙圈學習則進一步追問目標與價值假定的正確性,重新檢視支配行動的「行動理論」(theory-in-use),屬反思性、轉化性學習。Deutero-learning(或稱三圈學習)則是對學習過程本身的後設學習,組織成員學習如何更有效學習。</w:t>
      </w:r>
    </w:p>
    <w:p>
      <w:pPr>
        <w:spacing w:after="200" w:line="360"/>
        <w:ind w:firstLine="431"/>
        <w:jc w:val="both"/>
      </w:pPr>
      <w:r>
        <w:rPr>
          <w:rFonts w:ascii="微軟正黑體" w:cs="微軟正黑體" w:eastAsia="微軟正黑體" w:hAnsi="微軟正黑體"/>
          <w:sz w:val="22"/>
          <w:szCs w:val="22"/>
        </w:rPr>
        <w:t xml:space="preserve">在傳統官僚文化中,審計與糾正常僅促成單圈學習,機關回應方式為補強管制,卻未觸及背後風險規避與不信任之文化假定。雙圈學習要求心理安全感(psychological safety)與課責制度之重新設計,方能在台灣行政文化中生根。</w:t>
      </w:r>
    </w:p>
    <w:p>
      <w:pPr>
        <w:spacing w:after="180" w:before="360"/>
      </w:pPr>
      <w:r>
        <w:rPr>
          <w:rFonts w:ascii="微軟正黑體" w:cs="微軟正黑體" w:eastAsia="微軟正黑體" w:hAnsi="微軟正黑體"/>
          <w:b/>
          <w:bCs/>
          <w:color w:val="1F4E79"/>
          <w:sz w:val="26"/>
          <w:szCs w:val="26"/>
        </w:rPr>
        <w:t xml:space="preserve">第三節　學習型組織與Senge五項修練</w:t>
      </w:r>
    </w:p>
    <w:p>
      <w:pPr>
        <w:jc w:val="center"/>
      </w:pPr>
      <w:r>
        <w:drawing>
          <wp:inline xmlns:a="http://schemas.openxmlformats.org/drawingml/2006/main" xmlns:pic="http://schemas.openxmlformats.org/drawingml/2006/picture">
            <wp:extent cx="5669280" cy="3870118"/>
            <wp:docPr id="4" name="Picture 4"/>
            <wp:cNvGraphicFramePr>
              <a:graphicFrameLocks noChangeAspect="1"/>
            </wp:cNvGraphicFramePr>
            <a:graphic>
              <a:graphicData uri="http://schemas.openxmlformats.org/drawingml/2006/picture">
                <pic:pic>
                  <pic:nvPicPr>
                    <pic:cNvPr id="0" name="圖19-4_4I學習流程.png"/>
                    <pic:cNvPicPr/>
                  </pic:nvPicPr>
                  <pic:blipFill>
                    <a:blip r:embed="rId10"/>
                    <a:stretch>
                      <a:fillRect/>
                    </a:stretch>
                  </pic:blipFill>
                  <pic:spPr>
                    <a:xfrm>
                      <a:off x="0" y="0"/>
                      <a:ext cx="5669280" cy="3870118"/>
                    </a:xfrm>
                    <a:prstGeom prst="rect"/>
                  </pic:spPr>
                </pic:pic>
              </a:graphicData>
            </a:graphic>
          </wp:inline>
        </w:drawing>
      </w:r>
    </w:p>
    <w:p>
      <w:pPr>
        <w:jc w:val="center"/>
      </w:pPr>
      <w:r>
        <w:rPr>
          <w:b/>
          <w:sz w:val="22"/>
        </w:rPr>
        <w:t>圖19-4　Crossan、Lane &amp; White 的4I組織學習流程</w:t>
      </w:r>
    </w:p>
    <w:p>
      <w:r>
        <w:rPr>
          <w:i/>
          <w:sz w:val="18"/>
        </w:rPr>
        <w:t>資料來源：Crossan, Lane, &amp; White（1999）；Huber（1991）。本圖為依原理重繪之教學圖。</w:t>
      </w:r>
    </w:p>
    <w:p>
      <w:pPr>
        <w:spacing w:after="140" w:before="260"/>
      </w:pPr>
      <w:r>
        <w:rPr>
          <w:rFonts w:ascii="微軟正黑體" w:cs="微軟正黑體" w:eastAsia="微軟正黑體" w:hAnsi="微軟正黑體"/>
          <w:b/>
          <w:bCs/>
          <w:color w:val="2E5C8A"/>
          <w:sz w:val="23"/>
          <w:szCs w:val="23"/>
        </w:rPr>
        <w:t xml:space="preserve">一、學習型組織的意涵</w:t>
      </w:r>
    </w:p>
    <w:p>
      <w:pPr>
        <w:spacing w:after="200" w:line="360"/>
        <w:ind w:firstLine="431"/>
        <w:jc w:val="both"/>
      </w:pPr>
      <w:r>
        <w:rPr>
          <w:rFonts w:ascii="微軟正黑體" w:cs="微軟正黑體" w:eastAsia="微軟正黑體" w:hAnsi="微軟正黑體"/>
          <w:sz w:val="22"/>
          <w:szCs w:val="22"/>
        </w:rPr>
        <w:t xml:space="preserve">Peter Senge於1990年出版《第五項修練:學習型組織的藝術與實務》(The Fifth Discipline)提出學習型組織(Learning Organization)理念,主張在知識經濟與變動環境中,組織競爭優勢在於比競爭者更快學習的能力。學習型組織並非特定結構形態,而是一種持續擴展成員創造未來之能力,並不斷學習如何共同學習的組織。</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比較構面</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傳統型組織</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學習型組織</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結構特徵</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機械式、層級節制、功能分工</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有機式、網絡團隊、彈性授權</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文化傾向</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規避風險、避免衝突、服從命令</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鼓勵創新、正面辯論、創造性張力</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人員假定</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員工為成本,強調服從</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員工為資產,強調創造與成長</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領導角色</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控制、決策、命令</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設計、教導、陪伴之僕人式領導</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學習型態</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片段式、個人、單圈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系統性、團隊、雙圈與三圈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知識管理</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知識內隱且集中</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知識外顯、共享與制度化</w:t>
            </w:r>
          </w:p>
        </w:tc>
      </w:tr>
    </w:tbl>
    <w:p>
      <w:pPr>
        <w:spacing w:after="280" w:before="120"/>
        <w:jc w:val="center"/>
      </w:pPr>
      <w:r>
        <w:rPr>
          <w:rFonts w:ascii="微軟正黑體" w:cs="微軟正黑體" w:eastAsia="微軟正黑體" w:hAnsi="微軟正黑體"/>
          <w:i/>
          <w:iCs/>
          <w:color w:val="555555"/>
          <w:sz w:val="18"/>
          <w:szCs w:val="18"/>
        </w:rPr>
        <w:t xml:space="preserve">表19-2　傳統型組織與學習型組織之比較</w:t>
      </w:r>
    </w:p>
    <w:p>
      <w:pPr>
        <w:spacing w:after="140" w:before="260"/>
      </w:pPr>
      <w:r>
        <w:rPr>
          <w:rFonts w:ascii="微軟正黑體" w:cs="微軟正黑體" w:eastAsia="微軟正黑體" w:hAnsi="微軟正黑體"/>
          <w:b/>
          <w:bCs/>
          <w:color w:val="2E5C8A"/>
          <w:sz w:val="23"/>
          <w:szCs w:val="23"/>
        </w:rPr>
        <w:t xml:space="preserve">二、Senge五項修練</w:t>
      </w:r>
    </w:p>
    <w:p>
      <w:pPr>
        <w:spacing w:after="200" w:line="360"/>
        <w:ind w:firstLine="431"/>
        <w:jc w:val="both"/>
      </w:pPr>
      <w:r>
        <w:rPr>
          <w:rFonts w:ascii="微軟正黑體" w:cs="微軟正黑體" w:eastAsia="微軟正黑體" w:hAnsi="微軟正黑體"/>
          <w:sz w:val="22"/>
          <w:szCs w:val="22"/>
        </w:rPr>
        <w:t xml:space="preserve">Senge提出五項相互關聯之修練,作為建構學習型組織之技術與紀律:系統思考(Systems Thinking)——第五項修練之核心,強調以整體、動態與長期觀點,理解事件背後之結構與回饋圈,而非見樹不見林之線性分析,公共問題如少子女化、氣候調適均具高度系統性,需避免頭痛醫頭之政策拼貼;自我超越(Personal Mastery)——成員不斷釐清並加深個人願景,專注於現實與願景間之創造性張力,持續學習與自我精進,在公部門意指公務人員超越科層角色之侷限,發展公共服務動機與專業職志;改善心智模式(Improving Mental Models)——檢視內心深處支配行為之圖像與假定,將其浮現、檢驗並重塑,官僚體系常見心智模式如「依法行政等於不可創新」、「防弊重於興利」,此等假定若未改善,再多的新工具導入仍將被舊思維吞噬;建立共享願景(Building Shared Vision)——非由上而下灌輸之口號,而是成員真心追求並願意奉獻之共同未來圖像,具有凝聚與動員力量,在跨局處協作中,共享願景是克服本位主義之關鍵;團隊學習(Team Learning)——團隊透過深度匯談(dialogue)與討論(discussion),使團隊智慧大於個人智慧總和,並發展出整體搭配之能力,奠基於個人學習與共享願景之上,並須以系統思考統合。</w:t>
      </w:r>
    </w:p>
    <w:p>
      <w:pPr>
        <w:spacing w:after="140" w:before="260"/>
      </w:pPr>
      <w:r>
        <w:rPr>
          <w:rFonts w:ascii="微軟正黑體" w:cs="微軟正黑體" w:eastAsia="微軟正黑體" w:hAnsi="微軟正黑體"/>
          <w:b/>
          <w:bCs/>
          <w:color w:val="2E5C8A"/>
          <w:sz w:val="23"/>
          <w:szCs w:val="23"/>
        </w:rPr>
        <w:t xml:space="preserve">三、學習型組織在公部門的建構策略</w:t>
      </w:r>
    </w:p>
    <w:p>
      <w:pPr>
        <w:spacing w:after="200" w:line="360"/>
        <w:ind w:firstLine="431"/>
        <w:jc w:val="both"/>
      </w:pPr>
      <w:r>
        <w:rPr>
          <w:rFonts w:ascii="微軟正黑體" w:cs="微軟正黑體" w:eastAsia="微軟正黑體" w:hAnsi="微軟正黑體"/>
          <w:sz w:val="22"/>
          <w:szCs w:val="22"/>
        </w:rPr>
        <w:t xml:space="preserve">將學習型組織理念導入公共組織,需同時處理制度與文化層面:建立心理安全感與容錯機制,使雙圈學習成為可能;推動知識管理與社群實踐(Communities of Practice, CoP),打破局處藩籬;重新設計績效與考評,從重視遵守程序轉向重視學習與創新貢獻;高階領導者扮演文化催化者,而非命令控制者。OECD(2023)《政府學習能力報告》指出,具高度學習能力之政府,通常具備開放數據、實驗沙盒與跨域團隊三項基礎設施。</w:t>
      </w:r>
    </w:p>
    <w:p>
      <w:pPr>
        <w:spacing w:after="180" w:before="360"/>
      </w:pPr>
      <w:r>
        <w:rPr>
          <w:rFonts w:ascii="微軟正黑體" w:cs="微軟正黑體" w:eastAsia="微軟正黑體" w:hAnsi="微軟正黑體"/>
          <w:b/>
          <w:bCs/>
          <w:color w:val="1F4E79"/>
          <w:sz w:val="26"/>
          <w:szCs w:val="26"/>
        </w:rPr>
        <w:t xml:space="preserve">第四節　組織發展:計畫性變革的行為科學基礎</w:t>
      </w:r>
    </w:p>
    <w:p>
      <w:pPr>
        <w:spacing w:after="140" w:before="260"/>
      </w:pPr>
      <w:r>
        <w:rPr>
          <w:rFonts w:ascii="微軟正黑體" w:cs="微軟正黑體" w:eastAsia="微軟正黑體" w:hAnsi="微軟正黑體"/>
          <w:b/>
          <w:bCs/>
          <w:color w:val="2E5C8A"/>
          <w:sz w:val="23"/>
          <w:szCs w:val="23"/>
        </w:rPr>
        <w:t xml:space="preserve">一、組織發展的意義與特性</w:t>
      </w:r>
    </w:p>
    <w:p>
      <w:pPr>
        <w:spacing w:after="200" w:line="360"/>
        <w:ind w:firstLine="431"/>
        <w:jc w:val="both"/>
      </w:pPr>
      <w:r>
        <w:rPr>
          <w:rFonts w:ascii="微軟正黑體" w:cs="微軟正黑體" w:eastAsia="微軟正黑體" w:hAnsi="微軟正黑體"/>
          <w:sz w:val="22"/>
          <w:szCs w:val="22"/>
        </w:rPr>
        <w:t xml:space="preserve">組織發展(Organization Development, OD)係以行為科學知識為基礎,透過計畫性介入,增進組織解決問題、更新與適應環境之能力,提升個人與組織效能的長期努力(Beckhard, 1969;French &amp; Bell, 1999)。其特性包括:強調人性與民主價值、重視整體系統、著重行動研究、強調長期與權變。與一般行政革新不同,OD不僅解決當下問題,更致力提升組織未來自主解決問題之能力。</w:t>
      </w:r>
    </w:p>
    <w:p>
      <w:pPr>
        <w:spacing w:after="140" w:before="260"/>
      </w:pPr>
      <w:r>
        <w:rPr>
          <w:rFonts w:ascii="微軟正黑體" w:cs="微軟正黑體" w:eastAsia="微軟正黑體" w:hAnsi="微軟正黑體"/>
          <w:b/>
          <w:bCs/>
          <w:color w:val="2E5C8A"/>
          <w:sz w:val="23"/>
          <w:szCs w:val="23"/>
        </w:rPr>
        <w:t xml:space="preserve">二、組織發展的價值前提</w:t>
      </w:r>
    </w:p>
    <w:p>
      <w:pPr>
        <w:spacing w:after="200" w:line="360"/>
        <w:ind w:firstLine="431"/>
        <w:jc w:val="both"/>
      </w:pPr>
      <w:r>
        <w:rPr>
          <w:rFonts w:ascii="微軟正黑體" w:cs="微軟正黑體" w:eastAsia="微軟正黑體" w:hAnsi="微軟正黑體"/>
          <w:sz w:val="22"/>
          <w:szCs w:val="22"/>
        </w:rPr>
        <w:t xml:space="preserve">OD奠基於人本主義心理學與民主價值,包括:尊重人性、信任與開放、權力均等、正面面對衝突、參與及承諾。此等價值對層級權威深厚之公部門具有矯正作用,但亦需與依法行政、行政中立等公共價值平衡。</w:t>
      </w:r>
    </w:p>
    <w:p>
      <w:pPr>
        <w:spacing w:after="140" w:before="260"/>
      </w:pPr>
      <w:r>
        <w:rPr>
          <w:rFonts w:ascii="微軟正黑體" w:cs="微軟正黑體" w:eastAsia="微軟正黑體" w:hAnsi="微軟正黑體"/>
          <w:b/>
          <w:bCs/>
          <w:color w:val="2E5C8A"/>
          <w:sz w:val="23"/>
          <w:szCs w:val="23"/>
        </w:rPr>
        <w:t xml:space="preserve">三、組織變革過程:Lewin三階段模式</w:t>
      </w:r>
    </w:p>
    <w:p>
      <w:pPr>
        <w:spacing w:after="200" w:line="360"/>
        <w:ind w:firstLine="431"/>
        <w:jc w:val="both"/>
      </w:pPr>
      <w:r>
        <w:rPr>
          <w:rFonts w:ascii="微軟正黑體" w:cs="微軟正黑體" w:eastAsia="微軟正黑體" w:hAnsi="微軟正黑體"/>
          <w:sz w:val="22"/>
          <w:szCs w:val="22"/>
        </w:rPr>
        <w:t xml:space="preserve">Kurt Lewin(1947)提出組織變革三階段,為OD最經典程序模型:解凍(Unfreezing)——打破現狀均衡,呈現績效落差、外部壓力或願景差距,製造改變動機,降低抗拒,策略包括創造危機感、提供心理安全感與揭露資訊,在公共組織,審計報告、民意調查、國際評比常扮演解凍觸媒;變遷(Moving/Changing)——導入新行為、價值與態度,透過認知重建、角色模範與環境支持,使成員學習新規範,此階段需行為科學技術介入;再凍結(Refreezing)——將新行為制度化為新的日常例行與文化,透過結構、制度與獎懲加以鞏固,避免回復舊態,再凍結並非僵化,而是形成新基礎以迎向下一次變革。</w:t>
      </w:r>
    </w:p>
    <w:p>
      <w:pPr>
        <w:spacing w:after="140" w:before="260"/>
      </w:pPr>
      <w:r>
        <w:rPr>
          <w:rFonts w:ascii="微軟正黑體" w:cs="微軟正黑體" w:eastAsia="微軟正黑體" w:hAnsi="微軟正黑體"/>
          <w:b/>
          <w:bCs/>
          <w:color w:val="2E5C8A"/>
          <w:sz w:val="23"/>
          <w:szCs w:val="23"/>
        </w:rPr>
        <w:t xml:space="preserve">四、組織發展的介入技術</w:t>
      </w:r>
    </w:p>
    <w:p>
      <w:pPr>
        <w:spacing w:after="200" w:line="360"/>
        <w:ind w:firstLine="431"/>
        <w:jc w:val="both"/>
      </w:pPr>
      <w:r>
        <w:rPr>
          <w:rFonts w:ascii="微軟正黑體" w:cs="微軟正黑體" w:eastAsia="微軟正黑體" w:hAnsi="微軟正黑體"/>
          <w:sz w:val="22"/>
          <w:szCs w:val="22"/>
        </w:rPr>
        <w:t xml:space="preserve">依介入層次,OD技術可分為個人、團體與組織三個層次: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200"/>
        <w:gridCol w:w="54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介入層次</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代表技術</w:t>
            </w:r>
          </w:p>
        </w:tc>
        <w:tc>
          <w:tcPr>
            <w:tcW w:type="dxa" w:w="5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意涵與公共行政應用</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個人層次</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敏感度訓練(Sensitivity Training, T-Group)</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透過非結構團體互動,增進自我覺察與人際敏感度,矯正科層扭曲之人際關係。區分陌生人、堂兄弟、家庭與群聚實驗法。</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個人層次</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生涯規劃與生活事業規劃</w:t>
            </w:r>
          </w:p>
        </w:tc>
        <w:tc>
          <w:tcPr>
            <w:tcW w:type="dxa" w:w="5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協助公務人員釐清職涯錨定,提升工作意義感,降低僵化與倦怠。</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團體層次</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團隊建立(Team Building)</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運用體驗學習、角色釐清與目標設定,提升跨單位專案團隊信任與協作。</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團體層次</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過程諮詢(Process Consultation)</w:t>
            </w:r>
          </w:p>
        </w:tc>
        <w:tc>
          <w:tcPr>
            <w:tcW w:type="dxa" w:w="5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由外部顧問協助診斷團體溝通、決策與領導過程,而非直接給答案。</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團體層次</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調查回饋(Survey Feedback)</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系統性蒐集員工對組織氣候、領導之知覺,並回饋團隊共同解決。</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組織層次</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組織鏡像與跨團體會議</w:t>
            </w:r>
          </w:p>
        </w:tc>
        <w:tc>
          <w:tcPr>
            <w:tcW w:type="dxa" w:w="5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促進不同單位相互回饋,打破本位主義。</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組織層次</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管理格道訓練(Managerial Grid)</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Blake &amp; Mouton提出,以關懷生產與關懷人員為兩軸,訓練整合型領導。</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組織層次</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組織協調會議與大型介入</w:t>
            </w:r>
          </w:p>
        </w:tc>
        <w:tc>
          <w:tcPr>
            <w:tcW w:type="dxa" w:w="5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如未來搜尋、開放空間,納入多利害關係人共同願景。</w:t>
            </w:r>
          </w:p>
        </w:tc>
      </w:tr>
    </w:tbl>
    <w:p>
      <w:pPr>
        <w:spacing w:after="280" w:before="120"/>
        <w:jc w:val="center"/>
      </w:pPr>
      <w:r>
        <w:rPr>
          <w:rFonts w:ascii="微軟正黑體" w:cs="微軟正黑體" w:eastAsia="微軟正黑體" w:hAnsi="微軟正黑體"/>
          <w:i/>
          <w:iCs/>
          <w:color w:val="555555"/>
          <w:sz w:val="18"/>
          <w:szCs w:val="18"/>
        </w:rPr>
        <w:t xml:space="preserve">表19-3　組織發展主要介入技術</w:t>
      </w:r>
    </w:p>
    <w:p>
      <w:pPr>
        <w:spacing w:after="180" w:before="360"/>
      </w:pPr>
      <w:r>
        <w:rPr>
          <w:rFonts w:ascii="微軟正黑體" w:cs="微軟正黑體" w:eastAsia="微軟正黑體" w:hAnsi="微軟正黑體"/>
          <w:b/>
          <w:bCs/>
          <w:color w:val="1F4E79"/>
          <w:sz w:val="26"/>
          <w:szCs w:val="26"/>
        </w:rPr>
        <w:t xml:space="preserve">第五節　第四層組織層之整合:設計、文化與學習的協同</w:t>
      </w:r>
    </w:p>
    <w:p>
      <w:pPr>
        <w:spacing w:after="200" w:line="360"/>
        <w:ind w:firstLine="431"/>
        <w:jc w:val="both"/>
      </w:pPr>
      <w:r>
        <w:rPr>
          <w:rFonts w:ascii="微軟正黑體" w:cs="微軟正黑體" w:eastAsia="微軟正黑體" w:hAnsi="微軟正黑體"/>
          <w:sz w:val="22"/>
          <w:szCs w:val="22"/>
        </w:rPr>
        <w:t xml:space="preserve">第四層組織層三章共同構成公共組織微觀管理之完整圖像。組織設計提供結構硬體,探討分工、授權、控制幅度與有機—機械權變;組織文化提供軟體,解析價值、假定與學習障礙之深層根源;本章組織學習與發展則提供韌體,說明結構與文化如何透過學習與介入而動態演化。三者關係如表19-4所示。</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542"/>
        <w:gridCol w:w="2542"/>
        <w:gridCol w:w="2542"/>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第十七章 組織設計</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第十八章 組織文化</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第十九章 組織學習與發展</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核心問題</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如何分工與整合?</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為何如此思考與行動?</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如何持續改變與超越?</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關鍵概念</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官僚制、分權、矩陣、雙元靈活</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器物、價值、基本假定、文化類型</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單雙圈學習、五項修練、OD、學習型組織</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變革槓桿</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結構重組、流程再造</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文化重塑、領導象徵</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能力建構、知識制度化</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AI時代挑戰</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演算法鑲嵌於結構中</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數據文化與信任</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人機共學與學習型政府2.0</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整合作用</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提供學習與文化落地的骨架</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提供學習與設計正當性的靈魂</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提供設計與文化演化的動能</w:t>
            </w:r>
          </w:p>
        </w:tc>
      </w:tr>
    </w:tbl>
    <w:p>
      <w:pPr>
        <w:spacing w:after="80"/>
      </w:pPr>
      <w:r>
        <w:rPr>
          <w:i/>
          <w:sz w:val="18"/>
        </w:rPr>
        <w:t>資料來源：第十七、十八、十九章共同理論脈絡；本表為本書「設計—文化—學習」整合架構。</w:t>
      </w:r>
    </w:p>
    <w:p>
      <w:pPr>
        <w:spacing w:after="280" w:before="120"/>
        <w:jc w:val="center"/>
      </w:pPr>
      <w:r>
        <w:rPr>
          <w:rFonts w:ascii="微軟正黑體" w:cs="微軟正黑體" w:eastAsia="微軟正黑體" w:hAnsi="微軟正黑體"/>
          <w:i/>
          <w:iCs/>
          <w:color w:val="555555"/>
          <w:sz w:val="18"/>
          <w:szCs w:val="18"/>
        </w:rPr>
        <w:t xml:space="preserve">表19-4　第四層組織層整合:設計—文化—學習之協同架構</w:t>
      </w:r>
    </w:p>
    <w:p>
      <w:pPr>
        <w:spacing w:after="200" w:line="360"/>
        <w:ind w:firstLine="431"/>
        <w:jc w:val="both"/>
      </w:pPr>
      <w:r>
        <w:rPr>
          <w:rFonts w:ascii="微軟正黑體" w:cs="微軟正黑體" w:eastAsia="微軟正黑體" w:hAnsi="微軟正黑體"/>
          <w:sz w:val="22"/>
          <w:szCs w:val="22"/>
        </w:rPr>
        <w:t xml:space="preserve">整體而言,缺乏學習能力的組織設計將淪為僵化官僚,缺乏學習導向的文化將抵制變革,而缺乏結構支撐的學習則流於口號。第四層之總結意涵在於:公共組織改革不能僅重結構精簡或願景宣示,必須透過制度化學習機制,使設計與文化相互強化,形成自我超越的演化能力。此即為邁向學習型政府2.0之基礎。</w:t>
      </w:r>
    </w:p>
    <w:p>
      <w:pPr>
        <w:spacing w:before="120" w:after="80"/>
      </w:pPr>
      <w:r>
        <w:rPr>
          <w:sz w:val="22"/>
        </w:rPr>
        <w:t>若本章只停留在 Senge、Argyris、Lewin 等理論，容易把「組織學習」誤解成一般教育訓練。對臺灣行政學而言，更重要的問題是：我國政府目前究竟透過哪些制度，使公務人員能夠持續學習、更新能力、分享知識，並把個人學習轉化為組織能力？因此，本節將「公務員訓練制度」視為組織學習的制度基礎，再進一步討論其限制。</w:t>
      </w:r>
    </w:p>
    <w:p>
      <w:pPr>
        <w:spacing w:before="120" w:after="80"/>
      </w:pPr>
      <w:r>
        <w:rPr>
          <w:sz w:val="22"/>
        </w:rPr>
        <w:t>一、制度基礎：國家文官學院與公務人力發展學院形成雙軌培訓體系。國家文官學院隸屬公務人員保障暨培訓委員會，法定職掌包括考試錄取、升任官等、行政中立等訓練，以及公務人員終身學習、培訓方法與教材研究、數位學習及多元學習等；行政院人事行政總處公務人力發展學院則以行政院所屬機關與地方機關公務人力訓練及發展為主要任務。這表示臺灣的公務員學習並非單純由各機關自行辦理，而是具有中央專責機構、制度規範與學習平台支撐的體系。</w:t>
      </w:r>
    </w:p>
    <w:p>
      <w:pPr>
        <w:spacing w:before="120" w:after="80"/>
      </w:pPr>
      <w:r>
        <w:rPr>
          <w:sz w:val="22"/>
        </w:rPr>
        <w:t>二、從「受訓」到「終身學習」：現行制度已不只重視一次性的課堂訓練，而逐步納入數位學習、混成學習、專書閱讀、學習平台、職涯發展及訓後服務。國家文官學院設有數位學習中心，明列公務人員終身學習、數位及混成學習、專書閱讀與培訓資訊等職掌；公務人力發展學院目前亦以 e 等公務園+、AI 人工智慧、科技素養學習地圖等方式擴張學習管道。</w:t>
      </w:r>
    </w:p>
    <w:p>
      <w:pPr>
        <w:spacing w:before="120" w:after="80"/>
      </w:pPr>
      <w:r>
        <w:rPr>
          <w:sz w:val="22"/>
        </w:rPr>
        <w:t>三、能力導向：高階文官與升任官等訓練不只是「補課」，而是與未來職務發展及治理能力連結。國家文官學院的高階公務人員中長期發展性訓練，以職能為基礎，結合國家重要政策與發展願景，培養前瞻領導、跨域溝通、整合思維及民主決策能力。這使公務員學習逐漸由「知道規定」轉向「形成治理能力」。</w:t>
      </w:r>
    </w:p>
    <w:p>
      <w:pPr>
        <w:spacing w:before="120" w:after="80"/>
      </w:pPr>
      <w:r>
        <w:rPr>
          <w:sz w:val="22"/>
        </w:rPr>
        <w:t>四、從個人學習到組織學習仍有一段距離：參加課程本身不等於組織已經學會。真正的組織學習，至少需要三個轉換：個人知識能在團隊內分享；成功或失敗經驗能被記錄、討論與再利用；學習結果能進入流程、規範、資料庫、決策與制度。否則就可能出現「個人學得很多、組織卻沒有改變」。</w:t>
      </w:r>
    </w:p>
    <w:p>
      <w:pPr>
        <w:spacing w:before="120" w:after="80"/>
      </w:pPr>
      <w:r>
        <w:rPr>
          <w:sz w:val="22"/>
        </w:rPr>
        <w:t>五、臺灣現行制度的核心挑戰：第一是訓練與工作脫節，課程完成不代表工作行為改變；第二是機關本位，使跨機關知識不易流動；第三是層級與責任結構可能降低試錯意願；第四是學習成果若未進入制度，容易因人員異動而流失；第五是 AI 與數位轉型使能力更新速度加快，傳統以年度課程為中心的訓練邏輯必須逐步轉向持續、即時、工作中學習。</w:t>
      </w:r>
    </w:p>
    <w:p>
      <w:pPr>
        <w:spacing w:before="240" w:after="120"/>
      </w:pPr>
      <w:r>
        <w:rPr>
          <w:b/>
          <w:sz w:val="30"/>
        </w:rPr>
        <w:t>第六節　臺灣公務員組織學習制度：從「訓練」走向「持續學習與能力發展」</w:t>
      </w:r>
    </w:p>
    <w:p>
      <w:pPr>
        <w:spacing w:before="120" w:after="80"/>
      </w:pPr>
      <w:r>
        <w:rPr>
          <w:sz w:val="22"/>
        </w:rPr>
        <w:t>一、Argyris 與 Schön：單圈與雙圈學習。單圈學習是依照既定目標、規則與標準修正行動；雙圈學習則進一步檢討「目標、規則與基本假定是否本身就有問題」。例如機關發現民眾申辦時間過長，單圈學習可能是增加承辦人或簡化表單；雙圈學習則會追問：為什麼制度一開始要要求這麼多文件？哪些控制假設已經過時？因此，雙圈學習特別適合用來分析行政革新。</w:t>
      </w:r>
    </w:p>
    <w:p>
      <w:pPr>
        <w:spacing w:before="120" w:after="80"/>
      </w:pPr>
      <w:r>
        <w:rPr>
          <w:sz w:val="22"/>
        </w:rPr>
        <w:t>二、三圈學習可作為行政學的延伸分析工具。若單圈是「把事情做得更好」，雙圈是「重新思考我們為何這樣做」，第三層則進一步追問「我們如何形成檢討與學習的制度」。三圈學習因此不是單純增加一個名詞，而是把學習由行動層提升到學習機制本身。</w:t>
      </w:r>
    </w:p>
    <w:p>
      <w:pPr>
        <w:spacing w:before="120" w:after="80"/>
      </w:pPr>
      <w:r>
        <w:rPr>
          <w:sz w:val="22"/>
        </w:rPr>
        <w:t>三、Crossan、Lane 與 White 的 4I 架構，把組織學習連接到不同層次：直覺（Intuiting）→解釋（Interpreting）→整合（Integrating）→制度化（Institutionalizing）。此一架構很適合公共組織，因為政府常見的問題不是沒有好點子，而是好點子無法由個人經驗轉化為團隊共識，再進入制度與流程。</w:t>
      </w:r>
    </w:p>
    <w:p>
      <w:pPr>
        <w:spacing w:before="120" w:after="80"/>
      </w:pPr>
      <w:r>
        <w:rPr>
          <w:sz w:val="22"/>
        </w:rPr>
        <w:t>四、Moynihan 與 Landuyt 對公共組織的研究提醒我們：組織學習不是單靠文化，也不是單靠制度，而是結構與文化共同作用。尤其具有明確任務、能納入成員意見並允許異議的工作團隊，有助於公共組織產生較強的學習能力。</w:t>
      </w:r>
    </w:p>
    <w:p>
      <w:pPr>
        <w:spacing w:before="120" w:after="80"/>
      </w:pPr>
      <w:r>
        <w:rPr>
          <w:sz w:val="22"/>
        </w:rPr>
        <w:t>五、因此可建立一條行政學上的學習鏈：個人經驗 → 對話與反思 → 團隊共享 → 知識整合 → 制度化 → 行動修正 → 再學習。這條鏈也正好解釋為何「教育訓練」只是組織學習的起點，而非終點。</w:t>
      </w:r>
    </w:p>
    <w:p>
      <w:pPr>
        <w:spacing w:before="240" w:after="120"/>
      </w:pPr>
      <w:r>
        <w:rPr>
          <w:b/>
          <w:sz w:val="30"/>
        </w:rPr>
        <w:t>第七節　組織學習的理論深化：從經驗修正到制度化學習</w:t>
      </w:r>
    </w:p>
    <w:p>
      <w:pPr>
        <w:spacing w:before="120" w:after="80"/>
      </w:pPr>
      <w:r>
        <w:rPr>
          <w:sz w:val="22"/>
        </w:rPr>
        <w:t>臺灣研究並非只是引用國外理論。早期研究已直接把學習型組織帶入政府機關脈絡，例如以勞工保險局、行政院人事行政局、屏東縣政府研考室等案例分析公務組織如何推動學習型組織，並討論科層文化、獎勵制度、領導、組織文化與知識管理等問題。這些研究的重要貢獻，是把「學習型組織」從企業管理概念轉譯成公共部門的制度問題。</w:t>
      </w:r>
    </w:p>
    <w:p>
      <w:pPr>
        <w:spacing w:before="120" w:after="80"/>
      </w:pPr>
      <w:r>
        <w:rPr>
          <w:sz w:val="22"/>
        </w:rPr>
        <w:t>尤其行政院人事行政局個案研究顯示，組織學習與知識管理、人力資源發展及學習文化具有高度關聯；地方政府研究則進一步指出，即使機關辦理學習活動，仍可能停留在傳統科層組織型態。因此，臺灣經驗提醒我們：有課程、有學習時數、有平台，不代表已經形成真正的學習型政府。</w:t>
      </w:r>
    </w:p>
    <w:p>
      <w:pPr>
        <w:spacing w:before="120" w:after="80"/>
      </w:pPr>
      <w:r>
        <w:rPr>
          <w:sz w:val="22"/>
        </w:rPr>
        <w:t>全球研究則逐漸從「學習型組織應具備哪些特徵」轉向「組織如何真正產生學習」。Senge 強調系統思考、共享願景、自我超越、心智模式與團隊學習；Argyris 與 Schön 關注行動理論與防衛性推理；Crossan 等人處理個人、團隊與組織層次之間的知識轉換；公共管理研究則進一步把學習與績效資訊、政策修正及組織文化連結起來。</w:t>
      </w:r>
    </w:p>
    <w:p>
      <w:pPr>
        <w:spacing w:before="120" w:after="80"/>
      </w:pPr>
      <w:r>
        <w:rPr>
          <w:sz w:val="22"/>
        </w:rPr>
        <w:t>因此，本章不應把「學習型組織」理解成一個理想標籤，而應視為一種能力：組織能否從經驗中取得資訊、解釋資訊、挑戰既有假設、形成集體知識，並把新知識制度化。</w:t>
      </w:r>
    </w:p>
    <w:p>
      <w:pPr>
        <w:spacing w:before="240" w:after="120"/>
      </w:pPr>
      <w:r>
        <w:rPr>
          <w:b/>
          <w:sz w:val="30"/>
        </w:rPr>
        <w:t>第八節　臺灣與全球研究的對話：不要把「學習型組織」變成口號</w:t>
      </w:r>
    </w:p>
    <w:p>
      <w:pPr>
        <w:spacing w:before="120" w:after="80"/>
      </w:pPr>
      <w:r>
        <w:rPr>
          <w:sz w:val="22"/>
        </w:rPr>
        <w:t>組織發展（Organization Development, OD）源自行為科學與人群互動研究，其核心不是單純「辦訓練」，而是透過有計畫的介入，改善組織的問題解決能力、更新能力與人際系統。傳統教材常把敏感性訓練、管理格道、團隊建立列為技術，但現代公共組織更應理解 OD 為「診斷—介入—反饋—再診斷」的循環。</w:t>
      </w:r>
    </w:p>
    <w:p>
      <w:pPr>
        <w:spacing w:before="120" w:after="80"/>
      </w:pPr>
      <w:r>
        <w:rPr>
          <w:sz w:val="22"/>
        </w:rPr>
        <w:t>OD 與組織學習的關係可區分為：組織學習回答「組織如何從經驗中產生與制度化知識」；OD回答「如何透過有計畫的介入，讓組織具備改變與更新能力」。兩者交會處就是能力建構。</w:t>
      </w:r>
    </w:p>
    <w:p>
      <w:pPr>
        <w:spacing w:before="120" w:after="80"/>
      </w:pPr>
      <w:r>
        <w:rPr>
          <w:sz w:val="22"/>
        </w:rPr>
        <w:t>在公共部門，OD 不能只追求效率，還必須兼顧合法性、公平性、政治責任、專業倫理與公共價值。因此，公共組織的變革介入常需要兼顧首長領導、基層參與、跨部門協作、法規調整與資源配置。</w:t>
      </w:r>
    </w:p>
    <w:p>
      <w:pPr>
        <w:spacing w:before="120" w:after="80"/>
      </w:pPr>
      <w:r>
        <w:rPr>
          <w:sz w:val="22"/>
        </w:rPr>
        <w:t>可將 OD 介入分成四類：個人層次（教練、回饋、職涯與能力發展）；團隊層次（團隊建立、跨域協作、衝突處理）；組織層次（流程再造、結構調整、文化介入）；跨組織層次（網絡治理、協作平台、共同問題解決）。如此才能把早期教材的技術清單提升為完整的分析架構。</w:t>
      </w:r>
    </w:p>
    <w:p>
      <w:pPr>
        <w:spacing w:before="240" w:after="120"/>
      </w:pPr>
      <w:r>
        <w:rPr>
          <w:b/>
          <w:sz w:val="30"/>
        </w:rPr>
        <w:t>第九節　組織發展（OD）的深化：學習不是目的，而是組織更新的機制</w:t>
      </w:r>
    </w:p>
    <w:p>
      <w:pPr>
        <w:spacing w:before="120" w:after="80"/>
      </w:pPr>
      <w:r>
        <w:rPr>
          <w:sz w:val="22"/>
        </w:rPr>
        <w:t>Lewin 的解凍—變遷—再凍結仍具有教學價值，但不能被理解成所有變革都會在最後重新回到穩定狀態。數位轉型、AI 與高度不確定的政策環境，使公共組織更接近「持續調適」而非一次性變革。</w:t>
      </w:r>
    </w:p>
    <w:p>
      <w:pPr>
        <w:spacing w:before="120" w:after="80"/>
      </w:pPr>
      <w:r>
        <w:rPr>
          <w:sz w:val="22"/>
        </w:rPr>
        <w:t>解凍階段的重點是讓組織看見績效落差、外部壓力或新的機會，並降低「維持現狀」的正當化力量；變遷階段則要建立新的流程、能力、角色與行為；制度化階段不是把變革凍死，而是把有效的新作法嵌入制度，同時保留再檢討的空間。</w:t>
      </w:r>
    </w:p>
    <w:p>
      <w:pPr>
        <w:spacing w:before="120" w:after="80"/>
      </w:pPr>
      <w:r>
        <w:rPr>
          <w:sz w:val="22"/>
        </w:rPr>
        <w:t>本章與第十八章的組織文化應形成連結：文化決定哪些經驗被認為值得學習、哪些錯誤可以被討論；學習則反過來改變文化中的價值與基本假定。與第十七章組織設計的關係則是：結構決定資訊與權力如何流動，而學習決定組織能否依據新資訊調整結構。</w:t>
      </w:r>
    </w:p>
    <w:p>
      <w:pPr>
        <w:spacing w:before="120" w:after="80"/>
      </w:pPr>
      <w:r>
        <w:rPr>
          <w:sz w:val="22"/>
        </w:rPr>
        <w:t>公共組織變革因此可理解為「環境訊號 → 問題辨識 → 組織學習 → 變革方案 → 執行與介入 → 制度化 → 再學習」的循環，而不是一次性的改革專案。</w:t>
      </w:r>
    </w:p>
    <w:p>
      <w:pPr>
        <w:spacing w:before="240" w:after="120"/>
      </w:pPr>
      <w:r>
        <w:rPr>
          <w:b/>
          <w:sz w:val="30"/>
        </w:rPr>
        <w:t>第十節　組織變革與學習的整合：從 Lewin 到公共組織的持續調適</w:t>
      </w:r>
    </w:p>
    <w:p>
      <w:pPr>
        <w:spacing w:before="120" w:after="80"/>
      </w:pPr>
      <w:r>
        <w:rPr>
          <w:sz w:val="22"/>
        </w:rPr>
        <w:t>AI 對組織學習最大的影響，不只是提供更多線上課程，而是大幅降低搜尋、摘要、模擬、回饋與知識重組的成本。這會使組織更容易進行單圈學習，卻也可能讓組織過度依賴既有資料與模型答案，而忽略雙圈學習所要求的價值、假設與制度反思。</w:t>
      </w:r>
    </w:p>
    <w:p>
      <w:pPr>
        <w:spacing w:before="120" w:after="80"/>
      </w:pPr>
      <w:r>
        <w:rPr>
          <w:sz w:val="22"/>
        </w:rPr>
        <w:t>因此，AI 輔助組織學習至少可分為四層：第一層是個人學習，例如即時問答與個人化學習；第二層是團隊學習，例如共同分析案例與模擬決策；第三層是組織學習，例如將案例、錯誤與最佳實務形成可檢索知識；第四層是制度學習，例如依據累積證據修正流程、規範與政策。</w:t>
      </w:r>
    </w:p>
    <w:p>
      <w:pPr>
        <w:spacing w:before="120" w:after="80"/>
      </w:pPr>
      <w:r>
        <w:rPr>
          <w:sz w:val="22"/>
        </w:rPr>
        <w:t>AI 學習的風險包括自動化偏誤、資料偏誤、錯誤知識擴散、責任模糊與過度依賴。因此，AI 只能作為學習的增強工具，不能取代公共組織中的價值判斷、法律責任與民主課責。</w:t>
      </w:r>
    </w:p>
    <w:p>
      <w:pPr>
        <w:spacing w:before="120" w:after="80"/>
      </w:pPr>
      <w:r>
        <w:rPr>
          <w:sz w:val="22"/>
        </w:rPr>
        <w:t>對臺灣公務體系而言，較合理的方向不是把每一門課都變成 AI 課程，而是把 AI 納入「工作中學習」：例如政策模擬、案例複盤、法規問答、跨機關知識共享、主管教練與組織經驗庫，並要求重要決策保留人工審查與責任鏈。</w:t>
      </w:r>
    </w:p>
    <w:p>
      <w:pPr>
        <w:spacing w:before="240" w:after="120"/>
      </w:pPr>
      <w:r>
        <w:rPr>
          <w:b/>
          <w:sz w:val="30"/>
        </w:rPr>
        <w:t>第十一節　AI 時代的組織學習：從「數位學習」走向「人機共學」</w:t>
      </w:r>
    </w:p>
    <w:p>
      <w:pPr>
        <w:spacing w:before="120" w:after="80"/>
      </w:pPr>
      <w:r>
        <w:rPr>
          <w:sz w:val="22"/>
        </w:rPr>
        <w:t>綜合現行制度可以看出，臺灣公務員組織學習已形成「法規與制度—專責培訓機構—實體與數位學習—職能與職涯發展—訓後服務」的基本架構。國家文官學院負責終身學習與多元學習等制度性任務；公務人力發展學院則持續整合行政院所屬機關與地方機關的訓練資源，並發展 e 等公務園+、AI 素養及科技學習等新型態工具。</w:t>
      </w:r>
    </w:p>
    <w:p>
      <w:pPr>
        <w:spacing w:before="120" w:after="80"/>
      </w:pPr>
      <w:r>
        <w:rPr>
          <w:sz w:val="22"/>
        </w:rPr>
        <w:t>但從組織學習理論看，臺灣仍應區分「學習機會增加」與「組織真正學會」兩件事。前者可以由開班數、學習時數、數位課程與參訓人數觀察；後者則要看是否產生知識共享、流程改善、跨機關學習、政策修正、錯誤回饋與制度更新。</w:t>
      </w:r>
    </w:p>
    <w:p>
      <w:pPr>
        <w:spacing w:before="120" w:after="80"/>
      </w:pPr>
      <w:r>
        <w:rPr>
          <w:sz w:val="22"/>
        </w:rPr>
        <w:t>因此，未來評估公務員組織學習，不宜只問「訓練辦了多少」，而應問五個問題：一、學到了什麼？二、是否改變工作行為？三、是否改變團隊決策？四、是否進入制度與流程？五、是否使政府更能面對新問題？這五問可作為本章最重要的臺灣化判準。</w:t>
      </w:r>
    </w:p>
    <w:p>
      <w:pPr>
        <w:spacing w:before="240" w:after="120"/>
      </w:pPr>
      <w:r>
        <w:rPr>
          <w:b/>
          <w:sz w:val="30"/>
        </w:rPr>
        <w:t>第十二節　臺灣現行公務員學習態勢的總結判讀</w:t>
      </w:r>
    </w:p>
    <w:p>
      <w:pPr>
        <w:spacing w:after="180" w:before="360"/>
      </w:pPr>
      <w:r>
        <w:t>第十三節　【AI治理專節】組織學習的AI增強與學習型政府2.0</w:t>
      </w:r>
    </w:p>
    <w:p>
      <w:pPr>
        <w:jc w:val="center"/>
      </w:pPr>
      <w:r>
        <w:drawing>
          <wp:inline xmlns:a="http://schemas.openxmlformats.org/drawingml/2006/main" xmlns:pic="http://schemas.openxmlformats.org/drawingml/2006/picture">
            <wp:extent cx="5669280" cy="3555173"/>
            <wp:docPr id="6" name="Picture 6"/>
            <wp:cNvGraphicFramePr>
              <a:graphicFrameLocks noChangeAspect="1"/>
            </wp:cNvGraphicFramePr>
            <a:graphic>
              <a:graphicData uri="http://schemas.openxmlformats.org/drawingml/2006/picture">
                <pic:pic>
                  <pic:nvPicPr>
                    <pic:cNvPr id="0" name="圖19-6_學習型政府循環.png"/>
                    <pic:cNvPicPr/>
                  </pic:nvPicPr>
                  <pic:blipFill>
                    <a:blip r:embed="rId12"/>
                    <a:stretch>
                      <a:fillRect/>
                    </a:stretch>
                  </pic:blipFill>
                  <pic:spPr>
                    <a:xfrm>
                      <a:off x="0" y="0"/>
                      <a:ext cx="5669280" cy="3555173"/>
                    </a:xfrm>
                    <a:prstGeom prst="rect"/>
                  </pic:spPr>
                </pic:pic>
              </a:graphicData>
            </a:graphic>
          </wp:inline>
        </w:drawing>
      </w:r>
    </w:p>
    <w:p>
      <w:pPr>
        <w:jc w:val="center"/>
      </w:pPr>
      <w:r>
        <w:rPr>
          <w:b/>
          <w:sz w:val="22"/>
        </w:rPr>
        <w:t>圖19-6　學習型政府的AI增強循環：資料—反思—制度—再學習</w:t>
      </w:r>
    </w:p>
    <w:p>
      <w:r>
        <w:rPr>
          <w:i/>
          <w:sz w:val="18"/>
        </w:rPr>
        <w:t>資料來源：OECD（2023）Public Employment and Management 2023之學習文化觀點；Moynihan &amp; Landuyt（2009）；本書依公共組織AI情境提出之整合分析框架。圖中「學習型政府2.0」為本書教學命名，不主張為OECD正式命名的單一模型。</w:t>
      </w:r>
    </w:p>
    <w:p>
      <w:pPr>
        <w:spacing w:after="200" w:line="360"/>
        <w:ind w:firstLine="431"/>
        <w:jc w:val="both"/>
      </w:pPr>
      <w:r>
        <w:rPr>
          <w:rFonts w:ascii="微軟正黑體" w:cs="微軟正黑體" w:eastAsia="微軟正黑體" w:hAnsi="微軟正黑體"/>
          <w:sz w:val="22"/>
          <w:szCs w:val="22"/>
        </w:rPr>
        <w:t xml:space="preserve">本節聚焦生成式AI對組織學習典範的衝擊與轉化。治理挑戰首在Senge五項修練如何升級:傳統系統思考倚賴因果圖與心智推演,生成式AI時代需結合系統動力模擬與生成式AI情境推演,然AI幻覺與模型偏誤可能強化錯誤心智模式;自我超越亟需AI素養(AI literacy),若缺乏提示素養與批判查核能力,公務同仁易陷入自動化偏見與認知卸載。其次,單圈╱雙圈學習在AI回饋下產生質變:組織可能將AI錯誤回饋僅作單圈修正(如修正提示詞)而未觸及資料治理與公平假定,導致「加速的單圈陷阱」。</w:t>
      </w:r>
    </w:p>
    <w:p>
      <w:pPr>
        <w:spacing w:after="140" w:before="260"/>
      </w:pPr>
      <w:r>
        <w:rPr>
          <w:rFonts w:ascii="微軟正黑體" w:cs="微軟正黑體" w:eastAsia="微軟正黑體" w:hAnsi="微軟正黑體"/>
          <w:b/>
          <w:bCs/>
          <w:color w:val="2E5C8A"/>
          <w:sz w:val="23"/>
          <w:szCs w:val="23"/>
        </w:rPr>
        <w:t xml:space="preserve">一、理論回應:AI時代組織學習之重新定義</w:t>
      </w:r>
    </w:p>
    <w:p>
      <w:pPr>
        <w:spacing w:after="200" w:line="360"/>
        <w:ind w:firstLine="431"/>
        <w:jc w:val="both"/>
      </w:pPr>
      <w:r>
        <w:rPr>
          <w:rFonts w:ascii="微軟正黑體" w:cs="微軟正黑體" w:eastAsia="微軟正黑體" w:hAnsi="微軟正黑體"/>
          <w:sz w:val="22"/>
          <w:szCs w:val="22"/>
        </w:rPr>
        <w:t xml:space="preserve">組織與AI代理人共同透過資料、模型與回饋,偵測並矯正錯誤,進而改變組織知識與行動理論的集體歷程,具人機互補與可追溯性。Argyris雙圈學習在AI脈絡下的進階意涵是,AI系統不僅是工具,更是揭示行動理論的鏡子:當AI模型對特定族群回答偏差,其回饋迫使機關反思訓練資料代表性與服務假定,進而重設目標與規範,此即AI觸發之雙圈學習;若進一步建構政府學習如何與AI共學之機制,即進入三圈學習。</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600"/>
        <w:gridCol w:w="46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原五項修練</w:t>
            </w:r>
          </w:p>
        </w:tc>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AI時代升級方向</w:t>
            </w:r>
          </w:p>
        </w:tc>
        <w:tc>
          <w:tcPr>
            <w:tcW w:type="dxa" w:w="4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公共行政意涵與工具</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系統思考</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系統思考+AI模擬</w:t>
            </w:r>
          </w:p>
        </w:tc>
        <w:tc>
          <w:tcPr>
            <w:tcW w:type="dxa" w:w="4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數位孿生政府、系統動力+LLM情境推演,避免片段政策</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自我超越</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自我超越+AI素養</w:t>
            </w:r>
          </w:p>
        </w:tc>
        <w:tc>
          <w:tcPr>
            <w:tcW w:type="dxa" w:w="4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Prompt素養、資料素養、批判性查核,避免自動化偏見</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改善心智模式</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心智模式+XAI</w:t>
            </w:r>
          </w:p>
        </w:tc>
        <w:tc>
          <w:tcPr>
            <w:tcW w:type="dxa" w:w="4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可解釋AI揭示歧視假定、偏誤稽核、公平性儀表板</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建立共享願景</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共享願景+參與式AI</w:t>
            </w:r>
          </w:p>
        </w:tc>
        <w:tc>
          <w:tcPr>
            <w:tcW w:type="dxa" w:w="4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公民參與AI對齊、AI倫理委員會、價值共創工作坊</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團隊學習</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團隊學習+人機協作</w:t>
            </w:r>
          </w:p>
        </w:tc>
        <w:tc>
          <w:tcPr>
            <w:tcW w:type="dxa" w:w="4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人類+AI代理人之混合團隊、深度匯談協議、協作式提示</w:t>
            </w:r>
          </w:p>
        </w:tc>
      </w:tr>
    </w:tbl>
    <w:p>
      <w:pPr>
        <w:spacing w:after="280" w:before="120"/>
        <w:jc w:val="center"/>
      </w:pPr>
      <w:r>
        <w:rPr>
          <w:rFonts w:ascii="微軟正黑體" w:cs="微軟正黑體" w:eastAsia="微軟正黑體" w:hAnsi="微軟正黑體"/>
          <w:i/>
          <w:iCs/>
          <w:color w:val="555555"/>
          <w:sz w:val="18"/>
          <w:szCs w:val="18"/>
        </w:rPr>
        <w:t xml:space="preserve">表19-5　Senge五項修練之AI時代升級版</w:t>
      </w:r>
    </w:p>
    <w:p>
      <w:pPr>
        <w:spacing w:after="140" w:before="260"/>
      </w:pPr>
      <w:r>
        <w:rPr>
          <w:rFonts w:ascii="微軟正黑體" w:cs="微軟正黑體" w:eastAsia="微軟正黑體" w:hAnsi="微軟正黑體"/>
          <w:b/>
          <w:bCs/>
          <w:color w:val="2E5C8A"/>
          <w:sz w:val="23"/>
          <w:szCs w:val="23"/>
        </w:rPr>
        <w:t xml:space="preserve">二、學習型政府2.0與治理工具</w:t>
      </w:r>
    </w:p>
    <w:p>
      <w:pPr>
        <w:spacing w:after="200" w:line="360"/>
        <w:ind w:firstLine="431"/>
        <w:jc w:val="both"/>
      </w:pPr>
      <w:r>
        <w:rPr>
          <w:rFonts w:ascii="微軟正黑體" w:cs="微軟正黑體" w:eastAsia="微軟正黑體" w:hAnsi="微軟正黑體"/>
          <w:sz w:val="22"/>
          <w:szCs w:val="22"/>
        </w:rPr>
        <w:t xml:space="preserve">此演變推動學習型組織邁向學習型政府2.0(Learning Government 2.0, OECD, 2023)。學習型政府2.0強調政府不僅向公民學習,更透過AI即時回饋向資料與演算法學習,具三特徵:實驗導向(沙盒與快速原型)、證據導向(AI輔助政策評估與回饋)、公民共創導向(公民參與AI訓練與監督)。AI輔助組織發展(AI-augmented OD)亦興起,傳統訪談與問卷被自然語言分析與組織網絡分析增強,提升診斷精準度,然仍須堅守OD人本與民主價值,避免技術決定論。</w:t>
      </w:r>
    </w:p>
    <w:p>
      <w:pPr>
        <w:spacing w:after="200" w:line="360"/>
        <w:ind w:firstLine="431"/>
        <w:jc w:val="both"/>
      </w:pPr>
      <w:r>
        <w:rPr>
          <w:rFonts w:ascii="微軟正黑體" w:cs="微軟正黑體" w:eastAsia="微軟正黑體" w:hAnsi="微軟正黑體"/>
          <w:sz w:val="22"/>
          <w:szCs w:val="22"/>
        </w:rPr>
        <w:t xml:space="preserve">工具構面包括:數位孿生學習(Digital Twin Learning),如以數位模型對交通與防災政策進行模擬學習;AI知識管理(AI-enabled KM),以生成式AI進行法規、判例與民意知識萃取與問答,如我國國發會AI法規調適平台;以及AIA作為學習機制,將演算法影響評估(Algorithmic Impact Assessment, AIA)嵌入政策週期,促成事前反思與事中學習,呼應加拿大Directive與EU AI Act第27條基本權利影響評估。</w:t>
      </w:r>
    </w:p>
    <w:p>
      <w:pPr>
        <w:spacing w:after="140" w:before="260"/>
      </w:pPr>
      <w:r>
        <w:rPr>
          <w:rFonts w:ascii="微軟正黑體" w:cs="微軟正黑體" w:eastAsia="微軟正黑體" w:hAnsi="微軟正黑體"/>
          <w:b/>
          <w:bCs/>
          <w:color w:val="2E5C8A"/>
          <w:sz w:val="23"/>
          <w:szCs w:val="23"/>
        </w:rPr>
        <w:t xml:space="preserve">三、台灣案例</w:t>
      </w:r>
    </w:p>
    <w:p>
      <w:pPr>
        <w:spacing w:after="200" w:line="360"/>
        <w:ind w:firstLine="431"/>
        <w:jc w:val="both"/>
      </w:pPr>
      <w:r>
        <w:rPr>
          <w:rFonts w:ascii="微軟正黑體" w:cs="微軟正黑體" w:eastAsia="微軟正黑體" w:hAnsi="微軟正黑體"/>
          <w:sz w:val="22"/>
          <w:szCs w:val="22"/>
        </w:rPr>
        <w:t xml:space="preserve">台灣案例具啟示性:數位發展部推動政府AI學習社群(Gov AI Community),以跨機關CoP形式分享提示工程、風險與法遵實作,並導入同儕回饋,形成雙圈學習場域;國科會TAIDE可信任生成式AI模型之發展,採RLHF(人類回饋強化學習)機制,納入台灣在地價值與繁中語料,政府機關在使用回饋中同步檢視自身公共任務假定,體現人機共學之回饋學習。此路徑顯示,AI增強並非取代組織學習,而是擴增學習深度與廣度,然必須輔以心理安全感與制度化機制,防止僅強化單圈而忽略雙圈之反思。</w:t>
      </w:r>
    </w:p>
    <w:p>
      <w:pPr>
        <w:spacing w:after="200" w:line="360"/>
        <w:ind w:firstLine="431"/>
        <w:jc w:val="both"/>
      </w:pPr>
      <w:r>
        <w:rPr>
          <w:rFonts w:ascii="微軟正黑體" w:cs="微軟正黑體" w:eastAsia="微軟正黑體" w:hAnsi="微軟正黑體"/>
          <w:sz w:val="22"/>
          <w:szCs w:val="22"/>
        </w:rPr>
        <w:t xml:space="preserve">觀念釐清：單雙圈學習與五項修練先寫完</w:t>
      </w:r>
    </w:p>
    <w:p>
      <w:pPr>
        <w:spacing w:after="200" w:line="360"/>
        <w:ind w:firstLine="431"/>
        <w:jc w:val="both"/>
      </w:pPr>
      <w:r>
        <w:rPr>
          <w:rFonts w:ascii="微軟正黑體" w:cs="微軟正黑體" w:eastAsia="微軟正黑體" w:hAnsi="微軟正黑體"/>
          <w:sz w:val="22"/>
          <w:szCs w:val="22"/>
        </w:rPr>
        <w:t xml:space="preserve">組織學習的意涵、Argyris與Schön的單圈雙圈、Senge五項修練、組織發展與計畫性變革，是本章傳統主幹。學習型政府2.0若只有更快的單圈修正、沒有人敢改治理規則，那是把雙圈學習交給系統。右欄建立在左欄能不能說出「誰在學、學的是規則還是誤差」。</w:t>
      </w:r>
    </w:p>
    <w:p>
      <w:pPr>
        <w:spacing w:after="180" w:before="360"/>
      </w:pPr>
      <w:r>
        <w:rPr>
          <w:rFonts w:ascii="微軟正黑體" w:cs="微軟正黑體" w:eastAsia="微軟正黑體" w:hAnsi="微軟正黑體"/>
          <w:b/>
          <w:bCs/>
          <w:color w:val="1F4E79"/>
          <w:sz w:val="26"/>
          <w:szCs w:val="26"/>
        </w:rPr>
        <w:t xml:space="preserve">AI鑲嵌後的權力與結構變化:組織學習中的權力位移</w:t>
      </w:r>
    </w:p>
    <w:p>
      <w:pPr>
        <w:pStyle w:val="ListParagraph"/>
        <w:numPr>
          <w:ilvl w:val="0"/>
          <w:numId w:val="2"/>
        </w:numPr>
        <w:spacing w:after="120" w:line="340"/>
      </w:pPr>
      <w:r>
        <w:rPr>
          <w:rFonts w:ascii="微軟正黑體" w:cs="微軟正黑體" w:eastAsia="微軟正黑體" w:hAnsi="微軟正黑體"/>
          <w:sz w:val="22"/>
          <w:szCs w:val="22"/>
        </w:rPr>
        <w:t xml:space="preserve">情境建構權(P1)的延伸:AI系統回饋哪些錯誤、標記哪些案例為「異常」,實質上決定了組織「該從什麼經驗中學習」;若訓練資料本身存有代表性缺口,組織學習便可能系統性地忽略特定群體之真實需求。</w:t>
      </w:r>
    </w:p>
    <w:p>
      <w:pPr>
        <w:pStyle w:val="ListParagraph"/>
        <w:numPr>
          <w:ilvl w:val="0"/>
          <w:numId w:val="2"/>
        </w:numPr>
        <w:spacing w:after="120" w:line="340"/>
      </w:pPr>
      <w:r>
        <w:rPr>
          <w:rFonts w:ascii="微軟正黑體" w:cs="微軟正黑體" w:eastAsia="微軟正黑體" w:hAnsi="微軟正黑體"/>
          <w:sz w:val="22"/>
          <w:szCs w:val="22"/>
        </w:rPr>
        <w:t xml:space="preserve">行政裁量權(P2)的移轉:當AI回饋被直接轉譯為提示詞修正(單圈學習),而非上呈為政策假定之檢討(雙圈學習),原本應由中高層承擔之價值判斷裁量,實質上被壓縮為基層對AI輸出的技術性調校。</w:t>
      </w:r>
    </w:p>
    <w:p>
      <w:pPr>
        <w:pStyle w:val="ListParagraph"/>
        <w:numPr>
          <w:ilvl w:val="0"/>
          <w:numId w:val="2"/>
        </w:numPr>
        <w:spacing w:after="120" w:line="340"/>
      </w:pPr>
      <w:r>
        <w:rPr>
          <w:rFonts w:ascii="微軟正黑體" w:cs="微軟正黑體" w:eastAsia="微軟正黑體" w:hAnsi="微軟正黑體"/>
          <w:sz w:val="22"/>
          <w:szCs w:val="22"/>
        </w:rPr>
        <w:t xml:space="preserve">公權力影響力(P3)的擴散:設計AI回饋機制與訓練資料篩選標準之技術團隊,對組織「學到什麼、學不到什麼」擁有實質影響力,卻未必進入正式的學習型組織治理與課責架構之中。</w:t>
      </w:r>
    </w:p>
    <w:p>
      <w:pPr>
        <w:spacing w:after="200" w:line="360"/>
        <w:ind w:firstLine="431"/>
        <w:jc w:val="both"/>
      </w:pPr>
      <w:r>
        <w:rPr>
          <w:rFonts w:ascii="微軟正黑體" w:cs="微軟正黑體" w:eastAsia="微軟正黑體" w:hAnsi="微軟正黑體"/>
          <w:sz w:val="22"/>
          <w:szCs w:val="22"/>
        </w:rPr>
        <w:t xml:space="preserve">三種結構性效應中,本章以理由鏈之「加速的單圈陷阱」最為核心:當AI回饋速度遠快於人類反思速度,組織極易滿足於快速修正表面症狀(如調整提示詞、微調模型參數),而未觸及訓練資料代表性、服務假定與公平性等雙圈層次之根本問題。此一現象亦與邊界消解相關:個人學習與組織學習之邊界,因AI回饋之即時性與規模性而更難清楚劃分——一位承辦人員與AI互動所產生之洞見,究竟屬於個人經驗,或已自動嵌入組織知識庫成為集體記憶,往往在瞬間發生,卻未必經過制度化之審慎程序。</w:t>
      </w:r>
    </w:p>
    <w:p>
      <w:pPr>
        <w:spacing w:after="180" w:before="360"/>
      </w:pPr>
      <w:r>
        <w:rPr>
          <w:rFonts w:ascii="微軟正黑體" w:cs="微軟正黑體" w:eastAsia="微軟正黑體" w:hAnsi="微軟正黑體"/>
          <w:b/>
          <w:bCs/>
          <w:color w:val="1F4E79"/>
          <w:sz w:val="26"/>
          <w:szCs w:val="26"/>
        </w:rPr>
        <w:t xml:space="preserve">四鏈追蹤＋七項審計應用</w:t>
      </w:r>
    </w:p>
    <w:p>
      <w:pPr>
        <w:spacing w:after="200" w:line="360"/>
        <w:ind w:firstLine="431"/>
        <w:jc w:val="both"/>
      </w:pPr>
      <w:r>
        <w:rPr>
          <w:rFonts w:ascii="微軟正黑體" w:cs="微軟正黑體" w:eastAsia="微軟正黑體" w:hAnsi="微軟正黑體"/>
          <w:sz w:val="22"/>
          <w:szCs w:val="22"/>
        </w:rPr>
        <w:t xml:space="preserve">組織學習階段的四鏈七審應用,重點在於檢視AI回饋機制是否僅觸發單圈修正、學習成果是否確實制度化為組織記憶,以及學習型政府2.0之三項特徵是否落實: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13"/>
        <w:gridCol w:w="2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情境建構鏈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AI回饋標記哪些案例為「值得學習之異常」,哪些則被系統性忽略,形塑組織學習之議程</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資料代表性審計、組織能力審計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權威鏈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組織學習成果之制度化(是否納入SOP、考績或訓練)是否經正式權威審定,或僅停留於技術團隊層次</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組織能力審計、責任歸屬審計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AI回饋所指出之問題,其背後理由是否可供人類團隊理解,或僅呈現「調整此參數」之表面建議</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當僅止於單圈修正而未觸及雙圈假定,導致同類錯誤反覆發生,責任應歸屬何層級</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責任歸屬審計、民主課責審計</w:t>
            </w:r>
          </w:p>
        </w:tc>
      </w:tr>
    </w:tbl>
    <w:p>
      <w:pPr>
        <w:spacing w:after="280" w:before="120"/>
        <w:jc w:val="center"/>
      </w:pPr>
      <w:r>
        <w:rPr>
          <w:rFonts w:ascii="微軟正黑體" w:cs="微軟正黑體" w:eastAsia="微軟正黑體" w:hAnsi="微軟正黑體"/>
          <w:i/>
          <w:iCs/>
          <w:color w:val="555555"/>
          <w:sz w:val="18"/>
          <w:szCs w:val="18"/>
        </w:rPr>
        <w:t xml:space="preserve">表19-6　組織學習階段四鏈七審應用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白話說明</w:t>
            </w:r>
          </w:p>
          <w:p>
            <w:pPr>
              <w:spacing w:line="340"/>
              <w:jc w:val="both"/>
            </w:pPr>
            <w:r>
              <w:rPr>
                <w:rFonts w:ascii="微軟正黑體" w:cs="微軟正黑體" w:eastAsia="微軟正黑體" w:hAnsi="微軟正黑體"/>
                <w:sz w:val="21"/>
                <w:szCs w:val="21"/>
              </w:rPr>
              <w:t xml:space="preserve">單圈學習像是燒開水燒焦了就把火轉小,雙圈學習則是回頭問一句:我們是不是根本不該用這個爐子燒這種水。</w:t>
            </w:r>
          </w:p>
        </w:tc>
      </w:tr>
    </w:tbl>
    <w:p>
      <w:pPr>
        <w:spacing w:after="80"/>
      </w:pPr>
      <w:r>
        <w:rPr>
          <w:i/>
          <w:sz w:val="18"/>
        </w:rPr>
        <w:t>資料來源：本書依組織學習之理由鏈、責任歸屬與制度化要求整理，屬本書分析工具。</w:t>
      </w:r>
    </w:p>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案例思考一(國際案例):英國Ofqual演算法評分事件——單圈修正失靈,倒逼雙圈學習與政策U轉</w:t>
      </w:r>
    </w:p>
    <w:p>
      <w:pPr>
        <w:spacing w:after="200" w:line="360"/>
        <w:ind w:firstLine="431"/>
        <w:jc w:val="both"/>
      </w:pPr>
      <w:r>
        <w:rPr>
          <w:rFonts w:ascii="微軟正黑體" w:cs="微軟正黑體" w:eastAsia="微軟正黑體" w:hAnsi="微軟正黑體"/>
          <w:sz w:val="22"/>
          <w:szCs w:val="22"/>
        </w:rPr>
        <w:t xml:space="preserve">2020年,英國因新冠疫情取消實體大考,考試主管機關Ofqual改採統計標準化演算法,依據各校歷年考試表現,調整教師對學生之預測成績,以決定學生最終之A-level(大學入學)成績。演算法上路後,大量來自弱勢或非傳統名校學生之成績遭到系統性調降,而部分名校學生成績則相對受到保護,引發全國性抗議,示威者高喊「去他的演算法」(F**k the algorithm)成為當年度標誌性口號。英國政府與Ofqual最初之回應偏向單圈學習——嘗試微調演算法參數、公布統計方法說明——但公眾壓力迫使決策者在數日內完全撤回演算法結果,改採教師預測成績,教育大臣並公開道歉。此事件後續促成英國考試評量制度之根本性檢討:是否應以統計分布模型決定個別學生之升學機會?這正是雙圈學習的核心提問——不只是「這個演算法算錯了嗎」,而是「用演算法決定人生機會這件事本身,是否從一開始就問錯了問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在Ofqual演算法評分事件中的具體意涵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對應之七項審計重點</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演算法以「學校歷年表現」作為主要調整依據,系統性地將個別學生之表現與其學校之集體歷史掛鉤</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資料代表性審計、組織能力審計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Ofqual作為考試主管機關,其演算法決定學生升學命運之正當性基礎,是否經過充分之民主授權與公眾諮詢</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組織能力審計、責任歸屬審計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個別學生與家長最初無法得知自己的預測成績為何被調降,演算法之統計邏輯未能以可理解方式對外說明</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政策U轉後,究竟是演算法設計者、Ofqual決策層,或授權採用此制度之教育部應負最終責任,事後檢討結果不一而足</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bl>
    <w:p>
      <w:pPr>
        <w:spacing w:after="280" w:before="120"/>
        <w:jc w:val="center"/>
      </w:pPr>
      <w:r>
        <w:rPr>
          <w:rFonts w:ascii="微軟正黑體" w:cs="微軟正黑體" w:eastAsia="微軟正黑體" w:hAnsi="微軟正黑體"/>
          <w:i/>
          <w:iCs/>
          <w:color w:val="555555"/>
          <w:sz w:val="18"/>
          <w:szCs w:val="18"/>
        </w:rPr>
        <w:t xml:space="preserve">表19-7　用四鏈七審檢視英國Ofqual演算法評分事件</w:t>
      </w:r>
    </w:p>
    <w:p>
      <w:pPr>
        <w:spacing w:after="140" w:before="260"/>
      </w:pPr>
      <w:r>
        <w:rPr>
          <w:rFonts w:ascii="微軟正黑體" w:cs="微軟正黑體" w:eastAsia="微軟正黑體" w:hAnsi="微軟正黑體"/>
          <w:b/>
          <w:bCs/>
          <w:color w:val="2E5C8A"/>
          <w:sz w:val="23"/>
          <w:szCs w:val="23"/>
        </w:rPr>
        <w:t xml:space="preserve">案例思考二(國內案例):國家災害防救科技中心(NCDR)——從八八風災的單圈檢討到數位孿生模擬的三圈學習</w:t>
      </w:r>
    </w:p>
    <w:p>
      <w:pPr>
        <w:spacing w:after="200" w:line="360"/>
        <w:ind w:firstLine="431"/>
        <w:jc w:val="both"/>
      </w:pPr>
      <w:r>
        <w:rPr>
          <w:rFonts w:ascii="微軟正黑體" w:cs="微軟正黑體" w:eastAsia="微軟正黑體" w:hAnsi="微軟正黑體"/>
          <w:sz w:val="22"/>
          <w:szCs w:val="22"/>
        </w:rPr>
        <w:t xml:space="preserve">2009年莫拉克颱風(八八風災)重創台灣,災害應變體系暴露出跨部會協調遲緩、資訊研判落後於災情發展等結構性問題,促成我國災害防救體系之根本性改革,包括強化中央災害應變中心之指揮權威、修訂相關法規與資訊通報機制。國家災害防救科技中心(NCDR,現為行政法人)在此背景下持續深化其角色,近年更結合數位模擬與情境推演技術,協助各級政府在颱風、地震等重大災害發生前進行兵棋推演與資源部署模擬,並於災後進行系統性之複盤檢討。從八八風災當年偏重單圈層次之流程與法規修補,到近年逐步納入數位模擬工具支援之情境推演與跨機關共學機制,NCDR之演進軌跡具體展現了組織學習如何從單圈修正,逐步邁向檢討根本假定之雙圈學習,乃至建立「如何持續從每次演練與實際災害中學習」之三圈學習基礎設施。</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在NCDR災害學習演進案例中的具體意涵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對應之七項審計重點</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模擬情境所涵蓋之災害類型與地理範圍,決定了哪些潛在風險被納入演練與學習範疇,哪些仍是盲區</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資料代表性審計、組織能力審計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模擬推演之結果與建議,在多大程度上能轉化為地方政府實際之資源部署決策,或僅止於技術報告層次</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組織能力審計、責任歸屬審計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情境模擬背後之假設條件與模型限制,是否對參與演練之各級政府人員充分說明,避免過度信賴模擬結果</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當實際災害發展超出模擬情境預期,究責與檢討機制是否明確涵蓋模擬設計、決策應變與資源調度各環節</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bl>
    <w:p>
      <w:pPr>
        <w:spacing w:after="280" w:before="120"/>
        <w:jc w:val="center"/>
      </w:pPr>
      <w:r>
        <w:rPr>
          <w:rFonts w:ascii="微軟正黑體" w:cs="微軟正黑體" w:eastAsia="微軟正黑體" w:hAnsi="微軟正黑體"/>
          <w:i/>
          <w:iCs/>
          <w:color w:val="555555"/>
          <w:sz w:val="18"/>
          <w:szCs w:val="18"/>
        </w:rPr>
        <w:t xml:space="preserve">表19-8　用四鏈七審檢視國家災害防救科技中心(NCDR)學習演進案例</w:t>
      </w:r>
    </w:p>
    <w:p>
      <w:pPr>
        <w:spacing w:after="140" w:before="260"/>
      </w:pPr>
      <w:r>
        <w:rPr>
          <w:rFonts w:ascii="微軟正黑體" w:cs="微軟正黑體" w:eastAsia="微軟正黑體" w:hAnsi="微軟正黑體"/>
          <w:b/>
          <w:bCs/>
          <w:color w:val="2E5C8A"/>
          <w:sz w:val="23"/>
          <w:szCs w:val="23"/>
        </w:rPr>
        <w:t xml:space="preserve">案例思考三:「個人聰明,組織失憶」——資深同仁退休帶走的隱性知識與AI知識管理的機會</w:t>
      </w:r>
    </w:p>
    <w:p>
      <w:pPr>
        <w:spacing w:after="200" w:line="360"/>
        <w:ind w:firstLine="431"/>
        <w:jc w:val="both"/>
      </w:pPr>
      <w:r>
        <w:rPr>
          <w:rFonts w:ascii="微軟正黑體" w:cs="微軟正黑體" w:eastAsia="微軟正黑體" w:hAnsi="微軟正黑體"/>
          <w:sz w:val="22"/>
          <w:szCs w:val="22"/>
        </w:rPr>
        <w:t xml:space="preserve">許多機關長期面臨一項共同挑戰:某位資深承辦人員憑藉多年經驗,練就一身處理複雜陳情、判讀模糊法規之直覺與訣竅,但這些知識從未被系統性記錄,一旦該員退休或調職,組織便瞬間「失憶」,後繼者須從頭摸索。</w:t>
      </w:r>
    </w:p>
    <w:p>
      <w:pPr>
        <w:pStyle w:val="ListParagraph"/>
        <w:numPr>
          <w:ilvl w:val="0"/>
          <w:numId w:val="2"/>
        </w:numPr>
        <w:spacing w:after="120" w:line="340"/>
      </w:pPr>
      <w:r>
        <w:rPr>
          <w:rFonts w:ascii="微軟正黑體" w:cs="微軟正黑體" w:eastAsia="微軟正黑體" w:hAnsi="微軟正黑體"/>
          <w:sz w:val="22"/>
          <w:szCs w:val="22"/>
        </w:rPr>
        <w:t xml:space="preserve">問題界定:此現象之根源,正是本章4I框架所稱「學習僅停留於個人層次,未經團體詮釋與組織制度化」——個人的直覺與洞見,從未被轉譯為可傳承之組織記憶。</w:t>
      </w:r>
    </w:p>
    <w:p>
      <w:pPr>
        <w:pStyle w:val="ListParagraph"/>
        <w:numPr>
          <w:ilvl w:val="0"/>
          <w:numId w:val="2"/>
        </w:numPr>
        <w:spacing w:after="120" w:line="340"/>
      </w:pPr>
      <w:r>
        <w:rPr>
          <w:rFonts w:ascii="微軟正黑體" w:cs="微軟正黑體" w:eastAsia="微軟正黑體" w:hAnsi="微軟正黑體"/>
          <w:sz w:val="22"/>
          <w:szCs w:val="22"/>
        </w:rPr>
        <w:t xml:space="preserve">交接風險:生成式AI知識管理工具(如整理歷年案例、萃取法規判例問答)提供了將隱性知識外顯化之新契機,但若僅止於資料彙整而未經資深同仁參與校驗,萃取出之「知識」可能只是表面案例堆疊,遺漏真正關鍵的判斷脈絡。</w:t>
      </w:r>
    </w:p>
    <w:p>
      <w:pPr>
        <w:pStyle w:val="ListParagraph"/>
        <w:numPr>
          <w:ilvl w:val="0"/>
          <w:numId w:val="2"/>
        </w:numPr>
        <w:spacing w:after="120" w:line="340"/>
      </w:pPr>
      <w:r>
        <w:rPr>
          <w:rFonts w:ascii="微軟正黑體" w:cs="微軟正黑體" w:eastAsia="微軟正黑體" w:hAnsi="微軟正黑體"/>
          <w:sz w:val="22"/>
          <w:szCs w:val="22"/>
        </w:rPr>
        <w:t xml:space="preserve">沉默輸家:若機關將知識管理系統之建置簡化為「請AI整理舊公文」之單次專案,而未建立持續更新與同儕貢獻之機制,系統上線後便迅速過時,無法真正承接組織學習之功能。</w:t>
      </w:r>
    </w:p>
    <w:p>
      <w:pPr>
        <w:pStyle w:val="ListParagraph"/>
        <w:numPr>
          <w:ilvl w:val="0"/>
          <w:numId w:val="2"/>
        </w:numPr>
        <w:spacing w:after="120" w:line="340"/>
      </w:pPr>
      <w:r>
        <w:rPr>
          <w:rFonts w:ascii="微軟正黑體" w:cs="微軟正黑體" w:eastAsia="微軟正黑體" w:hAnsi="微軟正黑體"/>
          <w:sz w:val="22"/>
          <w:szCs w:val="22"/>
        </w:rPr>
        <w:t xml:space="preserve">治理工具:可考慮之因應包括在資深同仁退休前規劃結構化之知識萃取訪談、建立AI輔助但仍由人類專家審核之知識庫更新流程,以及將「貢獻知識庫」納入績效肯認項目,使個人智慧真正轉化為組織記憶。</w:t>
      </w:r>
    </w:p>
    <w:p>
      <w:pPr>
        <w:spacing w:after="200" w:line="360"/>
        <w:ind w:firstLine="431"/>
        <w:jc w:val="both"/>
      </w:pPr>
      <w:r>
        <w:rPr>
          <w:rFonts w:ascii="微軟正黑體" w:cs="微軟正黑體" w:eastAsia="微軟正黑體" w:hAnsi="微軟正黑體"/>
          <w:sz w:val="22"/>
          <w:szCs w:val="22"/>
        </w:rPr>
        <w:t xml:space="preserve">此案例顯示,AI知識管理工具的價值不在於取代資深同仁的經驗,而在於提供一套機制,讓那些原本隨人員異動而流失的智慧,得以被看見、被保存、被下一代承接。</w:t>
      </w:r>
    </w:p>
    <w:p>
      <w:pPr>
        <w:spacing w:after="140" w:before="260"/>
      </w:pPr>
      <w:r>
        <w:rPr>
          <w:rFonts w:ascii="微軟正黑體" w:cs="微軟正黑體" w:eastAsia="微軟正黑體" w:hAnsi="微軟正黑體"/>
          <w:b/>
          <w:bCs/>
          <w:color w:val="2E5C8A"/>
          <w:sz w:val="23"/>
          <w:szCs w:val="23"/>
        </w:rPr>
        <w:t xml:space="preserve">延伸思考</w:t>
      </w:r>
    </w:p>
    <w:p>
      <w:pPr>
        <w:spacing w:after="160" w:line="340"/>
        <w:ind w:left="431" w:hanging="431"/>
      </w:pPr>
      <w:r>
        <w:rPr>
          <w:rFonts w:ascii="微軟正黑體" w:cs="微軟正黑體" w:eastAsia="微軟正黑體" w:hAnsi="微軟正黑體"/>
          <w:sz w:val="22"/>
          <w:szCs w:val="22"/>
        </w:rPr>
        <w:t xml:space="preserve">一、基礎:用25座標定位英國Ofqual演算法評分事件或國家災害防救科技中心(NCDR)學習演進案例,畫出其跨格移動路徑:此案例原屬哪一治理座標?因AI技術嵌入後,又下沉或位移至哪一座標?</w:t>
      </w:r>
    </w:p>
    <w:p>
      <w:pPr>
        <w:spacing w:after="160" w:line="340"/>
        <w:ind w:left="431" w:hanging="431"/>
      </w:pPr>
      <w:r>
        <w:rPr>
          <w:rFonts w:ascii="微軟正黑體" w:cs="微軟正黑體" w:eastAsia="微軟正黑體" w:hAnsi="微軟正黑體"/>
          <w:sz w:val="22"/>
          <w:szCs w:val="22"/>
        </w:rPr>
        <w:t xml:space="preserve">二、進階:承上題,指出此案例在四鏈追蹤中最脆弱的斷裂點,並設計一份可操作的七審檢查表,列出至少四項具體稽核項目。</w:t>
      </w:r>
    </w:p>
    <w:p>
      <w:pPr>
        <w:spacing w:after="160" w:line="340"/>
        <w:ind w:left="431" w:hanging="431"/>
      </w:pPr>
      <w:r>
        <w:rPr>
          <w:rFonts w:ascii="微軟正黑體" w:cs="微軟正黑體" w:eastAsia="微軟正黑體" w:hAnsi="微軟正黑體"/>
          <w:sz w:val="22"/>
          <w:szCs w:val="22"/>
        </w:rPr>
        <w:t xml:space="preserve">三、實作:若你是機關知識管理專案負責人,請撰寫一份300字的「資深同仁隱性知識萃取與AI知識庫建置」計畫大綱,說明訪談流程、人工審核機制與後續更新責任分工。</w:t>
      </w:r>
    </w:p>
    <w:p>
      <w:pPr>
        <w:spacing w:after="160" w:line="340"/>
        <w:ind w:left="431" w:hanging="431"/>
      </w:pPr>
      <w:r>
        <w:rPr>
          <w:rFonts w:ascii="微軟正黑體" w:cs="微軟正黑體" w:eastAsia="微軟正黑體" w:hAnsi="微軟正黑體"/>
          <w:sz w:val="22"/>
          <w:szCs w:val="22"/>
        </w:rPr>
        <w:t xml:space="preserve">四、前瞻:本章是第四層組織層之總結章。請以前瞻句格式(例如「本章確立了……,下一部分將……」),寫出本章應如何銜接下一部分關於策略管理、行政領導等第五層管理運作之討論(如第二十章「策略管理:AI增強與主權AI戰略」)。</w:t>
      </w: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本章作為第四層組織層之總結,系統闡釋組織學習與發展之理論與實務。組織學習指組織透過集體互動、知識創造與制度化,偵測並矯正錯誤之歷程,區分為實驗型、獲取能力型、持續改進型與標竿學習型,並經由直覺、詮釋、整合至制度化跨越個人至組織層次。Argyris與Schön之單圈、雙圈與三圈學習區辨學習深度,指出公共組織常受限於防衛性推理而僅能單圈學習,唯有心理安全感與課責再設計方能促成雙圈反思。Senge五項修練提供學習型組織之修練路徑,系統思考為整合核心,自我超越、心智模式、共享願景與團隊學習相互支撐。組織發展(OD)則提供計畫性變革之行為科學基礎,以Lewin解凍—變遷—再凍結為程序,並透過敏感度訓練、團隊建立、調查回饋、管理格道等介入技術提升組織效能與健康。</w:t>
      </w:r>
    </w:p>
    <w:p>
      <w:pPr>
        <w:spacing w:after="200" w:line="360"/>
        <w:ind w:firstLine="431"/>
        <w:jc w:val="both"/>
      </w:pPr>
      <w:r>
        <w:rPr>
          <w:rFonts w:ascii="微軟正黑體" w:cs="微軟正黑體" w:eastAsia="微軟正黑體" w:hAnsi="微軟正黑體"/>
          <w:sz w:val="22"/>
          <w:szCs w:val="22"/>
        </w:rPr>
        <w:t xml:space="preserve">第四層整合觀點指出,組織設計、文化與學習分別構成結構骨架、價值靈魂與演化動能,三者協同方能建構韌性且具學習能力之公共組織。進入生成式AI時代,組織學習已升級為人機共學,AI可作為系統模擬、知識管理與回饋學習之增強器,但亦帶來單圈陷阱與偏誤固化之風險。以英國Ofqual演算法評分事件與我國國家災害防救科技中心(NCDR)學習演進案例為鏡,說明快速的AI回饋若未搭配雙圈反思機制,組織很可能只是「學得更快」,卻未必「學得更深」。至此,本書第四層組織層(組織本質論、我國體制設計、組織設計古典原理、組織文化、組織學習與發展)已完整鋪陳;下一部分將轉向第五層管理運作,探討策略管理、行政領導等議題,持續以25-3-3-4-7框架追蹤AI時代的公共治理。</w:t>
      </w:r>
    </w:p>
    <w:p>
      <w:pPr>
        <w:spacing w:after="240" w:line="340"/>
        <w:ind w:left="576" w:right="576"/>
      </w:pPr>
      <w:r>
        <w:rPr>
          <w:rFonts w:ascii="微軟正黑體" w:cs="微軟正黑體" w:eastAsia="微軟正黑體" w:hAnsi="微軟正黑體"/>
          <w:i/>
          <w:iCs/>
          <w:sz w:val="21"/>
          <w:szCs w:val="21"/>
        </w:rPr>
        <w:t xml:space="preserve">再美好的道理,不學習就不知道它的好——再精良的AI回饋,若組織不曾真正反思,也終究只是更快地重複同一個錯誤。</w:t>
      </w: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組織學習 Organizational Learning　</w:t>
      </w:r>
      <w:r>
        <w:rPr>
          <w:rFonts w:ascii="微軟正黑體" w:cs="微軟正黑體" w:eastAsia="微軟正黑體" w:hAnsi="微軟正黑體"/>
          <w:sz w:val="22"/>
          <w:szCs w:val="22"/>
        </w:rPr>
        <w:t xml:space="preserve">組織作為集體,透過互動、經驗累積與制度化,偵測並矯正錯誤,改變知識基礎與行為模式之歷程。</w:t>
      </w:r>
    </w:p>
    <w:p>
      <w:pPr>
        <w:spacing w:after="160" w:line="340"/>
      </w:pPr>
      <w:r>
        <w:rPr>
          <w:rFonts w:ascii="微軟正黑體" w:cs="微軟正黑體" w:eastAsia="微軟正黑體" w:hAnsi="微軟正黑體"/>
          <w:b/>
          <w:bCs/>
          <w:sz w:val="22"/>
          <w:szCs w:val="22"/>
        </w:rPr>
        <w:t xml:space="preserve">單圈學習 Single-loop Learning　</w:t>
      </w:r>
      <w:r>
        <w:rPr>
          <w:rFonts w:ascii="微軟正黑體" w:cs="微軟正黑體" w:eastAsia="微軟正黑體" w:hAnsi="微軟正黑體"/>
          <w:sz w:val="22"/>
          <w:szCs w:val="22"/>
        </w:rPr>
        <w:t xml:space="preserve">在既定目標與規範內矯正錯誤之技術性、適應性學習。</w:t>
      </w:r>
    </w:p>
    <w:p>
      <w:pPr>
        <w:spacing w:after="160" w:line="340"/>
      </w:pPr>
      <w:r>
        <w:rPr>
          <w:rFonts w:ascii="微軟正黑體" w:cs="微軟正黑體" w:eastAsia="微軟正黑體" w:hAnsi="微軟正黑體"/>
          <w:b/>
          <w:bCs/>
          <w:sz w:val="22"/>
          <w:szCs w:val="22"/>
        </w:rPr>
        <w:t xml:space="preserve">雙圈學習 Double-loop Learning　</w:t>
      </w:r>
      <w:r>
        <w:rPr>
          <w:rFonts w:ascii="微軟正黑體" w:cs="微軟正黑體" w:eastAsia="微軟正黑體" w:hAnsi="微軟正黑體"/>
          <w:sz w:val="22"/>
          <w:szCs w:val="22"/>
        </w:rPr>
        <w:t xml:space="preserve">質疑並修正目標、規範與假定本身之反思性、轉化性學習。</w:t>
      </w:r>
    </w:p>
    <w:p>
      <w:pPr>
        <w:spacing w:after="160" w:line="340"/>
      </w:pPr>
      <w:r>
        <w:rPr>
          <w:rFonts w:ascii="微軟正黑體" w:cs="微軟正黑體" w:eastAsia="微軟正黑體" w:hAnsi="微軟正黑體"/>
          <w:b/>
          <w:bCs/>
          <w:sz w:val="22"/>
          <w:szCs w:val="22"/>
        </w:rPr>
        <w:t xml:space="preserve">三圈學習 Deutero-learning　</w:t>
      </w:r>
      <w:r>
        <w:rPr>
          <w:rFonts w:ascii="微軟正黑體" w:cs="微軟正黑體" w:eastAsia="微軟正黑體" w:hAnsi="微軟正黑體"/>
          <w:sz w:val="22"/>
          <w:szCs w:val="22"/>
        </w:rPr>
        <w:t xml:space="preserve">學習如何學習,檢視學習機制本身之後設學習。</w:t>
      </w:r>
    </w:p>
    <w:p>
      <w:pPr>
        <w:spacing w:after="160" w:line="340"/>
      </w:pPr>
      <w:r>
        <w:rPr>
          <w:rFonts w:ascii="微軟正黑體" w:cs="微軟正黑體" w:eastAsia="微軟正黑體" w:hAnsi="微軟正黑體"/>
          <w:b/>
          <w:bCs/>
          <w:sz w:val="22"/>
          <w:szCs w:val="22"/>
        </w:rPr>
        <w:t xml:space="preserve">防衛性推理 Defensive Reasoning　</w:t>
      </w:r>
      <w:r>
        <w:rPr>
          <w:rFonts w:ascii="微軟正黑體" w:cs="微軟正黑體" w:eastAsia="微軟正黑體" w:hAnsi="微軟正黑體"/>
          <w:sz w:val="22"/>
          <w:szCs w:val="22"/>
        </w:rPr>
        <w:t xml:space="preserve">成員為維護面子與既得利益而隱藏錯誤資訊,導致組織無法偵測真實問題之現象。</w:t>
      </w:r>
    </w:p>
    <w:p>
      <w:pPr>
        <w:spacing w:after="160" w:line="340"/>
      </w:pPr>
      <w:r>
        <w:rPr>
          <w:rFonts w:ascii="微軟正黑體" w:cs="微軟正黑體" w:eastAsia="微軟正黑體" w:hAnsi="微軟正黑體"/>
          <w:b/>
          <w:bCs/>
          <w:sz w:val="22"/>
          <w:szCs w:val="22"/>
        </w:rPr>
        <w:t xml:space="preserve">學習型組織 Learning Organization　</w:t>
      </w:r>
      <w:r>
        <w:rPr>
          <w:rFonts w:ascii="微軟正黑體" w:cs="微軟正黑體" w:eastAsia="微軟正黑體" w:hAnsi="微軟正黑體"/>
          <w:sz w:val="22"/>
          <w:szCs w:val="22"/>
        </w:rPr>
        <w:t xml:space="preserve">Senge提出,持續擴展成員創造未來能力,並不斷學習如何共同學習之組織。</w:t>
      </w:r>
    </w:p>
    <w:p>
      <w:pPr>
        <w:spacing w:after="160" w:line="340"/>
      </w:pPr>
      <w:r>
        <w:rPr>
          <w:rFonts w:ascii="微軟正黑體" w:cs="微軟正黑體" w:eastAsia="微軟正黑體" w:hAnsi="微軟正黑體"/>
          <w:b/>
          <w:bCs/>
          <w:sz w:val="22"/>
          <w:szCs w:val="22"/>
        </w:rPr>
        <w:t xml:space="preserve">五項修練 Five Disciplines　</w:t>
      </w:r>
      <w:r>
        <w:rPr>
          <w:rFonts w:ascii="微軟正黑體" w:cs="微軟正黑體" w:eastAsia="微軟正黑體" w:hAnsi="微軟正黑體"/>
          <w:sz w:val="22"/>
          <w:szCs w:val="22"/>
        </w:rPr>
        <w:t xml:space="preserve">系統思考、自我超越、改善心智模式、建立共享願景、團隊學習。</w:t>
      </w:r>
    </w:p>
    <w:p>
      <w:pPr>
        <w:spacing w:after="160" w:line="340"/>
      </w:pPr>
      <w:r>
        <w:rPr>
          <w:rFonts w:ascii="微軟正黑體" w:cs="微軟正黑體" w:eastAsia="微軟正黑體" w:hAnsi="微軟正黑體"/>
          <w:b/>
          <w:bCs/>
          <w:sz w:val="22"/>
          <w:szCs w:val="22"/>
        </w:rPr>
        <w:t xml:space="preserve">系統思考 Systems Thinking　</w:t>
      </w:r>
      <w:r>
        <w:rPr>
          <w:rFonts w:ascii="微軟正黑體" w:cs="微軟正黑體" w:eastAsia="微軟正黑體" w:hAnsi="微軟正黑體"/>
          <w:sz w:val="22"/>
          <w:szCs w:val="22"/>
        </w:rPr>
        <w:t xml:space="preserve">以整體、動態與長期觀點理解事件背後結構與回饋圈之修練,為五項修練之核心。</w:t>
      </w:r>
    </w:p>
    <w:p>
      <w:pPr>
        <w:spacing w:after="160" w:line="340"/>
      </w:pPr>
      <w:r>
        <w:rPr>
          <w:rFonts w:ascii="微軟正黑體" w:cs="微軟正黑體" w:eastAsia="微軟正黑體" w:hAnsi="微軟正黑體"/>
          <w:b/>
          <w:bCs/>
          <w:sz w:val="22"/>
          <w:szCs w:val="22"/>
        </w:rPr>
        <w:t xml:space="preserve">心智模式 Mental Models　</w:t>
      </w:r>
      <w:r>
        <w:rPr>
          <w:rFonts w:ascii="微軟正黑體" w:cs="微軟正黑體" w:eastAsia="微軟正黑體" w:hAnsi="微軟正黑體"/>
          <w:sz w:val="22"/>
          <w:szCs w:val="22"/>
        </w:rPr>
        <w:t xml:space="preserve">支配行為之深層圖像與假定,需被浮現、檢驗並重塑。</w:t>
      </w:r>
    </w:p>
    <w:p>
      <w:pPr>
        <w:spacing w:after="160" w:line="340"/>
      </w:pPr>
      <w:r>
        <w:rPr>
          <w:rFonts w:ascii="微軟正黑體" w:cs="微軟正黑體" w:eastAsia="微軟正黑體" w:hAnsi="微軟正黑體"/>
          <w:b/>
          <w:bCs/>
          <w:sz w:val="22"/>
          <w:szCs w:val="22"/>
        </w:rPr>
        <w:t xml:space="preserve">組織發展 Organization Development, OD　</w:t>
      </w:r>
      <w:r>
        <w:rPr>
          <w:rFonts w:ascii="微軟正黑體" w:cs="微軟正黑體" w:eastAsia="微軟正黑體" w:hAnsi="微軟正黑體"/>
          <w:sz w:val="22"/>
          <w:szCs w:val="22"/>
        </w:rPr>
        <w:t xml:space="preserve">以行為科學知識為基礎,透過計畫性介入增進組織解決問題與適應環境能力之長期努力。</w:t>
      </w:r>
    </w:p>
    <w:p>
      <w:pPr>
        <w:spacing w:after="160" w:line="340"/>
      </w:pPr>
      <w:r>
        <w:rPr>
          <w:rFonts w:ascii="微軟正黑體" w:cs="微軟正黑體" w:eastAsia="微軟正黑體" w:hAnsi="微軟正黑體"/>
          <w:b/>
          <w:bCs/>
          <w:sz w:val="22"/>
          <w:szCs w:val="22"/>
        </w:rPr>
        <w:t xml:space="preserve">解凍—變遷—再凍結　</w:t>
      </w:r>
      <w:r>
        <w:rPr>
          <w:rFonts w:ascii="微軟正黑體" w:cs="微軟正黑體" w:eastAsia="微軟正黑體" w:hAnsi="微軟正黑體"/>
          <w:sz w:val="22"/>
          <w:szCs w:val="22"/>
        </w:rPr>
        <w:t xml:space="preserve">Lewin提出之組織變革三階段模型,強調心理安全感與制度化為關鍵。</w:t>
      </w:r>
    </w:p>
    <w:p>
      <w:pPr>
        <w:spacing w:after="160" w:line="340"/>
      </w:pPr>
      <w:r>
        <w:rPr>
          <w:rFonts w:ascii="微軟正黑體" w:cs="微軟正黑體" w:eastAsia="微軟正黑體" w:hAnsi="微軟正黑體"/>
          <w:b/>
          <w:bCs/>
          <w:sz w:val="22"/>
          <w:szCs w:val="22"/>
        </w:rPr>
        <w:t xml:space="preserve">敏感度訓練 Sensitivity Training　</w:t>
      </w:r>
      <w:r>
        <w:rPr>
          <w:rFonts w:ascii="微軟正黑體" w:cs="微軟正黑體" w:eastAsia="微軟正黑體" w:hAnsi="微軟正黑體"/>
          <w:sz w:val="22"/>
          <w:szCs w:val="22"/>
        </w:rPr>
        <w:t xml:space="preserve">透過非結構團體互動增進自我覺察與人際敏感度之個人層次OD介入技術。</w:t>
      </w:r>
    </w:p>
    <w:p>
      <w:pPr>
        <w:spacing w:after="160" w:line="340"/>
      </w:pPr>
      <w:r>
        <w:rPr>
          <w:rFonts w:ascii="微軟正黑體" w:cs="微軟正黑體" w:eastAsia="微軟正黑體" w:hAnsi="微軟正黑體"/>
          <w:b/>
          <w:bCs/>
          <w:sz w:val="22"/>
          <w:szCs w:val="22"/>
        </w:rPr>
        <w:t xml:space="preserve">管理格道 Managerial Grid　</w:t>
      </w:r>
      <w:r>
        <w:rPr>
          <w:rFonts w:ascii="微軟正黑體" w:cs="微軟正黑體" w:eastAsia="微軟正黑體" w:hAnsi="微軟正黑體"/>
          <w:sz w:val="22"/>
          <w:szCs w:val="22"/>
        </w:rPr>
        <w:t xml:space="preserve">Blake與Mouton提出,以關懷生產與關懷人員為兩軸訓練整合型領導之組織層次OD技術。</w:t>
      </w:r>
    </w:p>
    <w:p>
      <w:pPr>
        <w:spacing w:after="160" w:line="340"/>
      </w:pPr>
      <w:r>
        <w:rPr>
          <w:rFonts w:ascii="微軟正黑體" w:cs="微軟正黑體" w:eastAsia="微軟正黑體" w:hAnsi="微軟正黑體"/>
          <w:b/>
          <w:bCs/>
          <w:sz w:val="22"/>
          <w:szCs w:val="22"/>
        </w:rPr>
        <w:t xml:space="preserve">人機共學 Human-AI Co-learning　</w:t>
      </w:r>
      <w:r>
        <w:rPr>
          <w:rFonts w:ascii="微軟正黑體" w:cs="微軟正黑體" w:eastAsia="微軟正黑體" w:hAnsi="微軟正黑體"/>
          <w:sz w:val="22"/>
          <w:szCs w:val="22"/>
        </w:rPr>
        <w:t xml:space="preserve">組織與AI代理人共同透過資料、模型與回饋偵測並矯正錯誤,改變組織知識與行動理論之集體歷程。</w:t>
      </w:r>
    </w:p>
    <w:p>
      <w:pPr>
        <w:spacing w:after="160" w:line="340"/>
      </w:pPr>
      <w:r>
        <w:rPr>
          <w:rFonts w:ascii="微軟正黑體" w:cs="微軟正黑體" w:eastAsia="微軟正黑體" w:hAnsi="微軟正黑體"/>
          <w:b/>
          <w:bCs/>
          <w:sz w:val="22"/>
          <w:szCs w:val="22"/>
        </w:rPr>
        <w:t xml:space="preserve">學習型政府2.0 Learning Government 2.0　</w:t>
      </w:r>
      <w:r>
        <w:rPr>
          <w:rFonts w:ascii="微軟正黑體" w:cs="微軟正黑體" w:eastAsia="微軟正黑體" w:hAnsi="微軟正黑體"/>
          <w:sz w:val="22"/>
          <w:szCs w:val="22"/>
        </w:rPr>
        <w:t xml:space="preserve">強調實驗導向、證據導向、公民共創導向,政府透過AI即時回饋向資料與演算法學習之治理框架。</w:t>
      </w:r>
    </w:p>
    <w:p>
      <w:pPr>
        <w:spacing w:after="160" w:line="340"/>
      </w:pPr>
      <w:r>
        <w:rPr>
          <w:rFonts w:ascii="微軟正黑體" w:cs="微軟正黑體" w:eastAsia="微軟正黑體" w:hAnsi="微軟正黑體"/>
          <w:b/>
          <w:bCs/>
          <w:sz w:val="22"/>
          <w:szCs w:val="22"/>
        </w:rPr>
        <w:t xml:space="preserve">數位孿生學習 Digital Twin Learning　</w:t>
      </w:r>
      <w:r>
        <w:rPr>
          <w:rFonts w:ascii="微軟正黑體" w:cs="微軟正黑體" w:eastAsia="微軟正黑體" w:hAnsi="微軟正黑體"/>
          <w:sz w:val="22"/>
          <w:szCs w:val="22"/>
        </w:rPr>
        <w:t xml:space="preserve">以數位模型即時映射並模擬政策情境,用於無風險組織與政策學習實驗。</w:t>
      </w:r>
    </w:p>
    <w:p>
      <w:pPr>
        <w:spacing w:after="160" w:line="340"/>
      </w:pPr>
      <w:r>
        <w:rPr>
          <w:rFonts w:ascii="微軟正黑體" w:cs="微軟正黑體" w:eastAsia="微軟正黑體" w:hAnsi="微軟正黑體"/>
          <w:b/>
          <w:bCs/>
          <w:sz w:val="22"/>
          <w:szCs w:val="22"/>
        </w:rPr>
        <w:t xml:space="preserve">AI知識管理 AI-enabled Knowledge Management　</w:t>
      </w:r>
      <w:r>
        <w:rPr>
          <w:rFonts w:ascii="微軟正黑體" w:cs="微軟正黑體" w:eastAsia="微軟正黑體" w:hAnsi="微軟正黑體"/>
          <w:sz w:val="22"/>
          <w:szCs w:val="22"/>
        </w:rPr>
        <w:t xml:space="preserve">以生成式AI進行法規、判例與民意知識萃取與問答之知識管理方法。</w:t>
      </w:r>
    </w:p>
    <w:p>
      <w:pPr>
        <w:spacing w:after="160" w:line="340"/>
      </w:pPr>
      <w:r>
        <w:rPr>
          <w:rFonts w:ascii="微軟正黑體" w:cs="微軟正黑體" w:eastAsia="微軟正黑體" w:hAnsi="微軟正黑體"/>
          <w:b/>
          <w:bCs/>
          <w:sz w:val="22"/>
          <w:szCs w:val="22"/>
        </w:rPr>
        <w:t xml:space="preserve">演算法影響評估 AIA　</w:t>
      </w:r>
      <w:r>
        <w:rPr>
          <w:rFonts w:ascii="微軟正黑體" w:cs="微軟正黑體" w:eastAsia="微軟正黑體" w:hAnsi="微軟正黑體"/>
          <w:sz w:val="22"/>
          <w:szCs w:val="22"/>
        </w:rPr>
        <w:t xml:space="preserve">評估AI系統對隱私、公平與民主之潛在衝擊,亦可作為政策週期中之學習機制。</w:t>
      </w:r>
    </w:p>
    <w:p>
      <w:pPr>
        <w:spacing w:after="160" w:line="340"/>
      </w:pPr>
      <w:r>
        <w:rPr>
          <w:rFonts w:ascii="微軟正黑體" w:cs="微軟正黑體" w:eastAsia="微軟正黑體" w:hAnsi="微軟正黑體"/>
          <w:b/>
          <w:bCs/>
          <w:sz w:val="22"/>
          <w:szCs w:val="22"/>
        </w:rPr>
        <w:t xml:space="preserve">加速的單圈陷阱　</w:t>
      </w:r>
      <w:r>
        <w:rPr>
          <w:rFonts w:ascii="微軟正黑體" w:cs="微軟正黑體" w:eastAsia="微軟正黑體" w:hAnsi="微軟正黑體"/>
          <w:sz w:val="22"/>
          <w:szCs w:val="22"/>
        </w:rPr>
        <w:t xml:space="preserve">組織僅將AI回饋作單圈修正(如調整提示詞)而未觸及資料治理與公平假定之風險。</w:t>
      </w:r>
    </w:p>
    <w:p>
      <w:pPr>
        <w:spacing w:after="180" w:before="360"/>
      </w:pPr>
      <w:r>
        <w:rPr>
          <w:rFonts w:ascii="微軟正黑體" w:cs="微軟正黑體" w:eastAsia="微軟正黑體" w:hAnsi="微軟正黑體"/>
          <w:b/>
          <w:bCs/>
          <w:color w:val="1F4E79"/>
          <w:sz w:val="26"/>
          <w:szCs w:val="26"/>
        </w:rPr>
        <w:t xml:space="preserve">思考與討論</w:t>
      </w:r>
    </w:p>
    <w:p>
      <w:pPr>
        <w:spacing w:after="160" w:line="340"/>
        <w:ind w:left="431" w:hanging="431"/>
      </w:pPr>
      <w:r>
        <w:rPr>
          <w:rFonts w:ascii="微軟正黑體" w:cs="微軟正黑體" w:eastAsia="微軟正黑體" w:hAnsi="微軟正黑體"/>
          <w:sz w:val="22"/>
          <w:szCs w:val="22"/>
        </w:rPr>
        <w:t xml:space="preserve">一、以你所熟悉的政府機關為例,說明其組織學習多屬單圈學習或雙圈學習?防衛性推理與審計糾正如何影響其學習深度?若導入生成式AI輔助公文與決策,可能強化哪一種學習?為何?</w:t>
      </w:r>
    </w:p>
    <w:p>
      <w:pPr>
        <w:spacing w:after="160" w:line="340"/>
        <w:ind w:left="431" w:hanging="431"/>
      </w:pPr>
      <w:r>
        <w:rPr>
          <w:rFonts w:ascii="微軟正黑體" w:cs="微軟正黑體" w:eastAsia="微軟正黑體" w:hAnsi="微軟正黑體"/>
          <w:sz w:val="22"/>
          <w:szCs w:val="22"/>
        </w:rPr>
        <w:t xml:space="preserve">二、Senge指出「系統思考是第五項修練」,請闡釋為何缺乏系統思考將使自我超越、共享願景等修練流於片段?在淨零排放、少子女化等跨域政策中,如何運用AI模擬強化系統思考?</w:t>
      </w:r>
    </w:p>
    <w:p>
      <w:pPr>
        <w:spacing w:after="160" w:line="340"/>
        <w:ind w:left="431" w:hanging="431"/>
      </w:pPr>
      <w:r>
        <w:rPr>
          <w:rFonts w:ascii="微軟正黑體" w:cs="微軟正黑體" w:eastAsia="微軟正黑體" w:hAnsi="微軟正黑體"/>
          <w:sz w:val="22"/>
          <w:szCs w:val="22"/>
        </w:rPr>
        <w:t xml:space="preserve">三、比較傳統型組織與學習型組織在結構、文化與領導角色之差異。台灣文官體制中,哪些制度(如考績、層級核章、預算執行)最阻礙學習型組織之建立?應如何透過組織發展介入加以轉化?</w:t>
      </w:r>
    </w:p>
    <w:p>
      <w:pPr>
        <w:spacing w:after="160" w:line="340"/>
        <w:ind w:left="431" w:hanging="431"/>
      </w:pPr>
      <w:r>
        <w:rPr>
          <w:rFonts w:ascii="微軟正黑體" w:cs="微軟正黑體" w:eastAsia="微軟正黑體" w:hAnsi="微軟正黑體"/>
          <w:sz w:val="22"/>
          <w:szCs w:val="22"/>
        </w:rPr>
        <w:t xml:space="preserve">四、Lewin三階段變革模式如何應用於我國推動AI導入行政流程(如AI輔助社福審查)?請設計解凍、變遷、再凍結各階段之具體策略,並說明如何避免抗拒與倫理風險。</w:t>
      </w:r>
    </w:p>
    <w:p>
      <w:pPr>
        <w:spacing w:after="160" w:line="340"/>
        <w:ind w:left="431" w:hanging="431"/>
      </w:pPr>
      <w:r>
        <w:rPr>
          <w:rFonts w:ascii="微軟正黑體" w:cs="微軟正黑體" w:eastAsia="微軟正黑體" w:hAnsi="微軟正黑體"/>
          <w:sz w:val="22"/>
          <w:szCs w:val="22"/>
        </w:rPr>
        <w:t xml:space="preserve">五、學習型政府2.0強調實驗、證據與公民共創。請以數位發展部政府AI學習社群與TAIDE回饋學習為例,批判分析其如何體現AI增強之雙圈學習?若要以AIA作為學習機制,應如何制度化於政策週期中?</w:t>
      </w:r>
    </w:p>
    <w:p>
      <w:pPr>
        <w:spacing w:after="180" w:before="360"/>
      </w:pPr>
      <w:r>
        <w:rPr>
          <w:rFonts w:ascii="微軟正黑體" w:cs="微軟正黑體" w:eastAsia="微軟正黑體" w:hAnsi="微軟正黑體"/>
          <w:b/>
          <w:bCs/>
          <w:color w:val="1F4E79"/>
          <w:sz w:val="26"/>
          <w:szCs w:val="26"/>
        </w:rPr>
        <w:t xml:space="preserve">教學補充教材</w:t>
      </w:r>
    </w:p>
    <w:p>
      <w:pPr>
        <w:spacing w:after="140" w:before="260"/>
      </w:pPr>
      <w:r>
        <w:rPr>
          <w:rFonts w:ascii="微軟正黑體" w:cs="微軟正黑體" w:eastAsia="微軟正黑體" w:hAnsi="微軟正黑體"/>
          <w:b/>
          <w:bCs/>
          <w:color w:val="2E5C8A"/>
          <w:sz w:val="23"/>
          <w:szCs w:val="23"/>
        </w:rPr>
        <w:t xml:space="preserve">一、教學提示</w:t>
      </w:r>
    </w:p>
    <w:p>
      <w:pPr>
        <w:pStyle w:val="ListParagraph"/>
        <w:numPr>
          <w:ilvl w:val="0"/>
          <w:numId w:val="2"/>
        </w:numPr>
        <w:spacing w:after="120" w:line="340"/>
      </w:pPr>
      <w:r>
        <w:rPr>
          <w:rFonts w:ascii="微軟正黑體" w:cs="微軟正黑體" w:eastAsia="微軟正黑體" w:hAnsi="微軟正黑體"/>
          <w:sz w:val="22"/>
          <w:szCs w:val="22"/>
        </w:rPr>
        <w:t xml:space="preserve">建議以「恆溫器」比喻開場:溫度不對就調開關是單圈,質疑為何設定此溫度是雙圈,反思為何需要恆溫器、誰決定溫度則是三圈,協助學生建立三層次學習之直覺理解。</w:t>
      </w:r>
    </w:p>
    <w:p>
      <w:pPr>
        <w:pStyle w:val="ListParagraph"/>
        <w:numPr>
          <w:ilvl w:val="0"/>
          <w:numId w:val="2"/>
        </w:numPr>
        <w:spacing w:after="120" w:line="340"/>
      </w:pPr>
      <w:r>
        <w:rPr>
          <w:rFonts w:ascii="微軟正黑體" w:cs="微軟正黑體" w:eastAsia="微軟正黑體" w:hAnsi="微軟正黑體"/>
          <w:sz w:val="22"/>
          <w:szCs w:val="22"/>
        </w:rPr>
        <w:t xml:space="preserve">可請學生分享自己或家人在職場中「個人聰明、組織失憶」的親身觀察,再導入4I框架與知識管理工具之討論。</w:t>
      </w:r>
    </w:p>
    <w:p>
      <w:pPr>
        <w:pStyle w:val="ListParagraph"/>
        <w:numPr>
          <w:ilvl w:val="0"/>
          <w:numId w:val="2"/>
        </w:numPr>
        <w:spacing w:after="120" w:line="340"/>
      </w:pPr>
      <w:r>
        <w:rPr>
          <w:rFonts w:ascii="微軟正黑體" w:cs="微軟正黑體" w:eastAsia="微軟正黑體" w:hAnsi="微軟正黑體"/>
          <w:sz w:val="22"/>
          <w:szCs w:val="22"/>
        </w:rPr>
        <w:t xml:space="preserve">四鏈七審表可搭配英國Ofqual事件之公開新聞時間軸與國會質詢紀錄進行小組演練,強調同一框架可用於檢視制度失靈與制度演進兩種不同性質之案例。</w:t>
      </w:r>
    </w:p>
    <w:p>
      <w:pPr>
        <w:pStyle w:val="ListParagraph"/>
        <w:numPr>
          <w:ilvl w:val="0"/>
          <w:numId w:val="2"/>
        </w:numPr>
        <w:spacing w:after="120" w:line="340"/>
      </w:pPr>
      <w:r>
        <w:rPr>
          <w:rFonts w:ascii="微軟正黑體" w:cs="微軟正黑體" w:eastAsia="微軟正黑體" w:hAnsi="微軟正黑體"/>
          <w:sz w:val="22"/>
          <w:szCs w:val="22"/>
        </w:rPr>
        <w:t xml:space="preserve">可安排辯論活動:正方主張「AI回饋應優先用於加速單圈修正,先求穩定運作」,反方主張「AI回饋應優先觸發雙圈反思,即使短期效率較低」,藉此練習學習深度之權衡。</w:t>
      </w:r>
    </w:p>
    <w:p>
      <w:pPr>
        <w:spacing w:after="140" w:before="260"/>
      </w:pPr>
      <w:r>
        <w:rPr>
          <w:rFonts w:ascii="微軟正黑體" w:cs="微軟正黑體" w:eastAsia="微軟正黑體" w:hAnsi="微軟正黑體"/>
          <w:b/>
          <w:bCs/>
          <w:color w:val="2E5C8A"/>
          <w:sz w:val="23"/>
          <w:szCs w:val="23"/>
        </w:rPr>
        <w:t xml:space="preserve">二、常見考點</w:t>
      </w:r>
    </w:p>
    <w:p>
      <w:pPr>
        <w:pStyle w:val="ListParagraph"/>
        <w:numPr>
          <w:ilvl w:val="0"/>
          <w:numId w:val="2"/>
        </w:numPr>
        <w:spacing w:after="120" w:line="340"/>
      </w:pPr>
      <w:r>
        <w:rPr>
          <w:rFonts w:ascii="微軟正黑體" w:cs="微軟正黑體" w:eastAsia="微軟正黑體" w:hAnsi="微軟正黑體"/>
          <w:sz w:val="22"/>
          <w:szCs w:val="22"/>
        </w:rPr>
        <w:t xml:space="preserve">組織學習之定義與四種類型(實驗型、獲取能力型、持續改進型、標竿學習型)之區辨。</w:t>
      </w:r>
    </w:p>
    <w:p>
      <w:pPr>
        <w:pStyle w:val="ListParagraph"/>
        <w:numPr>
          <w:ilvl w:val="0"/>
          <w:numId w:val="2"/>
        </w:numPr>
        <w:spacing w:after="120" w:line="340"/>
      </w:pPr>
      <w:r>
        <w:rPr>
          <w:rFonts w:ascii="微軟正黑體" w:cs="微軟正黑體" w:eastAsia="微軟正黑體" w:hAnsi="微軟正黑體"/>
          <w:sz w:val="22"/>
          <w:szCs w:val="22"/>
        </w:rPr>
        <w:t xml:space="preserve">Argyris與Schön單圈、雙圈、三圈學習之隱喻與公共行政例子對應。</w:t>
      </w:r>
    </w:p>
    <w:p>
      <w:pPr>
        <w:pStyle w:val="ListParagraph"/>
        <w:numPr>
          <w:ilvl w:val="0"/>
          <w:numId w:val="2"/>
        </w:numPr>
        <w:spacing w:after="120" w:line="340"/>
      </w:pPr>
      <w:r>
        <w:rPr>
          <w:rFonts w:ascii="微軟正黑體" w:cs="微軟正黑體" w:eastAsia="微軟正黑體" w:hAnsi="微軟正黑體"/>
          <w:sz w:val="22"/>
          <w:szCs w:val="22"/>
        </w:rPr>
        <w:t xml:space="preserve">Senge五項修練之內涵,尤其系統思考作為核心之申論題型應用。</w:t>
      </w:r>
    </w:p>
    <w:p>
      <w:pPr>
        <w:pStyle w:val="ListParagraph"/>
        <w:numPr>
          <w:ilvl w:val="0"/>
          <w:numId w:val="2"/>
        </w:numPr>
        <w:spacing w:after="120" w:line="340"/>
      </w:pPr>
      <w:r>
        <w:rPr>
          <w:rFonts w:ascii="微軟正黑體" w:cs="微軟正黑體" w:eastAsia="微軟正黑體" w:hAnsi="微軟正黑體"/>
          <w:sz w:val="22"/>
          <w:szCs w:val="22"/>
        </w:rPr>
        <w:t xml:space="preserve">Lewin解凍—變遷—再凍結模型與OD介入技術之層次區辨。</w:t>
      </w:r>
    </w:p>
    <w:p>
      <w:pPr>
        <w:pStyle w:val="ListParagraph"/>
        <w:numPr>
          <w:ilvl w:val="0"/>
          <w:numId w:val="2"/>
        </w:numPr>
        <w:spacing w:after="120" w:line="340"/>
      </w:pPr>
      <w:r>
        <w:rPr>
          <w:rFonts w:ascii="微軟正黑體" w:cs="微軟正黑體" w:eastAsia="微軟正黑體" w:hAnsi="微軟正黑體"/>
          <w:sz w:val="22"/>
          <w:szCs w:val="22"/>
        </w:rPr>
        <w:t xml:space="preserve">第四層組織層設計—文化—學習之整合架構(核心問題、關鍵概念、變革槓桿對照)。</w:t>
      </w:r>
    </w:p>
    <w:p>
      <w:pPr>
        <w:pStyle w:val="ListParagraph"/>
        <w:numPr>
          <w:ilvl w:val="0"/>
          <w:numId w:val="2"/>
        </w:numPr>
        <w:spacing w:after="120" w:line="340"/>
      </w:pPr>
      <w:r>
        <w:rPr>
          <w:rFonts w:ascii="微軟正黑體" w:cs="微軟正黑體" w:eastAsia="微軟正黑體" w:hAnsi="微軟正黑體"/>
          <w:sz w:val="22"/>
          <w:szCs w:val="22"/>
        </w:rPr>
        <w:t xml:space="preserve">學習型政府2.0之三特徵與Senge五項修練之AI升級版對應。</w:t>
      </w:r>
    </w:p>
    <w:p>
      <w:pPr>
        <w:pStyle w:val="ListParagraph"/>
        <w:numPr>
          <w:ilvl w:val="0"/>
          <w:numId w:val="2"/>
        </w:numPr>
        <w:spacing w:after="120" w:line="340"/>
      </w:pPr>
      <w:r>
        <w:rPr>
          <w:rFonts w:ascii="微軟正黑體" w:cs="微軟正黑體" w:eastAsia="微軟正黑體" w:hAnsi="微軟正黑體"/>
          <w:sz w:val="22"/>
          <w:szCs w:val="22"/>
        </w:rPr>
        <w:t xml:space="preserve">「加速的單圈陷阱」之成因與防範機制。</w:t>
      </w:r>
    </w:p>
    <w:p>
      <w:pPr>
        <w:spacing w:after="140" w:before="260"/>
      </w:pPr>
      <w:r>
        <w:rPr>
          <w:rFonts w:ascii="微軟正黑體" w:cs="微軟正黑體" w:eastAsia="微軟正黑體" w:hAnsi="微軟正黑體"/>
          <w:b/>
          <w:bCs/>
          <w:color w:val="2E5C8A"/>
          <w:sz w:val="23"/>
          <w:szCs w:val="23"/>
        </w:rPr>
        <w:t xml:space="preserve">三、課堂活動建議</w:t>
      </w:r>
    </w:p>
    <w:p>
      <w:pPr>
        <w:pStyle w:val="ListParagraph"/>
        <w:numPr>
          <w:ilvl w:val="0"/>
          <w:numId w:val="2"/>
        </w:numPr>
        <w:spacing w:after="120" w:line="340"/>
      </w:pPr>
      <w:r>
        <w:rPr>
          <w:rFonts w:ascii="微軟正黑體" w:cs="微軟正黑體" w:eastAsia="微軟正黑體" w:hAnsi="微軟正黑體"/>
          <w:sz w:val="22"/>
          <w:szCs w:val="22"/>
        </w:rPr>
        <w:t xml:space="preserve">活動一(15分鐘):小組討論本校或所在機關近期一項政策調整,判斷其屬於單圈或雙圈學習,並說明理由。</w:t>
      </w:r>
    </w:p>
    <w:p>
      <w:pPr>
        <w:pStyle w:val="ListParagraph"/>
        <w:numPr>
          <w:ilvl w:val="0"/>
          <w:numId w:val="2"/>
        </w:numPr>
        <w:spacing w:after="120" w:line="340"/>
      </w:pPr>
      <w:r>
        <w:rPr>
          <w:rFonts w:ascii="微軟正黑體" w:cs="微軟正黑體" w:eastAsia="微軟正黑體" w:hAnsi="微軟正黑體"/>
          <w:sz w:val="22"/>
          <w:szCs w:val="22"/>
        </w:rPr>
        <w:t xml:space="preserve">活動二(20分鐘):角色扮演——AI系統設計者、資深承辦人、機關首長、公民團體代表,針對「AI回饋是否應直接觸發政策假定檢討」進行辯論。</w:t>
      </w:r>
    </w:p>
    <w:p>
      <w:pPr>
        <w:pStyle w:val="ListParagraph"/>
        <w:numPr>
          <w:ilvl w:val="0"/>
          <w:numId w:val="2"/>
        </w:numPr>
        <w:spacing w:after="120" w:line="340"/>
      </w:pPr>
      <w:r>
        <w:rPr>
          <w:rFonts w:ascii="微軟正黑體" w:cs="微軟正黑體" w:eastAsia="微軟正黑體" w:hAnsi="微軟正黑體"/>
          <w:sz w:val="22"/>
          <w:szCs w:val="22"/>
        </w:rPr>
        <w:t xml:space="preserve">活動三(課後):可對應延伸思考三之300字「資深同仁隱性知識萃取與AI知識庫建置」計畫大綱寫作,作為課後作業收繳與課堂分享素材。</w:t>
      </w:r>
    </w:p>
    <w:p>
      <w:pPr>
        <w:spacing w:after="140" w:before="260"/>
      </w:pPr>
      <w:r>
        <w:rPr>
          <w:rFonts w:ascii="微軟正黑體" w:cs="微軟正黑體" w:eastAsia="微軟正黑體" w:hAnsi="微軟正黑體"/>
          <w:b/>
          <w:bCs/>
          <w:color w:val="2E5C8A"/>
          <w:sz w:val="23"/>
          <w:szCs w:val="23"/>
        </w:rPr>
        <w:t xml:space="preserve">四、思考與討論教學指引</w:t>
      </w:r>
    </w:p>
    <w:p>
      <w:pPr>
        <w:spacing w:after="200" w:line="360"/>
        <w:ind w:firstLine="431"/>
        <w:jc w:val="both"/>
      </w:pPr>
      <w:r>
        <w:rPr>
          <w:rFonts w:ascii="微軟正黑體" w:cs="微軟正黑體" w:eastAsia="微軟正黑體" w:hAnsi="微軟正黑體"/>
          <w:sz w:val="22"/>
          <w:szCs w:val="22"/>
        </w:rPr>
        <w:t xml:space="preserve">問題一指引:可引導學生區分「流程層次的調整」(單圈)與「目標或規則本身受到質疑」(雙圈),並討論生成式AI因回饋速度快,是否更容易讓組織停留於單圈修正而錯失雙圈反思的機會。</w:t>
      </w:r>
    </w:p>
    <w:p>
      <w:pPr>
        <w:spacing w:after="200" w:line="360"/>
        <w:ind w:firstLine="431"/>
        <w:jc w:val="both"/>
      </w:pPr>
      <w:r>
        <w:rPr>
          <w:rFonts w:ascii="微軟正黑體" w:cs="微軟正黑體" w:eastAsia="微軟正黑體" w:hAnsi="微軟正黑體"/>
          <w:sz w:val="22"/>
          <w:szCs w:val="22"/>
        </w:rPr>
        <w:t xml:space="preserve">問題二指引:可舉少子女化政策為例,說明若僅片段處理生育補助(部分心智模式改善),卻未系統思考托育、職場文化、住房負擔等結構性回饋圈,政策效果將互相抵銷;AI模擬可協助呈現跨部門政策之交互作用。</w:t>
      </w:r>
    </w:p>
    <w:p>
      <w:pPr>
        <w:spacing w:after="200" w:line="360"/>
        <w:ind w:firstLine="431"/>
        <w:jc w:val="both"/>
      </w:pPr>
      <w:r>
        <w:rPr>
          <w:rFonts w:ascii="微軟正黑體" w:cs="微軟正黑體" w:eastAsia="微軟正黑體" w:hAnsi="微軟正黑體"/>
          <w:sz w:val="22"/>
          <w:szCs w:val="22"/>
        </w:rPr>
        <w:t xml:space="preserve">問題三指引:層層核章與過度強調程序正確,容易抑制團隊學習與心智模式之開放討論;可建議透過團隊建立與調查回饋等OD技術,搭配績效制度改革(如將學習貢獻納入考核),逐步鬆動防衛性推理。</w:t>
      </w:r>
    </w:p>
    <w:p>
      <w:pPr>
        <w:spacing w:after="200" w:line="360"/>
        <w:ind w:firstLine="431"/>
        <w:jc w:val="both"/>
      </w:pPr>
      <w:r>
        <w:rPr>
          <w:rFonts w:ascii="微軟正黑體" w:cs="微軟正黑體" w:eastAsia="微軟正黑體" w:hAnsi="微軟正黑體"/>
          <w:sz w:val="22"/>
          <w:szCs w:val="22"/>
        </w:rPr>
        <w:t xml:space="preserve">問題四指引:解凍階段可運用試辦成效落差或民眾陳情數據製造改變動機;變遷階段應提供充分教育訓練與過渡期人工複核;再凍結階段則須將AI輔助審查流程正式納入作業規範與績效指標,並持續監測是否出現新的風險。</w:t>
      </w:r>
    </w:p>
    <w:p>
      <w:pPr>
        <w:spacing w:after="200" w:line="360"/>
        <w:ind w:firstLine="431"/>
        <w:jc w:val="both"/>
      </w:pPr>
      <w:r>
        <w:rPr>
          <w:rFonts w:ascii="微軟正黑體" w:cs="微軟正黑體" w:eastAsia="微軟正黑體" w:hAnsi="微軟正黑體"/>
          <w:sz w:val="22"/>
          <w:szCs w:val="22"/>
        </w:rPr>
        <w:t xml:space="preserve">問題五指引:可從Gov AI Community之跨機關同儕回饋機制切入,說明其如何促成雙圈學習(不僅分享提示詞技巧,更檢討公共任務假定);AIA制度化建議則可參考本章工具構面之政策週期嵌入方式,搭配定期外部審查。</w:t>
      </w:r>
    </w:p>
    <w:p>
      <w:pPr>
        <w:spacing w:after="180" w:before="360"/>
      </w:pPr>
      <w:r>
        <w:rPr>
          <w:rFonts w:ascii="微軟正黑體" w:cs="微軟正黑體" w:eastAsia="微軟正黑體" w:hAnsi="微軟正黑體"/>
          <w:b/>
          <w:bCs/>
          <w:color w:val="1F4E79"/>
          <w:sz w:val="26"/>
          <w:szCs w:val="26"/>
        </w:rPr>
        <w:t xml:space="preserve">延伸閱讀與參考文獻</w:t>
      </w:r>
    </w:p>
    <w:p>
      <w:r>
        <w:t>【本章圖表文獻連動原則】本章圖表區分經典學習模型重繪、公共組織研究整合，以及AI時代本書分析工具。尤其「學習型政府2.0」採教學性命名，並不把它寫成OECD的正式模型。</w:t>
      </w:r>
    </w:p>
    <w:p>
      <w:pPr>
        <w:spacing w:after="240" w:line="340"/>
        <w:ind w:left="576" w:right="576"/>
      </w:pPr>
      <w:r>
        <w:rPr>
          <w:rFonts w:ascii="微軟正黑體" w:cs="微軟正黑體" w:eastAsia="微軟正黑體" w:hAnsi="微軟正黑體"/>
          <w:i/>
          <w:iCs/>
          <w:sz w:val="21"/>
          <w:szCs w:val="21"/>
        </w:rPr>
        <w:t xml:space="preserve">以下文獻資訊依編寫時之公開版本整理,部分機關文件與國際案例之最新進展,建議讀者於正式引用前逐筆查證最新版本。</w:t>
      </w:r>
    </w:p>
    <w:p>
      <w:pPr>
        <w:spacing w:after="200" w:line="360"/>
        <w:ind w:firstLine="431"/>
        <w:jc w:val="both"/>
      </w:pPr>
      <w:r>
        <w:rPr>
          <w:rFonts w:ascii="微軟正黑體" w:cs="微軟正黑體" w:eastAsia="微軟正黑體" w:hAnsi="微軟正黑體"/>
          <w:sz w:val="22"/>
          <w:szCs w:val="22"/>
        </w:rPr>
        <w:t xml:space="preserve">Argyris, C., &amp; Schön, D. (1996). Organizational Learning II. Reading, MA: Addison-Wesley.</w:t>
      </w:r>
    </w:p>
    <w:p>
      <w:pPr>
        <w:spacing w:after="200" w:line="360"/>
        <w:ind w:firstLine="431"/>
        <w:jc w:val="both"/>
      </w:pPr>
      <w:r>
        <w:rPr>
          <w:rFonts w:ascii="微軟正黑體" w:cs="微軟正黑體" w:eastAsia="微軟正黑體" w:hAnsi="微軟正黑體"/>
          <w:sz w:val="22"/>
          <w:szCs w:val="22"/>
        </w:rPr>
        <w:t>Argyris, C., &amp; Schön, D. A. (1978). Organizational Learning: A Theory of Action Perspective. Addison-Wesley.</w:t>
      </w:r>
    </w:p>
    <w:p>
      <w:pPr>
        <w:spacing w:after="200" w:line="360"/>
        <w:ind w:firstLine="431"/>
        <w:jc w:val="both"/>
      </w:pPr>
      <w:r>
        <w:rPr>
          <w:rFonts w:ascii="微軟正黑體" w:cs="微軟正黑體" w:eastAsia="微軟正黑體" w:hAnsi="微軟正黑體"/>
          <w:sz w:val="22"/>
          <w:szCs w:val="22"/>
        </w:rPr>
        <w:t>Argyris, C. (1990). Overcoming Organizational Defenses: Facilitating Organizational Learning. Allyn &amp; Bacon.</w:t>
      </w:r>
    </w:p>
    <w:p>
      <w:pPr>
        <w:spacing w:after="200" w:line="360"/>
        <w:ind w:firstLine="431"/>
        <w:jc w:val="both"/>
      </w:pPr>
      <w:r>
        <w:rPr>
          <w:rFonts w:ascii="微軟正黑體" w:cs="微軟正黑體" w:eastAsia="微軟正黑體" w:hAnsi="微軟正黑體"/>
          <w:sz w:val="22"/>
          <w:szCs w:val="22"/>
        </w:rPr>
        <w:t>Huber, G. P. (1991). Organizational learning: The contributing processes and the literatures. Organization Science, 2(1), 88-115.</w:t>
      </w:r>
    </w:p>
    <w:p>
      <w:pPr>
        <w:spacing w:after="200" w:line="360"/>
        <w:ind w:firstLine="431"/>
        <w:jc w:val="both"/>
      </w:pPr>
      <w:r>
        <w:rPr>
          <w:rFonts w:ascii="微軟正黑體" w:cs="微軟正黑體" w:eastAsia="微軟正黑體" w:hAnsi="微軟正黑體"/>
          <w:sz w:val="22"/>
          <w:szCs w:val="22"/>
        </w:rPr>
        <w:t>Lewin, K. (1947). Frontiers in group dynamics: Concept, method and reality in social science; social equilibria and social change. Human Relations, 1(1), 5-41.</w:t>
      </w:r>
    </w:p>
    <w:p>
      <w:pPr>
        <w:spacing w:after="200" w:line="360"/>
        <w:ind w:firstLine="431"/>
        <w:jc w:val="both"/>
      </w:pPr>
      <w:r>
        <w:rPr>
          <w:rFonts w:ascii="微軟正黑體" w:cs="微軟正黑體" w:eastAsia="微軟正黑體" w:hAnsi="微軟正黑體"/>
          <w:sz w:val="22"/>
          <w:szCs w:val="22"/>
        </w:rPr>
        <w:t>Beckhard, R. (1969). Organization Development: Strategies and Models. Addison-Wesley.</w:t>
      </w:r>
    </w:p>
    <w:p>
      <w:pPr>
        <w:spacing w:after="200" w:line="360"/>
        <w:ind w:firstLine="431"/>
        <w:jc w:val="both"/>
      </w:pPr>
      <w:r>
        <w:rPr>
          <w:rFonts w:ascii="微軟正黑體" w:cs="微軟正黑體" w:eastAsia="微軟正黑體" w:hAnsi="微軟正黑體"/>
          <w:sz w:val="22"/>
          <w:szCs w:val="22"/>
        </w:rPr>
        <w:t>Blake, R. R., &amp; Mouton, J. S. (1964). The Managerial Grid: Key Orientations for Achieving Production Through People. Gulf Publishing.</w:t>
      </w:r>
    </w:p>
    <w:p>
      <w:pPr>
        <w:spacing w:after="200" w:line="360"/>
        <w:ind w:firstLine="431"/>
        <w:jc w:val="both"/>
      </w:pPr>
      <w:r>
        <w:rPr>
          <w:rFonts w:ascii="微軟正黑體" w:cs="微軟正黑體" w:eastAsia="微軟正黑體" w:hAnsi="微軟正黑體"/>
          <w:sz w:val="22"/>
          <w:szCs w:val="22"/>
        </w:rPr>
        <w:t xml:space="preserve">Argote, L. (2021). Organizational Learning: Creating, Retaining and Transferring Knowledge (3rd ed.). Springer.</w:t>
      </w:r>
    </w:p>
    <w:p>
      <w:pPr>
        <w:spacing w:after="200" w:line="360"/>
        <w:ind w:firstLine="431"/>
        <w:jc w:val="both"/>
      </w:pPr>
      <w:r>
        <w:rPr>
          <w:rFonts w:ascii="微軟正黑體" w:cs="微軟正黑體" w:eastAsia="微軟正黑體" w:hAnsi="微軟正黑體"/>
          <w:sz w:val="22"/>
          <w:szCs w:val="22"/>
        </w:rPr>
        <w:t xml:space="preserve">Crossan, M. M., Lane, H. W., &amp; White, R. E. (1999). An organizational learning framework: From intuition to institution. Academy of Management Review, 24(3), 522-537.</w:t>
      </w:r>
    </w:p>
    <w:p>
      <w:pPr>
        <w:spacing w:after="200" w:line="360"/>
        <w:ind w:firstLine="431"/>
        <w:jc w:val="both"/>
      </w:pPr>
      <w:r>
        <w:rPr>
          <w:rFonts w:ascii="微軟正黑體" w:cs="微軟正黑體" w:eastAsia="微軟正黑體" w:hAnsi="微軟正黑體"/>
          <w:sz w:val="22"/>
          <w:szCs w:val="22"/>
        </w:rPr>
        <w:t xml:space="preserve">Senge, P. (1990). The Fifth Discipline: The Art &amp; Practice of the Learning Organization. Doubleday.(2023年繁中修訂版商周出版)</w:t>
      </w:r>
    </w:p>
    <w:p>
      <w:pPr>
        <w:spacing w:after="200" w:line="360"/>
        <w:ind w:firstLine="431"/>
        <w:jc w:val="both"/>
      </w:pPr>
      <w:r>
        <w:rPr>
          <w:rFonts w:ascii="微軟正黑體" w:cs="微軟正黑體" w:eastAsia="微軟正黑體" w:hAnsi="微軟正黑體"/>
          <w:sz w:val="22"/>
          <w:szCs w:val="22"/>
        </w:rPr>
        <w:t xml:space="preserve">Levitt, B., &amp; March, J. G. (1988). Organizational learning. Annual Review of Sociology, 14, 319-340.</w:t>
      </w:r>
    </w:p>
    <w:p>
      <w:pPr>
        <w:spacing w:after="200" w:line="360"/>
        <w:ind w:firstLine="431"/>
        <w:jc w:val="both"/>
      </w:pPr>
      <w:r/>
    </w:p>
    <w:p>
      <w:pPr>
        <w:spacing w:after="200" w:line="360"/>
        <w:ind w:firstLine="431"/>
        <w:jc w:val="both"/>
      </w:pPr>
      <w:r/>
    </w:p>
    <w:p>
      <w:pPr>
        <w:spacing w:after="200" w:line="360"/>
        <w:ind w:firstLine="431"/>
        <w:jc w:val="both"/>
      </w:pPr>
      <w:r>
        <w:rPr>
          <w:rFonts w:ascii="微軟正黑體" w:cs="微軟正黑體" w:eastAsia="微軟正黑體" w:hAnsi="微軟正黑體"/>
          <w:sz w:val="22"/>
          <w:szCs w:val="22"/>
        </w:rPr>
        <w:t xml:space="preserve">European Commission (2024). EU Artificial Intelligence Act (Regulation 2024/...). Official Journal of the EU.</w:t>
      </w:r>
    </w:p>
    <w:p>
      <w:pPr>
        <w:spacing w:after="200" w:line="360"/>
        <w:ind w:firstLine="431"/>
        <w:jc w:val="both"/>
      </w:pPr>
      <w:r>
        <w:rPr>
          <w:rFonts w:ascii="微軟正黑體" w:cs="微軟正黑體" w:eastAsia="微軟正黑體" w:hAnsi="微軟正黑體"/>
          <w:sz w:val="22"/>
          <w:szCs w:val="22"/>
        </w:rPr>
        <w:t xml:space="preserve">NIST (2023). Artificial Intelligence Risk Management Framework (AI RMF 1.0).</w:t>
      </w:r>
    </w:p>
    <w:p>
      <w:pPr>
        <w:spacing w:after="200" w:line="360"/>
        <w:ind w:firstLine="431"/>
        <w:jc w:val="both"/>
      </w:pPr>
      <w:r>
        <w:rPr>
          <w:rFonts w:ascii="微軟正黑體" w:cs="微軟正黑體" w:eastAsia="微軟正黑體" w:hAnsi="微軟正黑體"/>
          <w:sz w:val="22"/>
          <w:szCs w:val="22"/>
        </w:rPr>
        <w:t xml:space="preserve">Ansell, C., &amp; Torfing, J. (2021). Public Governance as Co-creation. Cambridge University Press.</w:t>
      </w:r>
    </w:p>
    <w:p>
      <w:pPr>
        <w:spacing w:after="200" w:line="360"/>
        <w:ind w:firstLine="431"/>
        <w:jc w:val="both"/>
      </w:pPr>
      <w:r>
        <w:rPr>
          <w:rFonts w:ascii="微軟正黑體" w:cs="微軟正黑體" w:eastAsia="微軟正黑體" w:hAnsi="微軟正黑體"/>
          <w:sz w:val="22"/>
          <w:szCs w:val="22"/>
        </w:rPr>
        <w:t xml:space="preserve">French, W. L., &amp; Bell, C. H. (1999). Organization Development (6th ed.). Prentice Hall.</w:t>
      </w:r>
    </w:p>
    <w:p>
      <w:pPr>
        <w:spacing w:after="200" w:line="360"/>
        <w:ind w:firstLine="431"/>
        <w:jc w:val="both"/>
      </w:pPr>
      <w:r/>
    </w:p>
    <w:p>
      <w:pPr>
        <w:spacing w:after="200" w:line="360"/>
        <w:ind w:firstLine="431"/>
        <w:jc w:val="both"/>
      </w:pPr>
      <w:r>
        <w:rPr>
          <w:rFonts w:ascii="微軟正黑體" w:cs="微軟正黑體" w:eastAsia="微軟正黑體" w:hAnsi="微軟正黑體"/>
          <w:sz w:val="22"/>
          <w:szCs w:val="22"/>
        </w:rPr>
        <w:t xml:space="preserve">Kelly, A., et al. (2021). A tale of two algorithms: The appeal and repeal of calculated grades systems in England and Ireland in 2020. British Educational Research Journal, 47(3).</w:t>
      </w:r>
    </w:p>
    <w:p>
      <w:pPr>
        <w:spacing w:after="200" w:line="360"/>
        <w:ind w:firstLine="431"/>
        <w:jc w:val="both"/>
      </w:pPr>
      <w:r>
        <w:rPr>
          <w:rFonts w:ascii="微軟正黑體" w:cs="微軟正黑體" w:eastAsia="微軟正黑體" w:hAnsi="微軟正黑體"/>
          <w:sz w:val="22"/>
          <w:szCs w:val="22"/>
        </w:rPr>
        <w:t xml:space="preserve">Ofqual (2020). Awarding GCSE, AS and A levels in Summer 2020: Interim Report. UK Office of Qualifications and Examinations Regulation.</w:t>
      </w:r>
    </w:p>
    <w:p>
      <w:pPr>
        <w:spacing w:after="200" w:line="360"/>
        <w:ind w:firstLine="431"/>
        <w:jc w:val="both"/>
      </w:pPr>
      <w:r/>
    </w:p>
    <w:p>
      <w:pPr>
        <w:spacing w:after="200" w:line="360"/>
        <w:ind w:firstLine="431"/>
        <w:jc w:val="both"/>
      </w:pPr>
      <w:r/>
    </w:p>
    <w:p>
      <w:pPr>
        <w:spacing w:after="200" w:line="360"/>
        <w:ind w:firstLine="431"/>
        <w:jc w:val="both"/>
      </w:pPr>
      <w:r>
        <w:rPr>
          <w:rFonts w:ascii="微軟正黑體" w:cs="微軟正黑體" w:eastAsia="微軟正黑體" w:hAnsi="微軟正黑體"/>
          <w:sz w:val="22"/>
          <w:szCs w:val="22"/>
        </w:rPr>
        <w:t xml:space="preserve">國家災害防救科技中心(NCDR)。莫拉克颱風災害調查與災防體系改革報告;情境模擬與兵棋推演成果彙編。</w:t>
      </w:r>
    </w:p>
    <w:p>
      <w:pPr>
        <w:spacing w:after="200" w:line="360"/>
        <w:ind w:firstLine="431"/>
        <w:jc w:val="both"/>
      </w:pPr>
      <w:r>
        <w:rPr>
          <w:rFonts w:ascii="微軟正黑體" w:cs="微軟正黑體" w:eastAsia="微軟正黑體" w:hAnsi="微軟正黑體"/>
          <w:sz w:val="22"/>
          <w:szCs w:val="22"/>
        </w:rPr>
        <w:t xml:space="preserve">吳定(2022)。公共組織行為與學習型政府(第3版)。台北:五南。</w:t>
      </w:r>
    </w:p>
    <w:p>
      <w:pPr>
        <w:spacing w:after="200" w:line="360"/>
        <w:ind w:firstLine="431"/>
        <w:jc w:val="both"/>
      </w:pPr>
      <w:r>
        <w:rPr>
          <w:rFonts w:ascii="微軟正黑體" w:cs="微軟正黑體" w:eastAsia="微軟正黑體" w:hAnsi="微軟正黑體"/>
          <w:sz w:val="22"/>
          <w:szCs w:val="22"/>
        </w:rPr>
        <w:t xml:space="preserve">孫本初(2021)。公共管理與組織學習:從官僚到學習型政府。台北:時英。</w:t>
      </w:r>
    </w:p>
    <w:p>
      <w:pPr>
        <w:spacing w:before="120" w:after="80"/>
      </w:pPr>
      <w:r/>
    </w:p>
    <w:p>
      <w:pPr>
        <w:spacing w:before="120" w:after="80"/>
      </w:pPr>
      <w:r>
        <w:t>OECD (2023). Public Employment and Management 2023: Towards a More Flexible Public Service. OECD Publishing. https://doi.org/10.1787/5b378e11-en.</w:t>
      </w:r>
    </w:p>
    <w:p>
      <w:pPr>
        <w:spacing w:before="120" w:after="80"/>
      </w:pPr>
      <w:r>
        <w:rPr>
          <w:sz w:val="22"/>
        </w:rPr>
        <w:t>【全球文獻】Moynihan, D. P., &amp; Landuyt, N. (2009). How Do Public Organizations Learn? Bridging Cultural and Structural Perspectives. Public Administration Review, 69(4), 709–723.</w:t>
      </w:r>
    </w:p>
    <w:p>
      <w:pPr>
        <w:spacing w:before="120" w:after="80"/>
      </w:pPr>
      <w:r>
        <w:rPr>
          <w:sz w:val="22"/>
        </w:rPr>
        <w:t>【全球文獻】Crossan, M. M., Lane, H. W., &amp; White, R. E. (1999). An Organizational Learning Framework: From Intuition to Institution. Academy of Management Review, 24(3), 522–537.</w:t>
      </w:r>
    </w:p>
    <w:p>
      <w:pPr>
        <w:spacing w:before="120" w:after="80"/>
      </w:pPr>
      <w:r>
        <w:rPr>
          <w:sz w:val="22"/>
        </w:rPr>
        <w:t>【全球文獻】Argyris, C., &amp; Schön, D. A. (1978). Organizational Learning: A Theory of Action Perspective. Addison-Wesley.</w:t>
      </w:r>
    </w:p>
    <w:p>
      <w:pPr>
        <w:spacing w:before="120" w:after="80"/>
      </w:pPr>
      <w:r>
        <w:rPr>
          <w:sz w:val="22"/>
        </w:rPr>
        <w:t>【臺灣文獻】王慶城（2002），《行政機關建構學習型組織之研究》，大葉大學事業經營研究所碩士論文。</w:t>
      </w:r>
    </w:p>
    <w:p>
      <w:pPr>
        <w:spacing w:before="120" w:after="80"/>
      </w:pPr>
      <w:r>
        <w:rPr>
          <w:sz w:val="22"/>
        </w:rPr>
        <w:t>【臺灣文獻】林婉莉（2006），《公務部門學習型組織之經營與管理——以行政院人事行政局為例》，國立中山大學高階經營碩士班碩士論文。</w:t>
      </w:r>
    </w:p>
    <w:p>
      <w:pPr>
        <w:spacing w:before="120" w:after="80"/>
      </w:pPr>
      <w:r>
        <w:rPr>
          <w:sz w:val="22"/>
        </w:rPr>
        <w:t>【臺灣文獻】林淑品（2000），《公務機關發展成學習型組織之可行性研究——以勞工保險局為例》，國立臺灣師範大學社會教育研究所碩士論文。</w:t>
      </w:r>
    </w:p>
    <w:p>
      <w:pPr>
        <w:jc w:val="center"/>
      </w:pPr>
      <w:r>
        <w:rPr>
          <w:b/>
        </w:rPr>
        <w:t>圖19-1　臺灣公務員組織學習制度鏈：從培訓到組織能力</w:t>
      </w:r>
    </w:p>
    <w:p>
      <w:pPr>
        <w:spacing w:after="80"/>
      </w:pPr>
      <w:r>
        <w:rPr>
          <w:i/>
          <w:sz w:val="18"/>
        </w:rPr>
        <w:t>資料來源：本書整合臺灣現行公務人力培訓制度與OECD（2023）學習文化觀點；屬本書制度鏈整合圖。</w:t>
      </w:r>
    </w:p>
    <w:p>
      <w:pPr>
        <w:jc w:val="center"/>
      </w:pPr>
      <w:r>
        <w:drawing>
          <wp:inline xmlns:a="http://schemas.openxmlformats.org/drawingml/2006/main" xmlns:pic="http://schemas.openxmlformats.org/drawingml/2006/picture">
            <wp:extent cx="5669280" cy="3130743"/>
            <wp:docPr id="1" name="Picture 1"/>
            <wp:cNvGraphicFramePr>
              <a:graphicFrameLocks noChangeAspect="1"/>
            </wp:cNvGraphicFramePr>
            <a:graphic>
              <a:graphicData uri="http://schemas.openxmlformats.org/drawingml/2006/picture">
                <pic:pic>
                  <pic:nvPicPr>
                    <pic:cNvPr id="0" name="圖19-1_台灣公務員組織學習制度鏈.png"/>
                    <pic:cNvPicPr/>
                  </pic:nvPicPr>
                  <pic:blipFill>
                    <a:blip r:embed="rId6"/>
                    <a:stretch>
                      <a:fillRect/>
                    </a:stretch>
                  </pic:blipFill>
                  <pic:spPr>
                    <a:xfrm>
                      <a:off x="0" y="0"/>
                      <a:ext cx="5669280" cy="3130743"/>
                    </a:xfrm>
                    <a:prstGeom prst="rect"/>
                  </pic:spPr>
                </pic:pic>
              </a:graphicData>
            </a:graphic>
          </wp:inline>
        </w:drawing>
      </w:r>
    </w:p>
    <w:p>
      <w:pPr>
        <w:jc w:val="center"/>
      </w:pPr>
      <w:r>
        <w:rPr>
          <w:b/>
        </w:rPr>
        <w:t>圖19-2　組織學習三層次循環：單圈、雙圈與學習機制</w:t>
      </w:r>
    </w:p>
    <w:p>
      <w:pPr>
        <w:spacing w:after="80"/>
      </w:pPr>
      <w:r>
        <w:rPr>
          <w:i/>
          <w:sz w:val="18"/>
        </w:rPr>
        <w:t>資料來源：Argyris &amp; Schön（1978, 1996）；三層次循環為本書教學化重繪。</w:t>
      </w:r>
    </w:p>
    <w:p>
      <w:pPr>
        <w:jc w:val="center"/>
      </w:pPr>
      <w:r>
        <w:drawing>
          <wp:inline xmlns:a="http://schemas.openxmlformats.org/drawingml/2006/main" xmlns:pic="http://schemas.openxmlformats.org/drawingml/2006/picture">
            <wp:extent cx="5669280" cy="3130743"/>
            <wp:docPr id="2" name="Picture 2"/>
            <wp:cNvGraphicFramePr>
              <a:graphicFrameLocks noChangeAspect="1"/>
            </wp:cNvGraphicFramePr>
            <a:graphic>
              <a:graphicData uri="http://schemas.openxmlformats.org/drawingml/2006/picture">
                <pic:pic>
                  <pic:nvPicPr>
                    <pic:cNvPr id="0" name="圖19-2_組織學習三層次循環.png"/>
                    <pic:cNvPicPr/>
                  </pic:nvPicPr>
                  <pic:blipFill>
                    <a:blip r:embed="rId8"/>
                    <a:stretch>
                      <a:fillRect/>
                    </a:stretch>
                  </pic:blipFill>
                  <pic:spPr>
                    <a:xfrm>
                      <a:off x="0" y="0"/>
                      <a:ext cx="5669280" cy="3130743"/>
                    </a:xfrm>
                    <a:prstGeom prst="rect"/>
                  </pic:spPr>
                </pic:pic>
              </a:graphicData>
            </a:graphic>
          </wp:inline>
        </w:drawing>
      </w:r>
    </w:p>
    <w:p>
      <w:pPr>
        <w:jc w:val="center"/>
      </w:pPr>
      <w:r>
        <w:rPr>
          <w:b/>
        </w:rPr>
        <w:t>圖19-3　組織設計、文化、學習與變革的整合關係</w:t>
      </w:r>
    </w:p>
    <w:p>
      <w:pPr>
        <w:spacing w:after="80"/>
      </w:pPr>
      <w:r>
        <w:rPr>
          <w:i/>
          <w:sz w:val="18"/>
        </w:rPr>
        <w:t>資料來源：Mintzberg（1983）；Schein（2010）；Crossan et al.（1999）；Moynihan &amp; Landuyt（2009）；屬本書跨章整合圖。</w:t>
      </w:r>
    </w:p>
    <w:p>
      <w:pPr>
        <w:jc w:val="center"/>
      </w:pPr>
      <w:r>
        <w:drawing>
          <wp:inline xmlns:a="http://schemas.openxmlformats.org/drawingml/2006/main" xmlns:pic="http://schemas.openxmlformats.org/drawingml/2006/picture">
            <wp:extent cx="5669280" cy="2881583"/>
            <wp:docPr id="3" name="Picture 3"/>
            <wp:cNvGraphicFramePr>
              <a:graphicFrameLocks noChangeAspect="1"/>
            </wp:cNvGraphicFramePr>
            <a:graphic>
              <a:graphicData uri="http://schemas.openxmlformats.org/drawingml/2006/picture">
                <pic:pic>
                  <pic:nvPicPr>
                    <pic:cNvPr id="0" name="圖19-3_組織設計文化學習變革整合圖.png"/>
                    <pic:cNvPicPr/>
                  </pic:nvPicPr>
                  <pic:blipFill>
                    <a:blip r:embed="rId9"/>
                    <a:stretch>
                      <a:fillRect/>
                    </a:stretch>
                  </pic:blipFill>
                  <pic:spPr>
                    <a:xfrm>
                      <a:off x="0" y="0"/>
                      <a:ext cx="5669280" cy="2881583"/>
                    </a:xfrm>
                    <a:prstGeom prst="rect"/>
                  </pic:spPr>
                </pic:pic>
              </a:graphicData>
            </a:graphic>
          </wp:inline>
        </w:drawing>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前瞻:通往第五層管理運作</w:t>
            </w:r>
          </w:p>
          <w:p>
            <w:pPr>
              <w:spacing w:line="340"/>
              <w:jc w:val="both"/>
            </w:pPr>
            <w:r>
              <w:rPr>
                <w:rFonts w:ascii="微軟正黑體" w:cs="微軟正黑體" w:eastAsia="微軟正黑體" w:hAnsi="微軟正黑體"/>
                <w:sz w:val="21"/>
                <w:szCs w:val="21"/>
              </w:rPr>
              <w:t xml:space="preserve">本章完成了組織學習與發展之系統梳理,從單圈╱雙圈╱三圈學習、Senge五項修練與學習型組織,到組織發展(OD)之行為科學基礎,再到AI時代學習型政府2.0之治理框架,指出快速的AI回饋若未搭配雙圈反思機制,極易使組織陷入「學得更快卻學不深」之單圈陷阱。至此,本書第四層組織層——組織本質論(第十五章)、我國體制設計(第十六章)、組織設計古典原理(第十七章)、組織文化(第十八章)、組織學習與發展(第十九章)——已完整鋪陳,構成公共組織從結構、文化到動態演化能力之完整圖像。下一部分將邁入第五層「管理運作」,以第二十章「策略管理:AI增強與主權AI戰略」為起點,探討策略管理、行政領導、人事管理、財務管理、電子化政府、績效管理與溝通危機管理等七項核心構面——若第四層回答的是「組織是什麼、如何運作與演化」,第五層將回答「組織要往何處去,又該由誰、以何種資源與能力帶領它抵達」。</w:t>
            </w:r>
          </w:p>
        </w:tc>
      </w:tr>
    </w:tbl>
    <w:p>
      <w:r>
        <w:t>Moynihan, D. P., &amp; Landuyt, N. (2009). How Do Public Organizations Learn? Bridging Cultural and Structural Perspectives. Public Administration Review, 69(6), 1097–1105. https://doi.org/10.1111/j.1540-6210.2009.02067.x.</w:t>
      </w:r>
    </w:p>
    <w:p>
      <w:r>
        <w:t>Crossan, M. M., Lane, H. W., &amp; White, R. E. (1999). An organizational learning framework: From intuition to institution. Academy of Management Review, 24(3), 522–537.</w:t>
      </w:r>
    </w:p>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6"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2026-08-31T09:33:25.055Z</dcterms:created>
  <dcterms:modified xsi:type="dcterms:W3CDTF">2026-08-31T09:33:25.055Z</dcterms:modified>
</cp:coreProperties>
</file>

<file path=docProps/custom.xml><?xml version="1.0" encoding="utf-8"?>
<Properties xmlns="http://schemas.openxmlformats.org/officeDocument/2006/custom-properties" xmlns:vt="http://schemas.openxmlformats.org/officeDocument/2006/docPropsVTypes"/>
</file>