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400"/>
        <w:jc w:val="center"/>
      </w:pPr>
      <w:r>
        <w:rPr>
          <w:rFonts w:ascii="微軟正黑體" w:cs="微軟正黑體" w:eastAsia="微軟正黑體" w:hAnsi="微軟正黑體"/>
          <w:b/>
          <w:bCs/>
          <w:sz w:val="44"/>
          <w:szCs w:val="44"/>
        </w:rPr>
        <w:t>行政學教科書</w:t>
      </w:r>
    </w:p>
    <w:p>
      <w:pPr>
        <w:spacing w:after="60"/>
        <w:jc w:val="center"/>
      </w:pPr>
      <w:r>
        <w:rPr>
          <w:rFonts w:ascii="微軟正黑體" w:cs="微軟正黑體" w:eastAsia="微軟正黑體" w:hAnsi="微軟正黑體"/>
          <w:b/>
          <w:bCs/>
          <w:color w:val="444444"/>
          <w:sz w:val="30"/>
          <w:szCs w:val="30"/>
        </w:rPr>
        <w:t xml:space="preserve">第十四章　政策評估與回饋</w:t>
      </w:r>
    </w:p>
    <w:p>
      <w:pPr>
        <w:spacing w:after="400"/>
        <w:jc w:val="center"/>
      </w:pPr>
      <w:r>
        <w:rPr>
          <w:rFonts w:ascii="微軟正黑體" w:cs="微軟正黑體" w:eastAsia="微軟正黑體" w:hAnsi="微軟正黑體"/>
          <w:i/>
          <w:iCs/>
          <w:color w:val="777777"/>
          <w:sz w:val="22"/>
          <w:szCs w:val="22"/>
        </w:rPr>
        <w:t xml:space="preserve">——從績效審查到演算法治理:政策體系層次的總結與回饋閉環</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60"/>
              <w:left w:type="dxa" w:w="220"/>
              <w:bottom w:type="dxa" w:w="160"/>
              <w:right w:type="dxa" w:w="220"/>
            </w:tcMar>
          </w:tcPr>
          <w:p>
            <w:pPr>
              <w:spacing w:after="100"/>
            </w:pPr>
            <w:r>
              <w:rPr>
                <w:rFonts w:ascii="微軟正黑體" w:cs="微軟正黑體" w:eastAsia="微軟正黑體" w:hAnsi="微軟正黑體"/>
                <w:b/>
                <w:bCs/>
                <w:color w:val="1F4E79"/>
                <w:sz w:val="22"/>
                <w:szCs w:val="22"/>
              </w:rPr>
              <w:t xml:space="preserve">本章在25座標的位置</w:t>
            </w:r>
          </w:p>
          <w:p>
            <w:pPr>
              <w:spacing w:line="340"/>
              <w:jc w:val="both"/>
            </w:pPr>
            <w:r>
              <w:rPr>
                <w:rFonts w:ascii="微軟正黑體" w:cs="微軟正黑體" w:eastAsia="微軟正黑體" w:hAnsi="微軟正黑體"/>
                <w:sz w:val="21"/>
                <w:szCs w:val="21"/>
              </w:rPr>
              <w:t xml:space="preserve">本章由第十三章「政策執行」推進至政策循環最後階段「政策評估與回饋」,座標定位於「政策體系 × 社會」單位,依六階段模型對應「政策評估」(PE-5評估指標鎖定)與「政策回饋」(PE-6回饋自動化)兩階段。若評估模型與規劃、制訂、執行階段共用同一分類邏輯,可能形成自我驗證迴路,對應理由鏈之「邏輯瑕疵」;若評估結論未經具政治課責之審視即導入模型再訓練,回饋即由公共審議轉為自動更新,對應責任鏈之「課責赤字」。對應治理審計為理由說明審計、資料代表性審計、隱私與資安審計及民主課責審計,檢視指標形成過程、替代因果模型是否公開,以及從RIA到演算法影響評估(AIA)之轉型能否維持外部監督與救濟管道。本章作為政策體系層之總結章,承接政策概念、分析規劃、合法化與執行,完整呈現政策科學的終章如何回應民主課責與AI治理挑戰。</w:t>
            </w:r>
          </w:p>
        </w:tc>
      </w:tr>
    </w:tbl>
    <w:p>
      <w:pPr>
        <w:spacing w:after="200"/>
      </w:pPr>
    </w:p>
    <w:p>
      <w:pPr>
        <w:spacing w:after="180" w:before="360"/>
      </w:pPr>
      <w:r>
        <w:rPr>
          <w:rFonts w:ascii="微軟正黑體" w:cs="微軟正黑體" w:eastAsia="微軟正黑體" w:hAnsi="微軟正黑體"/>
          <w:b/>
          <w:bCs/>
          <w:color w:val="1F4E79"/>
          <w:sz w:val="26"/>
          <w:szCs w:val="26"/>
        </w:rPr>
        <w:t xml:space="preserve">學習目標</w:t>
      </w:r>
    </w:p>
    <w:p>
      <w:pPr>
        <w:pStyle w:val="ListParagraph"/>
        <w:numPr>
          <w:ilvl w:val="0"/>
          <w:numId w:val="2"/>
        </w:numPr>
        <w:spacing w:after="120" w:line="340"/>
      </w:pPr>
      <w:r>
        <w:rPr>
          <w:rFonts w:ascii="微軟正黑體" w:cs="微軟正黑體" w:eastAsia="微軟正黑體" w:hAnsi="微軟正黑體"/>
          <w:sz w:val="22"/>
          <w:szCs w:val="22"/>
        </w:rPr>
        <w:t xml:space="preserve">能界定政策評估的意涵、功能與種類,區辨預評估、過程評估、結果評估(產出與影響)。</w:t>
      </w:r>
    </w:p>
    <w:p>
      <w:pPr>
        <w:pStyle w:val="ListParagraph"/>
        <w:numPr>
          <w:ilvl w:val="0"/>
          <w:numId w:val="2"/>
        </w:numPr>
        <w:spacing w:after="120" w:line="340"/>
      </w:pPr>
      <w:r>
        <w:rPr>
          <w:rFonts w:ascii="微軟正黑體" w:cs="微軟正黑體" w:eastAsia="微軟正黑體" w:hAnsi="微軟正黑體"/>
          <w:sz w:val="22"/>
          <w:szCs w:val="22"/>
        </w:rPr>
        <w:t xml:space="preserve">能說明Raiffa四種錯誤類型,避免以正確方法解決錯誤問題的第三類型錯誤。</w:t>
      </w:r>
    </w:p>
    <w:p>
      <w:pPr>
        <w:pStyle w:val="ListParagraph"/>
        <w:numPr>
          <w:ilvl w:val="0"/>
          <w:numId w:val="2"/>
        </w:numPr>
        <w:spacing w:after="120" w:line="340"/>
      </w:pPr>
      <w:r>
        <w:rPr>
          <w:rFonts w:ascii="微軟正黑體" w:cs="微軟正黑體" w:eastAsia="微軟正黑體" w:hAnsi="微軟正黑體"/>
          <w:sz w:val="22"/>
          <w:szCs w:val="22"/>
        </w:rPr>
        <w:t xml:space="preserve">能闡述管制影響評估(RIA)的意涵、目的與操作步驟,並掌握其向演算法影響評估(AIA)轉型之脈絡。</w:t>
      </w:r>
    </w:p>
    <w:p>
      <w:pPr>
        <w:pStyle w:val="ListParagraph"/>
        <w:numPr>
          <w:ilvl w:val="0"/>
          <w:numId w:val="2"/>
        </w:numPr>
        <w:spacing w:after="120" w:line="340"/>
      </w:pPr>
      <w:r>
        <w:rPr>
          <w:rFonts w:ascii="微軟正黑體" w:cs="微軟正黑體" w:eastAsia="微軟正黑體" w:hAnsi="微軟正黑體"/>
          <w:sz w:val="22"/>
          <w:szCs w:val="22"/>
        </w:rPr>
        <w:t xml:space="preserve">能運用Dunn六項評估標準(效能、效率、充分、回應、適當、公正)與四種結果處理模式。</w:t>
      </w:r>
    </w:p>
    <w:p>
      <w:pPr>
        <w:pStyle w:val="ListParagraph"/>
        <w:numPr>
          <w:ilvl w:val="0"/>
          <w:numId w:val="2"/>
        </w:numPr>
        <w:spacing w:after="120" w:line="340"/>
      </w:pPr>
      <w:r>
        <w:rPr>
          <w:rFonts w:ascii="微軟正黑體" w:cs="微軟正黑體" w:eastAsia="微軟正黑體" w:hAnsi="微軟正黑體"/>
          <w:sz w:val="22"/>
          <w:szCs w:val="22"/>
        </w:rPr>
        <w:t xml:space="preserve">能解析Guba &amp; Lincoln四代評估演進,並銜接第五代演算法評估。</w:t>
      </w:r>
    </w:p>
    <w:p>
      <w:pPr>
        <w:pStyle w:val="ListParagraph"/>
        <w:numPr>
          <w:ilvl w:val="0"/>
          <w:numId w:val="2"/>
        </w:numPr>
        <w:spacing w:after="120" w:line="340"/>
      </w:pPr>
      <w:r>
        <w:rPr>
          <w:rFonts w:ascii="微軟正黑體" w:cs="微軟正黑體" w:eastAsia="微軟正黑體" w:hAnsi="微軟正黑體"/>
          <w:sz w:val="22"/>
          <w:szCs w:val="22"/>
        </w:rPr>
        <w:t xml:space="preserve">能分析政策評估的障礙(黑箱、NIMBY)、政策溝通、民意特性與審議民主工具(世界咖啡館)。</w:t>
      </w:r>
    </w:p>
    <w:p>
      <w:pPr>
        <w:pStyle w:val="ListParagraph"/>
        <w:numPr>
          <w:ilvl w:val="0"/>
          <w:numId w:val="2"/>
        </w:numPr>
        <w:spacing w:after="120" w:line="340"/>
      </w:pPr>
      <w:r>
        <w:rPr>
          <w:rFonts w:ascii="微軟正黑體" w:cs="微軟正黑體" w:eastAsia="微軟正黑體" w:hAnsi="微軟正黑體"/>
          <w:sz w:val="22"/>
          <w:szCs w:val="22"/>
        </w:rPr>
        <w:t xml:space="preserve">能闡釋政策變遷四類型、多元流程模式(MSF)與倡導聯盟架構(ACF)。</w:t>
      </w:r>
    </w:p>
    <w:p>
      <w:pPr>
        <w:pStyle w:val="ListParagraph"/>
        <w:numPr>
          <w:ilvl w:val="0"/>
          <w:numId w:val="2"/>
        </w:numPr>
        <w:spacing w:after="120" w:line="340"/>
      </w:pPr>
      <w:r>
        <w:rPr>
          <w:rFonts w:ascii="微軟正黑體" w:cs="微軟正黑體" w:eastAsia="微軟正黑體" w:hAnsi="微軟正黑體"/>
          <w:sz w:val="22"/>
          <w:szCs w:val="22"/>
        </w:rPr>
        <w:t xml:space="preserve">能運用25-3-3-4-7框架,辨識政策評估階段AI鑲嵌後之責任鏈風險,並設計四鏈七審之因應機制。</w:t>
      </w:r>
    </w:p>
    <w:p>
      <w:pPr>
        <w:spacing w:after="180" w:before="360"/>
      </w:pPr>
      <w:r>
        <w:rPr>
          <w:rFonts w:ascii="微軟正黑體" w:cs="微軟正黑體" w:eastAsia="微軟正黑體" w:hAnsi="微軟正黑體"/>
          <w:b/>
          <w:bCs/>
          <w:color w:val="1F4E79"/>
          <w:sz w:val="26"/>
          <w:szCs w:val="26"/>
        </w:rPr>
        <w:t xml:space="preserve">開場與定位</w:t>
      </w:r>
    </w:p>
    <w:p>
      <w:pPr>
        <w:spacing w:after="240" w:line="340"/>
        <w:ind w:left="576" w:right="576"/>
      </w:pPr>
      <w:r>
        <w:rPr>
          <w:rFonts w:ascii="微軟正黑體" w:cs="微軟正黑體" w:eastAsia="微軟正黑體" w:hAnsi="微軟正黑體"/>
          <w:i/>
          <w:iCs/>
          <w:sz w:val="21"/>
          <w:szCs w:val="21"/>
        </w:rPr>
        <w:t xml:space="preserve">「始吾於人也,聽其言而信其行;今吾於人也,聽其言而觀其行。」——《論語·公冶長》</w:t>
      </w:r>
    </w:p>
    <w:p>
      <w:pPr>
        <w:spacing w:after="200" w:line="360"/>
        <w:ind w:firstLine="431"/>
        <w:jc w:val="both"/>
      </w:pPr>
      <w:r>
        <w:rPr>
          <w:rFonts w:ascii="微軟正黑體" w:cs="微軟正黑體" w:eastAsia="微軟正黑體" w:hAnsi="微軟正黑體"/>
          <w:sz w:val="22"/>
          <w:szCs w:val="22"/>
        </w:rPr>
        <w:t xml:space="preserve">承第十三章「政策執行」之討論——政策已被落實,行政機關面對政策循環的最後一環,也是下一輪循環的起點:「這個政策究竟做得如何?該調整、持續、終止,還是重來?」政策評估(policy evaluation)正是對政策制定、合法化與執行進行系統性檢視,並將結果轉化為回饋(feedback)的過程。孔子兩千多年前對「聽言」與「觀行」的區辨,恰是政策評估的核心精神:政策文本寫得再周延、政策論述說得再動聽,終究要以實際執行後的結果來檢驗。</w:t>
      </w:r>
    </w:p>
    <w:p>
      <w:pPr>
        <w:spacing w:after="200" w:line="360"/>
        <w:ind w:firstLine="431"/>
        <w:jc w:val="both"/>
      </w:pPr>
      <w:r>
        <w:rPr>
          <w:rFonts w:ascii="微軟正黑體" w:cs="微軟正黑體" w:eastAsia="微軟正黑體" w:hAnsi="微軟正黑體"/>
          <w:sz w:val="22"/>
          <w:szCs w:val="22"/>
        </w:rPr>
        <w:t xml:space="preserve">本章從政策評估的意涵與種類出發,經管制影響評估(RIA)的操作實務、Dunn六項評估標準與Guba &amp; Lincoln四代評估演進,進入政策評估的障礙、政策變遷與政策溝通、民意及公民參與的民主基礎,最後以AI治理專節深入辨證:當評估指標本身可能由演算法設計,評估與回饋機制又該如何確保自己不淪為另一層需要被評估的黑箱?</w:t>
      </w:r>
    </w:p>
    <w:p>
      <w:pPr>
        <w:spacing w:after="180" w:before="360"/>
      </w:pPr>
      <w:r>
        <w:rPr>
          <w:rFonts w:ascii="微軟正黑體" w:cs="微軟正黑體" w:eastAsia="微軟正黑體" w:hAnsi="微軟正黑體"/>
          <w:b/>
          <w:bCs/>
          <w:color w:val="1F4E79"/>
          <w:sz w:val="26"/>
          <w:szCs w:val="26"/>
        </w:rPr>
        <w:t xml:space="preserve">本章概念架構</w:t>
      </w:r>
    </w:p>
    <w:p>
      <w:pPr>
        <w:spacing w:after="200" w:line="360"/>
        <w:ind w:firstLine="431"/>
        <w:jc w:val="both"/>
      </w:pPr>
      <w:r>
        <w:t>本章可分為四個相互銜接的分析層次：第一，評估基礎與操作；第二，全球新評估典範與模型批判；第三，臺灣政府制度與案例；第四，政策溝通、公民參與、政策變遷與AI影響評估。如此可把傳統政策評估的「測量與判斷」與當代政策評估的「因果、機制、公平、使用與課責」整合起來。</w:t>
      </w:r>
    </w:p>
    <w:p>
      <w:pPr>
        <w:pStyle w:val="ListParagraph"/>
        <w:numPr>
          <w:ilvl w:val="0"/>
          <w:numId w:val="2"/>
        </w:numPr>
        <w:spacing w:after="120" w:line="340"/>
      </w:pPr>
      <w:r>
        <w:rPr>
          <w:rFonts w:ascii="微軟正黑體" w:cs="微軟正黑體" w:eastAsia="微軟正黑體" w:hAnsi="微軟正黑體"/>
          <w:sz w:val="22"/>
          <w:szCs w:val="22"/>
        </w:rPr>
        <w:t xml:space="preserve">評估基礎與操作:意涵、功能與種類(預評估、過程評估、結果評估);Raiffa四類型錯誤;管制影響評估(RIA)之目的與操作步驟;Dunn六項標準與CBA/CEA;評估結果四種處理模式。</w:t>
      </w:r>
    </w:p>
    <w:p>
      <w:pPr>
        <w:pStyle w:val="ListParagraph"/>
        <w:numPr>
          <w:ilvl w:val="0"/>
          <w:numId w:val="2"/>
        </w:numPr>
        <w:spacing w:after="120" w:line="340"/>
      </w:pPr>
      <w:r>
        <w:t>評估演進與政策變遷：Guba &amp; Lincoln四代評估、評估障礙、政策變遷、多元流程模式（MSF）與倡導聯盟架構（ACF），並銜接政策溝通與公民參與。</w:t>
      </w:r>
    </w:p>
    <w:p>
      <w:pPr>
        <w:pStyle w:val="ListParagraph"/>
        <w:numPr>
          <w:ilvl w:val="0"/>
          <w:numId w:val="2"/>
        </w:numPr>
        <w:spacing w:after="120" w:line="340"/>
      </w:pPr>
      <w:r>
        <w:rPr>
          <w:rFonts w:ascii="微軟正黑體" w:cs="微軟正黑體" w:eastAsia="微軟正黑體" w:hAnsi="微軟正黑體"/>
          <w:sz w:val="22"/>
          <w:szCs w:val="22"/>
        </w:rPr>
        <w:t xml:space="preserve">民主基礎與AI課責:政策溝通與民意特性;公民參與、審議式民調與世界咖啡館;AI治理專節之治理挑戰、從RIA到AIA之理論回應、工具箱與台灣案例。</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60"/>
              <w:left w:type="dxa" w:w="220"/>
              <w:bottom w:type="dxa" w:w="160"/>
              <w:right w:type="dxa" w:w="220"/>
            </w:tcMar>
          </w:tcPr>
          <w:p>
            <w:pPr>
              <w:spacing w:after="100"/>
            </w:pPr>
            <w:r>
              <w:rPr>
                <w:rFonts w:ascii="微軟正黑體" w:cs="微軟正黑體" w:eastAsia="微軟正黑體" w:hAnsi="微軟正黑體"/>
                <w:b/>
                <w:bCs/>
                <w:color w:val="1F4E79"/>
                <w:sz w:val="22"/>
                <w:szCs w:val="22"/>
              </w:rPr>
              <w:t xml:space="preserve">本章分析流程</w:t>
            </w:r>
          </w:p>
          <w:p>
            <w:pPr>
              <w:spacing w:line="340"/>
              <w:jc w:val="both"/>
            </w:pPr>
            <w:r>
              <w:rPr>
                <w:rFonts w:ascii="微軟正黑體" w:cs="微軟正黑體" w:eastAsia="微軟正黑體" w:hAnsi="微軟正黑體"/>
                <w:sz w:val="21"/>
                <w:szCs w:val="21"/>
              </w:rPr>
              <w:t xml:space="preserve">政策已執行(承第十三章)　→　預評估╱過程評估╱結果評估(產出與影響)　→　依Dunn六標準與CBA/CEA判斷　→　政策調整╱持續╱終止╱重組　→　政策溝通與公民參與　→　回饋銜接下一輪政策循環</w:t>
            </w:r>
          </w:p>
        </w:tc>
      </w:tr>
    </w:tbl>
    <w:p>
      <w:pPr>
        <w:spacing w:after="200" w:line="360"/>
        <w:ind w:firstLine="431"/>
        <w:jc w:val="both"/>
      </w:pPr>
      <w:r>
        <w:rPr>
          <w:rFonts w:ascii="微軟正黑體" w:cs="微軟正黑體" w:eastAsia="微軟正黑體" w:hAnsi="微軟正黑體"/>
          <w:sz w:val="22"/>
          <w:szCs w:val="22"/>
        </w:rPr>
        <w:t xml:space="preserve">這個架構顯示,政策評估不是政策循環的句點,而是下一輪循環的起點——而AI與演算法評估工具的加入,正在為這個回饋機制帶來新的效率,也帶來評估本身淪為黑箱的新風險。</w:t>
      </w:r>
    </w:p>
    <w:p>
      <w:pPr>
        <w:spacing w:after="180" w:before="360"/>
      </w:pPr>
      <w:r>
        <w:rPr>
          <w:rFonts w:ascii="微軟正黑體" w:cs="微軟正黑體" w:eastAsia="微軟正黑體" w:hAnsi="微軟正黑體"/>
          <w:b/>
          <w:bCs/>
          <w:color w:val="1F4E79"/>
          <w:sz w:val="26"/>
          <w:szCs w:val="26"/>
        </w:rPr>
        <w:t xml:space="preserve">第一節　政策評估的意涵與功能</w:t>
      </w:r>
    </w:p>
    <w:p>
      <w:pPr>
        <w:spacing w:after="140" w:before="260"/>
      </w:pPr>
      <w:r>
        <w:rPr>
          <w:rFonts w:ascii="微軟正黑體" w:cs="微軟正黑體" w:eastAsia="微軟正黑體" w:hAnsi="微軟正黑體"/>
          <w:b/>
          <w:bCs/>
          <w:color w:val="2E5C8A"/>
          <w:sz w:val="23"/>
          <w:szCs w:val="23"/>
        </w:rPr>
        <w:t xml:space="preserve">一、意涵</w:t>
      </w:r>
    </w:p>
    <w:p>
      <w:pPr>
        <w:spacing w:after="200" w:line="360"/>
        <w:ind w:firstLine="431"/>
        <w:jc w:val="both"/>
      </w:pPr>
      <w:r>
        <w:rPr>
          <w:rFonts w:ascii="微軟正黑體" w:cs="微軟正黑體" w:eastAsia="微軟正黑體" w:hAnsi="微軟正黑體"/>
          <w:sz w:val="22"/>
          <w:szCs w:val="22"/>
        </w:rPr>
        <w:t xml:space="preserve">政策評估(policy evaluation)係以科學方法與系統性證據蒐集,對政策的問題認定、規劃內容、執行過程與結果影響進行價值判斷之活動。Dunn(2018)指出,評估的功能在於:提供有關政策績效的資訊、澄清與批判既定政策目標的價值基礎,並有助於其他政策分析方法(如問題建構、預測、推薦)的應用。</w:t>
      </w:r>
    </w:p>
    <w:p>
      <w:pPr>
        <w:spacing w:after="200" w:line="360"/>
        <w:ind w:firstLine="431"/>
        <w:jc w:val="both"/>
      </w:pPr>
      <w:r>
        <w:rPr>
          <w:rFonts w:ascii="微軟正黑體" w:cs="微軟正黑體" w:eastAsia="微軟正黑體" w:hAnsi="微軟正黑體"/>
          <w:sz w:val="22"/>
          <w:szCs w:val="22"/>
        </w:rPr>
        <w:t xml:space="preserve">其本質具有雙重特性:既重事實判斷(政策是否達成目標),亦重價值判斷(政策目標本身是否值得追求);既具回溯性(檢討已執行政策),亦具前瞻性(作為未來政策修正依據)。評估者須以基本價值為依據,兼顧手段與目的之適切性,而非僅技術性測量。</w:t>
      </w:r>
    </w:p>
    <w:p>
      <w:pPr>
        <w:spacing w:after="140" w:before="260"/>
      </w:pPr>
      <w:r>
        <w:rPr>
          <w:rFonts w:ascii="微軟正黑體" w:cs="微軟正黑體" w:eastAsia="微軟正黑體" w:hAnsi="微軟正黑體"/>
          <w:b/>
          <w:bCs/>
          <w:color w:val="2E5C8A"/>
          <w:sz w:val="23"/>
          <w:szCs w:val="23"/>
        </w:rPr>
        <w:t xml:space="preserve">二、功能</w:t>
      </w:r>
    </w:p>
    <w:p>
      <w:pPr>
        <w:spacing w:after="200" w:line="360"/>
        <w:ind w:firstLine="431"/>
        <w:jc w:val="both"/>
      </w:pPr>
      <w:r>
        <w:rPr>
          <w:rFonts w:ascii="微軟正黑體" w:cs="微軟正黑體" w:eastAsia="微軟正黑體" w:hAnsi="微軟正黑體"/>
          <w:sz w:val="22"/>
          <w:szCs w:val="22"/>
        </w:rPr>
        <w:t xml:space="preserve">教科書上綜合可歸納為四項:課責功能,向國會、公民與審計機關說明資源使用績效;學習功能,作為組織學習與政策學習之基礎;決策功能,提供調整、持續、終止或重組之依據;正當化功能,強化政策的合理性與民主正當性,此點在AI治理中尤為重要。</w:t>
      </w:r>
    </w:p>
    <w:p>
      <w:pPr>
        <w:spacing w:after="180" w:before="360"/>
      </w:pPr>
      <w:r>
        <w:rPr>
          <w:rFonts w:ascii="微軟正黑體" w:cs="微軟正黑體" w:eastAsia="微軟正黑體" w:hAnsi="微軟正黑體"/>
          <w:b/>
          <w:bCs/>
          <w:color w:val="1F4E79"/>
          <w:sz w:val="26"/>
          <w:szCs w:val="26"/>
        </w:rPr>
        <w:t xml:space="preserve">第二節　政策評估的種類:預評估、過程評估與結果評估</w:t>
      </w:r>
    </w:p>
    <w:p>
      <w:pPr>
        <w:spacing w:after="200" w:line="360"/>
        <w:ind w:firstLine="431"/>
        <w:jc w:val="both"/>
      </w:pPr>
      <w:r>
        <w:rPr>
          <w:rFonts w:ascii="微軟正黑體" w:cs="微軟正黑體" w:eastAsia="微軟正黑體" w:hAnsi="微軟正黑體"/>
          <w:sz w:val="22"/>
          <w:szCs w:val="22"/>
        </w:rPr>
        <w:t xml:space="preserve">依時間序列與焦點,政策評估可分為三大類,其與Raiffa錯誤相對應,具有避免決策謬誤之作用。</w:t>
      </w:r>
    </w:p>
    <w:p>
      <w:pPr>
        <w:spacing w:after="140" w:before="260"/>
      </w:pPr>
      <w:r>
        <w:rPr>
          <w:rFonts w:ascii="微軟正黑體" w:cs="微軟正黑體" w:eastAsia="微軟正黑體" w:hAnsi="微軟正黑體"/>
          <w:b/>
          <w:bCs/>
          <w:color w:val="2E5C8A"/>
          <w:sz w:val="23"/>
          <w:szCs w:val="23"/>
        </w:rPr>
        <w:t xml:space="preserve">一、預評估(Pre-evaluation)</w:t>
      </w:r>
    </w:p>
    <w:p>
      <w:pPr>
        <w:spacing w:after="200" w:line="360"/>
        <w:ind w:firstLine="431"/>
        <w:jc w:val="both"/>
      </w:pPr>
      <w:r>
        <w:rPr>
          <w:rFonts w:ascii="微軟正黑體" w:cs="微軟正黑體" w:eastAsia="微軟正黑體" w:hAnsi="微軟正黑體"/>
          <w:sz w:val="22"/>
          <w:szCs w:val="22"/>
        </w:rPr>
        <w:t xml:space="preserve">在政策執行前的評估,屬於事前評估(Ex ante)。目的在於提升政策的可行性與可評估性,包含三種次類型:規劃評估,即政策規劃階段的可行性分析,包括政治可行性、經濟可行性、技術可行性、法律可行性與行政可行性的檢視;可評估性評估(Evaluability Assessment),檢視某項政策是否具備被評估的條件,包括目標是否明確、資料是否可得、評估是否符合成本效益、評估結果是否具有使用價值;修正方案評估,對政策備選方案的比較分析與試行評估。管制影響評估(RIA)即為預評估的典型範例。</w:t>
      </w:r>
    </w:p>
    <w:p>
      <w:pPr>
        <w:spacing w:after="140" w:before="260"/>
      </w:pPr>
      <w:r>
        <w:rPr>
          <w:rFonts w:ascii="微軟正黑體" w:cs="微軟正黑體" w:eastAsia="微軟正黑體" w:hAnsi="微軟正黑體"/>
          <w:b/>
          <w:bCs/>
          <w:color w:val="2E5C8A"/>
          <w:sz w:val="23"/>
          <w:szCs w:val="23"/>
        </w:rPr>
        <w:t xml:space="preserve">二、過程評估(Process Evaluation)</w:t>
      </w:r>
    </w:p>
    <w:p>
      <w:pPr>
        <w:spacing w:after="200" w:line="360"/>
        <w:ind w:firstLine="431"/>
        <w:jc w:val="both"/>
      </w:pPr>
      <w:r>
        <w:rPr>
          <w:rFonts w:ascii="微軟正黑體" w:cs="微軟正黑體" w:eastAsia="微軟正黑體" w:hAnsi="微軟正黑體"/>
          <w:sz w:val="22"/>
          <w:szCs w:val="22"/>
        </w:rPr>
        <w:t xml:space="preserve">又稱形成性評估(Formative Evaluation),針對政策形成至執行中的過程進行即時監測,焦點在於「政策是否按原定計畫執行」「問題認定是否正確」。其重要性在於避免Howard Raiffa(1968)所稱之錯誤決策模型:</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2300"/>
        <w:gridCol w:w="4926"/>
      </w:tblGrid>
      <w:tr>
        <w:trPr>
          <w:tblHeader/>
        </w:trPr>
        <w:tc>
          <w:tcPr>
            <w:tcW w:type="dxa" w:w="18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錯誤類型</w:t>
            </w:r>
          </w:p>
        </w:tc>
        <w:tc>
          <w:tcPr>
            <w:tcW w:type="dxa" w:w="23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定義</w:t>
            </w:r>
          </w:p>
        </w:tc>
        <w:tc>
          <w:tcPr>
            <w:tcW w:type="dxa" w:w="4926"/>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評估對應與避免策略</w:t>
            </w:r>
          </w:p>
        </w:tc>
      </w:tr>
      <w:tr>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第一類型錯誤</w:t>
            </w:r>
          </w:p>
        </w:tc>
        <w:tc>
          <w:tcPr>
            <w:tcW w:type="dxa" w:w="23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拒絕真實的虛無假設(以真為假)</w:t>
            </w:r>
          </w:p>
        </w:tc>
        <w:tc>
          <w:tcPr>
            <w:tcW w:type="dxa" w:w="49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統計上的型一錯誤,過度嚴格而否決有效政策;需透過放寬顯著水準與質化資料互補。</w:t>
            </w:r>
          </w:p>
        </w:tc>
      </w:tr>
      <w:tr>
        <w:tc>
          <w:tcPr>
            <w:tcW w:type="dxa" w:w="1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第二類型錯誤</w:t>
            </w:r>
          </w:p>
        </w:tc>
        <w:tc>
          <w:tcPr>
            <w:tcW w:type="dxa" w:w="23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接受錯誤的虛無假設(以假為真)</w:t>
            </w:r>
          </w:p>
        </w:tc>
        <w:tc>
          <w:tcPr>
            <w:tcW w:type="dxa" w:w="49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統計上的型二錯誤,容忍無效政策;需強化實驗設計與隨機指派。</w:t>
            </w:r>
          </w:p>
        </w:tc>
      </w:tr>
      <w:tr>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第三類型錯誤(最關鍵)</w:t>
            </w:r>
          </w:p>
        </w:tc>
        <w:tc>
          <w:tcPr>
            <w:tcW w:type="dxa" w:w="23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以正確方法解決錯誤問題</w:t>
            </w:r>
          </w:p>
        </w:tc>
        <w:tc>
          <w:tcPr>
            <w:tcW w:type="dxa" w:w="49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問題建構錯誤,解決了假問題;過程評估須重新檢視問題認定階段,避免政策精準地失敗。</w:t>
            </w:r>
          </w:p>
        </w:tc>
      </w:tr>
      <w:tr>
        <w:tc>
          <w:tcPr>
            <w:tcW w:type="dxa" w:w="1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第四類型錯誤</w:t>
            </w:r>
          </w:p>
        </w:tc>
        <w:tc>
          <w:tcPr>
            <w:tcW w:type="dxa" w:w="23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以錯誤方法解決正確問題</w:t>
            </w:r>
          </w:p>
        </w:tc>
        <w:tc>
          <w:tcPr>
            <w:tcW w:type="dxa" w:w="49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執行或工具選擇錯誤;過程評估須檢視執行手段與標的人口配合度。</w:t>
            </w:r>
          </w:p>
        </w:tc>
      </w:tr>
    </w:tbl>
    <w:p>
      <w:pPr>
        <w:spacing w:after="280" w:before="120"/>
        <w:jc w:val="center"/>
      </w:pPr>
      <w:r>
        <w:rPr>
          <w:rFonts w:ascii="微軟正黑體" w:cs="微軟正黑體" w:eastAsia="微軟正黑體" w:hAnsi="微軟正黑體"/>
          <w:i/>
          <w:iCs/>
          <w:color w:val="555555"/>
          <w:sz w:val="18"/>
          <w:szCs w:val="18"/>
        </w:rPr>
        <w:t xml:space="preserve">表14-1　Raiffa四類型決策錯誤與評估意涵</w:t>
      </w:r>
    </w:p>
    <w:p>
      <w:pPr>
        <w:spacing w:after="200" w:line="360"/>
        <w:ind w:firstLine="431"/>
        <w:jc w:val="both"/>
      </w:pPr>
      <w:r>
        <w:rPr>
          <w:rFonts w:ascii="微軟正黑體" w:cs="微軟正黑體" w:eastAsia="微軟正黑體" w:hAnsi="微軟正黑體"/>
          <w:sz w:val="22"/>
          <w:szCs w:val="22"/>
        </w:rPr>
        <w:t xml:space="preserve">第三類型錯誤為公共政策領域最常發生的治理失靈,AI時代更為明顯:以高效能演算法解決了一個被錯誤定義的公共問題,即為典型第三類型錯誤——系統跑得再準,若問題本身就界定錯誤,終究只是精準地失敗。</w:t>
      </w:r>
    </w:p>
    <w:p>
      <w:pPr>
        <w:spacing w:after="140" w:before="260"/>
      </w:pPr>
      <w:r>
        <w:rPr>
          <w:rFonts w:ascii="微軟正黑體" w:cs="微軟正黑體" w:eastAsia="微軟正黑體" w:hAnsi="微軟正黑體"/>
          <w:b/>
          <w:bCs/>
          <w:color w:val="2E5C8A"/>
          <w:sz w:val="23"/>
          <w:szCs w:val="23"/>
        </w:rPr>
        <w:t xml:space="preserve">三、結果評估(Outcomes Evaluation)</w:t>
      </w:r>
    </w:p>
    <w:p>
      <w:pPr>
        <w:spacing w:after="200" w:line="360"/>
        <w:ind w:firstLine="431"/>
        <w:jc w:val="both"/>
      </w:pPr>
      <w:r>
        <w:rPr>
          <w:rFonts w:ascii="微軟正黑體" w:cs="微軟正黑體" w:eastAsia="微軟正黑體" w:hAnsi="微軟正黑體"/>
          <w:sz w:val="22"/>
          <w:szCs w:val="22"/>
        </w:rPr>
        <w:t xml:space="preserve">又稱總合性評估(Summative Evaluation),指政策執行一段時間或結束後,對其產出與影響的系統性衡量。產出評估(Output Evaluation)衡量機關直接可見的產出,如核准件數、服務人次、補助金額、建置系統數,產出易於量化,但不代表政策有效。影響評估(Impact Evaluation)衡量政策對標的團體行為、態度,以及對社會經濟系統所產生的有形、無形、預期與非預期影響,較產出評估更困難但更重要,需運用反事實推論(Counterfactual),探究「若無此政策會如何」。</w:t>
      </w:r>
    </w:p>
    <w:p>
      <w:pPr>
        <w:spacing w:after="180" w:before="360"/>
      </w:pPr>
      <w:r>
        <w:rPr>
          <w:rFonts w:ascii="微軟正黑體" w:cs="微軟正黑體" w:eastAsia="微軟正黑體" w:hAnsi="微軟正黑體"/>
          <w:b/>
          <w:bCs/>
          <w:color w:val="1F4E79"/>
          <w:sz w:val="26"/>
          <w:szCs w:val="26"/>
        </w:rPr>
        <w:t xml:space="preserve">第三節　管制影響評估:我國與國際趨勢</w:t>
      </w:r>
    </w:p>
    <w:p>
      <w:pPr>
        <w:spacing w:after="140" w:before="260"/>
      </w:pPr>
      <w:r>
        <w:rPr>
          <w:rFonts w:ascii="微軟正黑體" w:cs="微軟正黑體" w:eastAsia="微軟正黑體" w:hAnsi="微軟正黑體"/>
          <w:b/>
          <w:bCs/>
          <w:color w:val="2E5C8A"/>
          <w:sz w:val="23"/>
          <w:szCs w:val="23"/>
        </w:rPr>
        <w:t xml:space="preserve">一、意涵</w:t>
      </w:r>
    </w:p>
    <w:p>
      <w:pPr>
        <w:spacing w:after="200" w:line="360"/>
        <w:ind w:firstLine="431"/>
        <w:jc w:val="both"/>
      </w:pPr>
      <w:r>
        <w:rPr>
          <w:rFonts w:ascii="微軟正黑體" w:cs="微軟正黑體" w:eastAsia="微軟正黑體" w:hAnsi="微軟正黑體"/>
          <w:sz w:val="22"/>
          <w:szCs w:val="22"/>
        </w:rPr>
        <w:t xml:space="preserve">管制影響評估(Regulatory Impact Analysis / Assessment, RIA),我國稱為法規影響評估,依據國家發展委員會《法規影響評估作業指引》界定,係指行政機關為達成特定政策目標,針對各種備選方案(包含管制性、非管制性、維持現狀、不作為等),經由系統性蒐集證據、分析效益與成本,並與利害關係人諮商後,做成最終方案選擇之事前預評估方法。其本質是「以證據為基礎的政策制定」(Evidence-based Policymaking)與「良善治理」(Good Governance)之具體化。</w:t>
      </w:r>
    </w:p>
    <w:p>
      <w:pPr>
        <w:spacing w:after="140" w:before="260"/>
      </w:pPr>
      <w:r>
        <w:rPr>
          <w:rFonts w:ascii="微軟正黑體" w:cs="微軟正黑體" w:eastAsia="微軟正黑體" w:hAnsi="微軟正黑體"/>
          <w:b/>
          <w:bCs/>
          <w:color w:val="2E5C8A"/>
          <w:sz w:val="23"/>
          <w:szCs w:val="23"/>
        </w:rPr>
        <w:t xml:space="preserve">二、目的</w:t>
      </w:r>
    </w:p>
    <w:p>
      <w:pPr>
        <w:spacing w:after="200" w:line="360"/>
        <w:ind w:firstLine="431"/>
        <w:jc w:val="both"/>
      </w:pPr>
      <w:r>
        <w:rPr>
          <w:rFonts w:ascii="微軟正黑體" w:cs="微軟正黑體" w:eastAsia="微軟正黑體" w:hAnsi="微軟正黑體"/>
          <w:sz w:val="22"/>
          <w:szCs w:val="22"/>
        </w:rPr>
        <w:t>依據國發會與OECD(2012)架構,具有兩大核心目的:強化法規之合理性與正當性,檢視政府介入之必要性、手段與目的之合比例性、管制經濟與社會活動之正當性,以及社會接受性,避免過度管制造成市場失靈矯正不足或政府失靈;提升決策過程之透明度與課責性,透過事前揭露資訊與利害關係人諮商機制,促成雙向溝通,降低執行阻力並提升民主正當性。</w:t>
      </w:r>
    </w:p>
    <w:p>
      <w:pPr>
        <w:spacing w:after="140" w:before="260"/>
      </w:pPr>
      <w:r>
        <w:rPr>
          <w:rFonts w:ascii="微軟正黑體" w:cs="微軟正黑體" w:eastAsia="微軟正黑體" w:hAnsi="微軟正黑體"/>
          <w:b/>
          <w:bCs/>
          <w:color w:val="2E5C8A"/>
          <w:sz w:val="23"/>
          <w:szCs w:val="23"/>
        </w:rPr>
        <w:t xml:space="preserve">三、操作步驟</w:t>
      </w:r>
    </w:p>
    <w:p>
      <w:pPr>
        <w:spacing w:after="200" w:line="360"/>
        <w:ind w:firstLine="431"/>
        <w:jc w:val="both"/>
      </w:pPr>
      <w:r>
        <w:rPr>
          <w:rFonts w:ascii="微軟正黑體" w:cs="微軟正黑體" w:eastAsia="微軟正黑體" w:hAnsi="微軟正黑體"/>
          <w:sz w:val="22"/>
          <w:szCs w:val="22"/>
        </w:rPr>
        <w:t xml:space="preserve">參考國發會修訂版與OECD最佳實務,RIA包含七至八個步驟:</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600"/>
        <w:gridCol w:w="5426"/>
        <w:gridCol w:w="2000"/>
      </w:tblGrid>
      <w:tr>
        <w:trPr>
          <w:tblHeader/>
        </w:trPr>
        <w:tc>
          <w:tcPr>
            <w:tcW w:type="dxa" w:w="16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步驟</w:t>
            </w:r>
          </w:p>
        </w:tc>
        <w:tc>
          <w:tcPr>
            <w:tcW w:type="dxa" w:w="5426"/>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內容要點</w:t>
            </w:r>
          </w:p>
        </w:tc>
        <w:tc>
          <w:tcPr>
            <w:tcW w:type="dxa" w:w="20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對應政策循環</w:t>
            </w:r>
          </w:p>
        </w:tc>
      </w:tr>
      <w:tr>
        <w:tc>
          <w:tcPr>
            <w:tcW w:type="dxa" w:w="1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1. 描述政策背景</w:t>
            </w:r>
          </w:p>
        </w:tc>
        <w:tc>
          <w:tcPr>
            <w:tcW w:type="dxa" w:w="54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說明政策所欲處理之社會問題、現行法規與執行困境</w:t>
            </w:r>
          </w:p>
        </w:tc>
        <w:tc>
          <w:tcPr>
            <w:tcW w:type="dxa" w:w="20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問題認定</w:t>
            </w:r>
          </w:p>
        </w:tc>
      </w:tr>
      <w:tr>
        <w:tc>
          <w:tcPr>
            <w:tcW w:type="dxa" w:w="16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2. 界定政策問題</w:t>
            </w:r>
          </w:p>
        </w:tc>
        <w:tc>
          <w:tcPr>
            <w:tcW w:type="dxa" w:w="54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釐清問題成因、受影響範圍,以數據呈現落差</w:t>
            </w:r>
          </w:p>
        </w:tc>
        <w:tc>
          <w:tcPr>
            <w:tcW w:type="dxa" w:w="20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問題建構</w:t>
            </w:r>
          </w:p>
        </w:tc>
      </w:tr>
      <w:tr>
        <w:tc>
          <w:tcPr>
            <w:tcW w:type="dxa" w:w="1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3. 設定政策目標</w:t>
            </w:r>
          </w:p>
        </w:tc>
        <w:tc>
          <w:tcPr>
            <w:tcW w:type="dxa" w:w="54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設定SMART目標,作為後續評估基準</w:t>
            </w:r>
          </w:p>
        </w:tc>
        <w:tc>
          <w:tcPr>
            <w:tcW w:type="dxa" w:w="20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目標設定</w:t>
            </w:r>
          </w:p>
        </w:tc>
      </w:tr>
      <w:tr>
        <w:tc>
          <w:tcPr>
            <w:tcW w:type="dxa" w:w="16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4. 研擬備選方案</w:t>
            </w:r>
          </w:p>
        </w:tc>
        <w:tc>
          <w:tcPr>
            <w:tcW w:type="dxa" w:w="54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至少包括管制、非管制、維持現狀、資訊揭露、經濟誘因等</w:t>
            </w:r>
          </w:p>
        </w:tc>
        <w:tc>
          <w:tcPr>
            <w:tcW w:type="dxa" w:w="20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方案設計</w:t>
            </w:r>
          </w:p>
        </w:tc>
      </w:tr>
      <w:tr>
        <w:tc>
          <w:tcPr>
            <w:tcW w:type="dxa" w:w="1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5. 評估備選方案影響</w:t>
            </w:r>
          </w:p>
        </w:tc>
        <w:tc>
          <w:tcPr>
            <w:tcW w:type="dxa" w:w="54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成本效益、競爭影響、中小企業與弱勢影響等</w:t>
            </w:r>
          </w:p>
        </w:tc>
        <w:tc>
          <w:tcPr>
            <w:tcW w:type="dxa" w:w="20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可行性評估</w:t>
            </w:r>
          </w:p>
        </w:tc>
      </w:tr>
      <w:tr>
        <w:tc>
          <w:tcPr>
            <w:tcW w:type="dxa" w:w="16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6. 利害關係人諮詢</w:t>
            </w:r>
          </w:p>
        </w:tc>
        <w:tc>
          <w:tcPr>
            <w:tcW w:type="dxa" w:w="54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透過Join平台、公聽會、座談會進行諮商,並記錄回應</w:t>
            </w:r>
          </w:p>
        </w:tc>
        <w:tc>
          <w:tcPr>
            <w:tcW w:type="dxa" w:w="20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參與機制</w:t>
            </w:r>
          </w:p>
        </w:tc>
      </w:tr>
      <w:tr>
        <w:tc>
          <w:tcPr>
            <w:tcW w:type="dxa" w:w="1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7. 擇定最終方案與法制化</w:t>
            </w:r>
          </w:p>
        </w:tc>
        <w:tc>
          <w:tcPr>
            <w:tcW w:type="dxa" w:w="54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綜合評估報告,選定最適方案並完成法規草案預告</w:t>
            </w:r>
          </w:p>
        </w:tc>
        <w:tc>
          <w:tcPr>
            <w:tcW w:type="dxa" w:w="20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決策與合法化</w:t>
            </w:r>
          </w:p>
        </w:tc>
      </w:tr>
      <w:tr>
        <w:tc>
          <w:tcPr>
            <w:tcW w:type="dxa" w:w="16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8. 監測與事後評估規劃</w:t>
            </w:r>
          </w:p>
        </w:tc>
        <w:tc>
          <w:tcPr>
            <w:tcW w:type="dxa" w:w="54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建立事中、事後評估指標,銜接政策評估回饋</w:t>
            </w:r>
          </w:p>
        </w:tc>
        <w:tc>
          <w:tcPr>
            <w:tcW w:type="dxa" w:w="20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評估回饋</w:t>
            </w:r>
          </w:p>
        </w:tc>
      </w:tr>
    </w:tbl>
    <w:p>
      <w:pPr>
        <w:spacing w:after="280" w:before="120"/>
        <w:jc w:val="center"/>
      </w:pPr>
      <w:r>
        <w:rPr>
          <w:rFonts w:ascii="微軟正黑體" w:cs="微軟正黑體" w:eastAsia="微軟正黑體" w:hAnsi="微軟正黑體"/>
          <w:i/>
          <w:iCs/>
          <w:color w:val="555555"/>
          <w:sz w:val="18"/>
          <w:szCs w:val="18"/>
        </w:rPr>
        <w:t xml:space="preserve">表14-2　管制影響評估(RIA)標準作業步驟</w:t>
      </w:r>
    </w:p>
    <w:p>
      <w:pPr>
        <w:spacing w:after="200" w:line="360"/>
        <w:ind w:firstLine="431"/>
        <w:jc w:val="both"/>
      </w:pPr>
      <w:r>
        <w:rPr>
          <w:rFonts w:ascii="微軟正黑體" w:cs="微軟正黑體" w:eastAsia="微軟正黑體" w:hAnsi="微軟正黑體"/>
          <w:sz w:val="22"/>
          <w:szCs w:val="22"/>
        </w:rPr>
        <w:t xml:space="preserve">我國自2017年起依《法規影響評估作業指引》要求各機關對涉及重大經費、重大管制或影響人民權益之法規草案辦理RIA,並於公共政策網路參與平台(Join.gov.tw)公開。</w:t>
      </w:r>
    </w:p>
    <w:p>
      <w:pPr>
        <w:spacing w:after="200" w:line="360"/>
        <w:ind w:firstLine="431"/>
        <w:jc w:val="both"/>
      </w:pPr>
      <w:r>
        <w:rPr>
          <w:rFonts w:ascii="微軟正黑體" w:cs="微軟正黑體" w:eastAsia="微軟正黑體" w:hAnsi="微軟正黑體"/>
          <w:sz w:val="22"/>
          <w:szCs w:val="22"/>
        </w:rPr>
        <w:t xml:space="preserve">【2025-2026年最新發展】隨《人工智慧基本法》於2026年1月公布施行,數位發展部於2026年7月正式公布「人工智慧風險分類框架」v1.0,將AI應用畫分為3大類、20項子類別,並提供4大建議操作步驟,供各機關辨識其AI應用之風險等級與相應管理義務;截至2026年上半年,勞動部、金融監督管理委員會等部會已著手檢視所轄業務如何適用此一框架。此一發展,正是RIA向演算法影響評估(AIA)過渡之具體在地實踐——法規影響評估關注「這項管制是否必要、成本效益是否合理」,風險分類框架則進一步追問「這個AI系統本身的風險等級,是否足以支撐其被賦予之決策角色」。</w:t>
      </w:r>
    </w:p>
    <w:p>
      <w:pPr>
        <w:spacing w:after="180" w:before="360"/>
      </w:pPr>
      <w:r>
        <w:rPr>
          <w:rFonts w:ascii="微軟正黑體" w:cs="微軟正黑體" w:eastAsia="微軟正黑體" w:hAnsi="微軟正黑體"/>
          <w:b/>
          <w:bCs/>
          <w:color w:val="1F4E79"/>
          <w:sz w:val="26"/>
          <w:szCs w:val="26"/>
        </w:rPr>
        <w:t xml:space="preserve">第四節　政策評估的標準、方法與結果處理</w:t>
      </w:r>
    </w:p>
    <w:p>
      <w:pPr>
        <w:spacing w:after="140" w:before="260"/>
      </w:pPr>
      <w:r>
        <w:rPr>
          <w:rFonts w:ascii="微軟正黑體" w:cs="微軟正黑體" w:eastAsia="微軟正黑體" w:hAnsi="微軟正黑體"/>
          <w:b/>
          <w:bCs/>
          <w:color w:val="2E5C8A"/>
          <w:sz w:val="23"/>
          <w:szCs w:val="23"/>
        </w:rPr>
        <w:t xml:space="preserve">一、Dunn六項評估標準</w:t>
      </w:r>
    </w:p>
    <w:p>
      <w:pPr>
        <w:spacing w:after="200" w:line="360"/>
        <w:ind w:firstLine="431"/>
        <w:jc w:val="both"/>
      </w:pPr>
      <w:r>
        <w:rPr>
          <w:rFonts w:ascii="微軟正黑體" w:cs="微軟正黑體" w:eastAsia="微軟正黑體" w:hAnsi="微軟正黑體"/>
          <w:sz w:val="22"/>
          <w:szCs w:val="22"/>
        </w:rPr>
        <w:t xml:space="preserve">William Dunn(2018)在《Public Policy Analysis》提出政策評估六項標準,為當代教科書最通用之架構,涵蓋效率與公平之權衡:</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600"/>
        <w:gridCol w:w="3200"/>
        <w:gridCol w:w="4226"/>
      </w:tblGrid>
      <w:tr>
        <w:trPr>
          <w:tblHeader/>
        </w:trPr>
        <w:tc>
          <w:tcPr>
            <w:tcW w:type="dxa" w:w="16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標準</w:t>
            </w:r>
          </w:p>
        </w:tc>
        <w:tc>
          <w:tcPr>
            <w:tcW w:type="dxa" w:w="32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定義與衡量焦點</w:t>
            </w:r>
          </w:p>
        </w:tc>
        <w:tc>
          <w:tcPr>
            <w:tcW w:type="dxa" w:w="4226"/>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AI時代轉譯案例</w:t>
            </w:r>
          </w:p>
        </w:tc>
      </w:tr>
      <w:tr>
        <w:tc>
          <w:tcPr>
            <w:tcW w:type="dxa" w:w="1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效能 Effectiveness</w:t>
            </w:r>
          </w:p>
        </w:tc>
        <w:tc>
          <w:tcPr>
            <w:tcW w:type="dxa" w:w="32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政策達成預期結果或影響的程度,重視目標達成率</w:t>
            </w:r>
          </w:p>
        </w:tc>
        <w:tc>
          <w:tcPr>
            <w:tcW w:type="dxa" w:w="42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智慧交通號誌是否有效降低事故率</w:t>
            </w:r>
          </w:p>
        </w:tc>
      </w:tr>
      <w:tr>
        <w:tc>
          <w:tcPr>
            <w:tcW w:type="dxa" w:w="16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效率 Efficiency</w:t>
            </w:r>
          </w:p>
        </w:tc>
        <w:tc>
          <w:tcPr>
            <w:tcW w:type="dxa" w:w="32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政策產出與投入成本比率,含技術性與經濟性效率</w:t>
            </w:r>
          </w:p>
        </w:tc>
        <w:tc>
          <w:tcPr>
            <w:tcW w:type="dxa" w:w="42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每單位預算處理之AI客服案件數與正確率</w:t>
            </w:r>
          </w:p>
        </w:tc>
      </w:tr>
      <w:tr>
        <w:tc>
          <w:tcPr>
            <w:tcW w:type="dxa" w:w="1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充分性 Adequacy</w:t>
            </w:r>
          </w:p>
        </w:tc>
        <w:tc>
          <w:tcPr>
            <w:tcW w:type="dxa" w:w="32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目標達成後,消除既有問題的程度,重視問題解決徹底性</w:t>
            </w:r>
          </w:p>
        </w:tc>
        <w:tc>
          <w:tcPr>
            <w:tcW w:type="dxa" w:w="42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長照2.0是否充分填補人力缺口</w:t>
            </w:r>
          </w:p>
        </w:tc>
      </w:tr>
      <w:tr>
        <w:tc>
          <w:tcPr>
            <w:tcW w:type="dxa" w:w="16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回應性 Responsiveness</w:t>
            </w:r>
          </w:p>
        </w:tc>
        <w:tc>
          <w:tcPr>
            <w:tcW w:type="dxa" w:w="32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政策結果滿足標的團體需求、偏好與價值的程度</w:t>
            </w:r>
          </w:p>
        </w:tc>
        <w:tc>
          <w:tcPr>
            <w:tcW w:type="dxa" w:w="42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聊天機器人是否回應高齡者可近用需求</w:t>
            </w:r>
          </w:p>
        </w:tc>
      </w:tr>
      <w:tr>
        <w:tc>
          <w:tcPr>
            <w:tcW w:type="dxa" w:w="1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適當性 Appropriateness</w:t>
            </w:r>
          </w:p>
        </w:tc>
        <w:tc>
          <w:tcPr>
            <w:tcW w:type="dxa" w:w="32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政策目標本身價值是否合宜、正當,是否符合更高層次公平正義與永續價值;六標準中最具規範性者</w:t>
            </w:r>
          </w:p>
        </w:tc>
        <w:tc>
          <w:tcPr>
            <w:tcW w:type="dxa" w:w="42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以人臉辨識進行社福資格審查是否符合人權價值</w:t>
            </w:r>
          </w:p>
        </w:tc>
      </w:tr>
      <w:tr>
        <w:tc>
          <w:tcPr>
            <w:tcW w:type="dxa" w:w="16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公平性╱公正性 Equity</w:t>
            </w:r>
          </w:p>
        </w:tc>
        <w:tc>
          <w:tcPr>
            <w:tcW w:type="dxa" w:w="32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資源、利益與成本分配是否公平,含個人福利最大化等四類型</w:t>
            </w:r>
          </w:p>
        </w:tc>
        <w:tc>
          <w:tcPr>
            <w:tcW w:type="dxa" w:w="42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風險評估演算法是否對特定族群產生歧視性影響</w:t>
            </w:r>
          </w:p>
        </w:tc>
      </w:tr>
    </w:tbl>
    <w:p>
      <w:pPr>
        <w:spacing w:after="280" w:before="120"/>
        <w:jc w:val="center"/>
      </w:pPr>
      <w:r>
        <w:rPr>
          <w:rFonts w:ascii="微軟正黑體" w:cs="微軟正黑體" w:eastAsia="微軟正黑體" w:hAnsi="微軟正黑體"/>
          <w:i/>
          <w:iCs/>
          <w:color w:val="555555"/>
          <w:sz w:val="18"/>
          <w:szCs w:val="18"/>
        </w:rPr>
        <w:t xml:space="preserve">表14-3　Dunn六項政策評估標準</w:t>
      </w:r>
    </w:p>
    <w:p>
      <w:pPr>
        <w:spacing w:after="200" w:line="360"/>
        <w:ind w:firstLine="431"/>
        <w:jc w:val="both"/>
      </w:pPr>
      <w:r>
        <w:rPr>
          <w:rFonts w:ascii="微軟正黑體" w:cs="微軟正黑體" w:eastAsia="微軟正黑體" w:hAnsi="微軟正黑體"/>
          <w:sz w:val="22"/>
          <w:szCs w:val="22"/>
        </w:rPr>
        <w:t xml:space="preserve">教科書論述轉化:過往題庫以「擴大引進外籍看護工」為例,論列效率與公平衝突。轉化為理論論述時,應理解為:該政策短期內具技術性效率(快速填補人力),從經濟性效率觀點亦降低機構成本;但從公平性檢視,若未同步改善勞動條件、外籍勞動者權益與本國照顧者支持體系,則僅將成本轉嫁至弱勢勞動者,不符保障最小福利與重分配福利最大化原則。此類效率與公平的內在張力,需透過適當性標準進行高階價值權衡。</w:t>
      </w:r>
    </w:p>
    <w:p>
      <w:pPr>
        <w:spacing w:after="140" w:before="260"/>
      </w:pPr>
      <w:r>
        <w:rPr>
          <w:rFonts w:ascii="微軟正黑體" w:cs="微軟正黑體" w:eastAsia="微軟正黑體" w:hAnsi="微軟正黑體"/>
          <w:b/>
          <w:bCs/>
          <w:color w:val="2E5C8A"/>
          <w:sz w:val="23"/>
          <w:szCs w:val="23"/>
        </w:rPr>
        <w:t xml:space="preserve">二、成本效益與成本效能分析</w:t>
      </w:r>
    </w:p>
    <w:p>
      <w:pPr>
        <w:spacing w:after="200" w:line="360"/>
        <w:ind w:firstLine="431"/>
        <w:jc w:val="both"/>
      </w:pPr>
      <w:r>
        <w:rPr>
          <w:rFonts w:ascii="微軟正黑體" w:cs="微軟正黑體" w:eastAsia="微軟正黑體" w:hAnsi="微軟正黑體"/>
          <w:sz w:val="22"/>
          <w:szCs w:val="22"/>
        </w:rPr>
        <w:t xml:space="preserve">結果評估常使用兩大方法:成本效益分析(Cost-Benefit Analysis, CBA)將效益與成本皆貨幣化,計算淨現值(NPV)、益本比(B/C Ratio)與內部報酬率(IRR),適用於可貨幣化之建設政策;成本效能分析(Cost-Effectiveness Analysis, CEA)則在效益無法貨幣化時,比較每單位成本所能產生之效能,如教育、衛生政策之「每挽回一年生命所需成本」。AI治理中,CBA易低估公平、隱私等非市場價值,故需引入公平性指標互補。</w:t>
      </w:r>
    </w:p>
    <w:p>
      <w:pPr>
        <w:spacing w:after="140" w:before="260"/>
      </w:pPr>
      <w:r>
        <w:rPr>
          <w:rFonts w:ascii="微軟正黑體" w:cs="微軟正黑體" w:eastAsia="微軟正黑體" w:hAnsi="微軟正黑體"/>
          <w:b/>
          <w:bCs/>
          <w:color w:val="2E5C8A"/>
          <w:sz w:val="23"/>
          <w:szCs w:val="23"/>
        </w:rPr>
        <w:t xml:space="preserve">三、評估結果的四種處理模式</w:t>
      </w:r>
    </w:p>
    <w:p>
      <w:pPr>
        <w:spacing w:after="200" w:line="360"/>
        <w:ind w:firstLine="431"/>
        <w:jc w:val="both"/>
      </w:pPr>
      <w:r>
        <w:rPr>
          <w:rFonts w:ascii="微軟正黑體" w:cs="微軟正黑體" w:eastAsia="微軟正黑體" w:hAnsi="微軟正黑體"/>
          <w:sz w:val="22"/>
          <w:szCs w:val="22"/>
        </w:rPr>
        <w:t xml:space="preserve">Dunn指出評估並非終點,而是政策學習之起點,評估結果有四種處理:政策調整(Policy Adjustment),執行發生困難或環境變遷,修正目標、手段或標的對象,如調整補助額度;政策持續(Policy Continuation),政策達成預期效果且具正當性,予以持續,並納入例行預算;政策終止(Policy Termination),問題已解決、目標已達成或政策造成更多問題與成本,予以終止,終止在政治上最困難,常涉及滾木立法(Logrolling)、肉桶政治之利益糾葛;政策重組(Policy Restructuring),評估發現問題界定失當或政策因果理論錯誤,需重新啟動政策循環,回到問題認定與規劃階段,此為第三類型錯誤之解方。</w:t>
      </w:r>
    </w:p>
    <w:p>
      <w:pPr>
        <w:spacing w:after="180" w:before="360"/>
      </w:pPr>
      <w:r>
        <w:rPr>
          <w:rFonts w:ascii="微軟正黑體" w:cs="微軟正黑體" w:eastAsia="微軟正黑體" w:hAnsi="微軟正黑體"/>
          <w:b/>
          <w:bCs/>
          <w:color w:val="1F4E79"/>
          <w:sz w:val="26"/>
          <w:szCs w:val="26"/>
        </w:rPr>
        <w:t xml:space="preserve">第五節　政策評估的演進與目的</w:t>
      </w:r>
    </w:p>
    <w:p>
      <w:pPr>
        <w:spacing w:after="140" w:before="260"/>
      </w:pPr>
      <w:r>
        <w:rPr>
          <w:rFonts w:ascii="微軟正黑體" w:cs="微軟正黑體" w:eastAsia="微軟正黑體" w:hAnsi="微軟正黑體"/>
          <w:b/>
          <w:bCs/>
          <w:color w:val="2E5C8A"/>
          <w:sz w:val="23"/>
          <w:szCs w:val="23"/>
        </w:rPr>
        <w:t xml:space="preserve">一、Guba &amp; Lincoln四代評估演進</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000"/>
        <w:gridCol w:w="2400"/>
        <w:gridCol w:w="2300"/>
        <w:gridCol w:w="2326"/>
      </w:tblGrid>
      <w:tr>
        <w:trPr>
          <w:tblHeader/>
        </w:trPr>
        <w:tc>
          <w:tcPr>
            <w:tcW w:type="dxa" w:w="20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世代</w:t>
            </w:r>
          </w:p>
        </w:tc>
        <w:tc>
          <w:tcPr>
            <w:tcW w:type="dxa" w:w="24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焦點與角色</w:t>
            </w:r>
          </w:p>
        </w:tc>
        <w:tc>
          <w:tcPr>
            <w:tcW w:type="dxa" w:w="23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方法特徵</w:t>
            </w:r>
          </w:p>
        </w:tc>
        <w:tc>
          <w:tcPr>
            <w:tcW w:type="dxa" w:w="2326"/>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限制與演進動力</w:t>
            </w:r>
          </w:p>
        </w:tc>
      </w:tr>
      <w:tr>
        <w:tc>
          <w:tcPr>
            <w:tcW w:type="dxa" w:w="20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第一代:測量導向</w:t>
            </w:r>
          </w:p>
        </w:tc>
        <w:tc>
          <w:tcPr>
            <w:tcW w:type="dxa" w:w="24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以測量為焦點,評估者為技術專家</w:t>
            </w:r>
          </w:p>
        </w:tc>
        <w:tc>
          <w:tcPr>
            <w:tcW w:type="dxa" w:w="23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量化指標測量政策對象特質</w:t>
            </w:r>
          </w:p>
        </w:tc>
        <w:tc>
          <w:tcPr>
            <w:tcW w:type="dxa" w:w="23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忽略價值與脈絡</w:t>
            </w:r>
          </w:p>
        </w:tc>
      </w:tr>
      <w:tr>
        <w:tc>
          <w:tcPr>
            <w:tcW w:type="dxa" w:w="20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第二代:描述導向</w:t>
            </w:r>
          </w:p>
        </w:tc>
        <w:tc>
          <w:tcPr>
            <w:tcW w:type="dxa" w:w="24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以描述為焦點,評估者為描述者</w:t>
            </w:r>
          </w:p>
        </w:tc>
        <w:tc>
          <w:tcPr>
            <w:tcW w:type="dxa" w:w="23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實地調查、個案描述執行過程</w:t>
            </w:r>
          </w:p>
        </w:tc>
        <w:tc>
          <w:tcPr>
            <w:tcW w:type="dxa" w:w="23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僅描述不判斷</w:t>
            </w:r>
          </w:p>
        </w:tc>
      </w:tr>
      <w:tr>
        <w:tc>
          <w:tcPr>
            <w:tcW w:type="dxa" w:w="20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第三代:判斷導向</w:t>
            </w:r>
          </w:p>
        </w:tc>
        <w:tc>
          <w:tcPr>
            <w:tcW w:type="dxa" w:w="24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以判斷為焦點,評估者為價值判斷者</w:t>
            </w:r>
          </w:p>
        </w:tc>
        <w:tc>
          <w:tcPr>
            <w:tcW w:type="dxa" w:w="23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對目標本身價值進行評論,引入外界標準</w:t>
            </w:r>
          </w:p>
        </w:tc>
        <w:tc>
          <w:tcPr>
            <w:tcW w:type="dxa" w:w="23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評估者權威獨占</w:t>
            </w:r>
          </w:p>
        </w:tc>
      </w:tr>
      <w:tr>
        <w:tc>
          <w:tcPr>
            <w:tcW w:type="dxa" w:w="20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第四代:協商與回應建構導向</w:t>
            </w:r>
          </w:p>
        </w:tc>
        <w:tc>
          <w:tcPr>
            <w:tcW w:type="dxa" w:w="24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以協商為焦點,評估者為協調者與促進者</w:t>
            </w:r>
          </w:p>
        </w:tc>
        <w:tc>
          <w:tcPr>
            <w:tcW w:type="dxa" w:w="23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重視利害關係人主張、關切與議題,回應性建構主義</w:t>
            </w:r>
          </w:p>
        </w:tc>
        <w:tc>
          <w:tcPr>
            <w:tcW w:type="dxa" w:w="23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耗時易受權力影響</w:t>
            </w:r>
          </w:p>
        </w:tc>
      </w:tr>
    </w:tbl>
    <w:p>
      <w:pPr>
        <w:spacing w:after="280" w:before="120"/>
        <w:jc w:val="center"/>
      </w:pPr>
      <w:r>
        <w:rPr>
          <w:rFonts w:ascii="微軟正黑體" w:cs="微軟正黑體" w:eastAsia="微軟正黑體" w:hAnsi="微軟正黑體"/>
          <w:i/>
          <w:iCs/>
          <w:color w:val="555555"/>
          <w:sz w:val="18"/>
          <w:szCs w:val="18"/>
        </w:rPr>
        <w:t xml:space="preserve">表14-4　Guba &amp; Lincoln政策評估四代演進</w:t>
      </w:r>
    </w:p>
    <w:p>
      <w:pPr>
        <w:spacing w:after="200" w:line="360"/>
        <w:ind w:firstLine="431"/>
        <w:jc w:val="both"/>
      </w:pPr>
      <w:r>
        <w:rPr>
          <w:rFonts w:ascii="微軟正黑體" w:cs="微軟正黑體" w:eastAsia="微軟正黑體" w:hAnsi="微軟正黑體"/>
          <w:sz w:val="22"/>
          <w:szCs w:val="22"/>
        </w:rPr>
        <w:t xml:space="preserve">四代演進顯示評估從技術走向政治,從單一真實走向多元建構。第四代評估的核心為「回應性評估」,與公民參與、審議民主高度相容。</w:t>
      </w:r>
    </w:p>
    <w:p>
      <w:pPr>
        <w:spacing w:after="140" w:before="260"/>
      </w:pPr>
      <w:r>
        <w:rPr>
          <w:rFonts w:ascii="微軟正黑體" w:cs="微軟正黑體" w:eastAsia="微軟正黑體" w:hAnsi="微軟正黑體"/>
          <w:b/>
          <w:bCs/>
          <w:color w:val="2E5C8A"/>
          <w:sz w:val="23"/>
          <w:szCs w:val="23"/>
        </w:rPr>
        <w:t xml:space="preserve">二、政策評估的積極目的</w:t>
      </w:r>
    </w:p>
    <w:p>
      <w:pPr>
        <w:spacing w:after="200" w:line="360"/>
        <w:ind w:firstLine="431"/>
        <w:jc w:val="both"/>
      </w:pPr>
      <w:r>
        <w:rPr>
          <w:rFonts w:ascii="微軟正黑體" w:cs="微軟正黑體" w:eastAsia="微軟正黑體" w:hAnsi="微軟正黑體"/>
          <w:sz w:val="22"/>
          <w:szCs w:val="22"/>
        </w:rPr>
        <w:t xml:space="preserve">相較於消極目的(如作為延遲決策、規避責任、象徵性交差之藉口),教科書強調積極目的七項:作為比較各替選方案優先順序之依據;作為改善政策執行程序之參考;作為增刪執行策略與技術之參考;作為繼續或停止政策之參考;作為其他機關推動類似政策之參考;作為分配競爭性資源之依據;作為接受或拒絕政策因果理論之基礎。積極目的之實現,有賴於評估獨立性與資訊公開。</w:t>
      </w:r>
    </w:p>
    <w:p>
      <w:pPr>
        <w:spacing w:after="100" w:before="160"/>
      </w:pPr>
      <w:r>
        <w:rPr>
          <w:b/>
          <w:sz w:val="28"/>
        </w:rPr>
        <w:t>第六節　全球政策評估的新發展：從「有效嗎？」走向「為何、對誰、在何種情境有效？」</w:t>
      </w:r>
    </w:p>
    <w:p>
      <w:pPr>
        <w:spacing w:after="100"/>
      </w:pPr>
      <w:r>
        <w:rPr>
          <w:b w:val="0"/>
          <w:sz w:val="22"/>
        </w:rPr>
        <w:t>傳統政策評估常以目標達成、成本效益或實驗設計回答「政策是否有效」。這些方法仍是重要基礎，但面對氣候變遷、少子高齡、數位治理、跨部門協作與生成式AI等複雜政策問題，單一平均效果往往不足以解釋政策結果。當代評估因此逐漸轉向「證據＋理論＋脈絡＋公平＋使用」的整合取向：不只估計效果大小，也追問政策透過何種機制產生效果、哪些人受益或受損、在哪些條件下才有效，以及評估結果是否真的被拿去改善政策。OECD 2025年《Government at a Glance》指出，政策評估的核心已從單次報告逐漸轉向制度化、品質與使用三個面向；2022年OECD政策評估建議也把「使用評估」視為制度化的核心。</w:t>
      </w:r>
    </w:p>
    <w:p>
      <w:pPr>
        <w:spacing w:after="100"/>
      </w:pPr>
      <w:r>
        <w:rPr>
          <w:b w:val="0"/>
          <w:sz w:val="22"/>
        </w:rPr>
        <w:t>這代表政策評估不是「找一個最好的統計方法」，而是先界定決策問題，再選擇最適合回答該問題的評估設計。簡言之：簡單政策可以用簡單指標；複雜政策則必須使用混合方法、理論導向、脈絡分析與多方參與。</w:t>
      </w:r>
    </w:p>
    <w:p>
      <w:pPr>
        <w:jc w:val="center"/>
      </w:pPr>
      <w:r>
        <w:drawing>
          <wp:inline xmlns:a="http://schemas.openxmlformats.org/drawingml/2006/main" xmlns:pic="http://schemas.openxmlformats.org/drawingml/2006/picture">
            <wp:extent cx="5760720" cy="3381053"/>
            <wp:docPr id="1" name="Picture 1"/>
            <wp:cNvGraphicFramePr>
              <a:graphicFrameLocks noChangeAspect="1"/>
            </wp:cNvGraphicFramePr>
            <a:graphic>
              <a:graphicData uri="http://schemas.openxmlformats.org/drawingml/2006/picture">
                <pic:pic>
                  <pic:nvPicPr>
                    <pic:cNvPr id="0" name="圖14-1_政策評估證據判斷回饋循環.png"/>
                    <pic:cNvPicPr/>
                  </pic:nvPicPr>
                  <pic:blipFill>
                    <a:blip r:embed="rId6"/>
                    <a:stretch>
                      <a:fillRect/>
                    </a:stretch>
                  </pic:blipFill>
                  <pic:spPr>
                    <a:xfrm>
                      <a:off x="0" y="0"/>
                      <a:ext cx="5760720" cy="3381053"/>
                    </a:xfrm>
                    <a:prstGeom prst="rect"/>
                  </pic:spPr>
                </pic:pic>
              </a:graphicData>
            </a:graphic>
          </wp:inline>
        </w:drawing>
      </w:r>
    </w:p>
    <w:p>
      <w:pPr>
        <w:jc w:val="center"/>
      </w:pPr>
      <w:r>
        <w:rPr>
          <w:i/>
          <w:sz w:val="18"/>
        </w:rPr>
        <w:t>（概念圖）</w:t>
      </w:r>
    </w:p>
    <w:p>
      <w:pPr>
        <w:spacing w:after="100" w:before="160"/>
      </w:pPr>
      <w:r>
        <w:rPr>
          <w:b/>
          <w:sz w:val="28"/>
        </w:rPr>
        <w:t>一、證據導向政策（Evidence-Informed Policy Making, EIPM）</w:t>
      </w:r>
    </w:p>
    <w:p>
      <w:pPr>
        <w:spacing w:after="100"/>
      </w:pPr>
      <w:r>
        <w:rPr>
          <w:b w:val="0"/>
          <w:sz w:val="22"/>
        </w:rPr>
        <w:t>「Evidence-based policy」容易被誤解為政策只要依賴統計證據即可決定；近年的國際討論更常使用 evidence-informed，強調研究證據只是政策決策的一部分，仍須與法律、政治可行性、倫理、民意、專業知識、在地經驗與資源限制共同判斷。OECD將證據導向政策視為制度與能力問題，而非單一研究方法問題。評估結果若無法進入預算、法規、計畫修正與資源排序，就可能出現「評估做得很好，但政策沒有改變」的使用落差。</w:t>
      </w:r>
    </w:p>
    <w:p>
      <w:pPr>
        <w:spacing w:after="100"/>
      </w:pPr>
      <w:r>
        <w:rPr>
          <w:b w:val="0"/>
          <w:sz w:val="22"/>
        </w:rPr>
        <w:t>因此，當代政策評估至少要回答五個問題：第一，政策是否產生預期結果；第二，結果是否真由政策造成；第三，政策為何有效或無效；第四，效果如何分配於不同群體；第五，評估結果是否能被決策者、執行者與公民使用。</w:t>
      </w:r>
    </w:p>
    <w:p>
      <w:pPr>
        <w:spacing w:after="100" w:before="160"/>
      </w:pPr>
      <w:r>
        <w:rPr>
          <w:b/>
          <w:sz w:val="28"/>
        </w:rPr>
        <w:t>二、理論導向評估（Theory-Based Evaluation）與政策理論</w:t>
      </w:r>
    </w:p>
    <w:p>
      <w:pPr>
        <w:spacing w:after="100"/>
      </w:pPr>
      <w:r>
        <w:rPr>
          <w:b w:val="0"/>
          <w:sz w:val="22"/>
        </w:rPr>
        <w:t>理論導向評估不把政策視為「投入—產出」的黑箱，而是先建立政策理論或Theory of Change，再檢驗其中的因果假設。例如租金補貼的理論鏈可表述為「補貼 → 降低租屋家庭實際負擔 → 提升居住穩定 → 降低居住排擠或居住品質惡化」。評估者不只測量補貼戶數，還要檢驗中間機制是否成立，以及是否存在房東調漲租金、補貼資本化等反作用。</w:t>
      </w:r>
    </w:p>
    <w:p>
      <w:pPr>
        <w:spacing w:after="100"/>
      </w:pPr>
      <w:r>
        <w:rPr>
          <w:b w:val="0"/>
          <w:sz w:val="22"/>
        </w:rPr>
        <w:t>這使「邏輯模型」從行政計畫表格，轉化為可被證偽的因果假設。2026年日本經濟產業研究所的最新政策評估教材亦特別提醒：logic model只是「待驗證的假說」，不能因為圖畫得完整，就把因果關係當成事實。這正是政策評估避免自我驗證的關鍵。</w:t>
      </w:r>
    </w:p>
    <w:p>
      <w:pPr>
        <w:jc w:val="center"/>
      </w:pPr>
      <w:r>
        <w:drawing>
          <wp:inline xmlns:a="http://schemas.openxmlformats.org/drawingml/2006/main" xmlns:pic="http://schemas.openxmlformats.org/drawingml/2006/picture">
            <wp:extent cx="5760720" cy="3157503"/>
            <wp:docPr id="2" name="Picture 2"/>
            <wp:cNvGraphicFramePr>
              <a:graphicFrameLocks noChangeAspect="1"/>
            </wp:cNvGraphicFramePr>
            <a:graphic>
              <a:graphicData uri="http://schemas.openxmlformats.org/drawingml/2006/picture">
                <pic:pic>
                  <pic:nvPicPr>
                    <pic:cNvPr id="0" name="圖14-3_邏輯模型與情境機制結果.png"/>
                    <pic:cNvPicPr/>
                  </pic:nvPicPr>
                  <pic:blipFill>
                    <a:blip r:embed="rId8"/>
                    <a:stretch>
                      <a:fillRect/>
                    </a:stretch>
                  </pic:blipFill>
                  <pic:spPr>
                    <a:xfrm>
                      <a:off x="0" y="0"/>
                      <a:ext cx="5760720" cy="3157503"/>
                    </a:xfrm>
                    <a:prstGeom prst="rect"/>
                  </pic:spPr>
                </pic:pic>
              </a:graphicData>
            </a:graphic>
          </wp:inline>
        </w:drawing>
      </w:r>
    </w:p>
    <w:p>
      <w:pPr>
        <w:jc w:val="center"/>
      </w:pPr>
      <w:r>
        <w:rPr>
          <w:i/>
          <w:sz w:val="18"/>
        </w:rPr>
        <w:t>（概念圖）</w:t>
      </w:r>
    </w:p>
    <w:p>
      <w:pPr>
        <w:spacing w:after="100" w:before="160"/>
      </w:pPr>
      <w:r>
        <w:rPr>
          <w:b/>
          <w:sz w:val="28"/>
        </w:rPr>
        <w:t>三、Realist Evaluation：從「What works？」走向「What works, for whom, in what circumstances, and why？」</w:t>
      </w:r>
    </w:p>
    <w:p>
      <w:pPr>
        <w:spacing w:after="100"/>
      </w:pPr>
      <w:r>
        <w:rPr>
          <w:b w:val="0"/>
          <w:sz w:val="22"/>
        </w:rPr>
        <w:t>Pawson與Tilley所發展的實在論評估（Realist Evaluation）特別適合社會政策與複雜政策。其核心不是尋找一個放諸四海皆準的平均效果，而是分析「情境（Context）—機制（Mechanism）—結果（Outcome）」的組合。2026年英國政府《Magenta Book》新增的Realist Evaluation補充指引，已把此法正式納入政府評估工具箱，並明確指出它適合回答「誰有效、如何有效、在何種情境有效」等問題。</w:t>
      </w:r>
    </w:p>
    <w:p>
      <w:pPr>
        <w:spacing w:after="100"/>
      </w:pPr>
      <w:r>
        <w:rPr>
          <w:b w:val="0"/>
          <w:sz w:val="22"/>
        </w:rPr>
        <w:t>其批判意義在於：同一政策在不同地方可能產生不同效果，並不必然表示其中一個地方「執行失敗」。例如社區長照服務在都市與偏鄉可能受到人口密度、照顧人力、交通距離與家庭結構影響；評估若只比較平均滿意度，可能掩蓋真正的機制與情境差異。</w:t>
      </w:r>
    </w:p>
    <w:p>
      <w:pPr>
        <w:spacing w:after="100" w:before="160"/>
      </w:pPr>
      <w:r>
        <w:rPr>
          <w:b/>
          <w:sz w:val="28"/>
        </w:rPr>
        <w:t>四、Developmental Evaluation與Adaptive Evaluation：在不確定環境中邊做邊評</w:t>
      </w:r>
    </w:p>
    <w:p>
      <w:pPr>
        <w:spacing w:after="100"/>
      </w:pPr>
      <w:r>
        <w:rPr>
          <w:b w:val="0"/>
          <w:sz w:val="22"/>
        </w:rPr>
        <w:t>Developmental Evaluation（發展性評估）由Patton系統化發展，適用於目標仍在形成、方案持續創新、環境高度不確定的政策。評估者不是站在政策外部「等結果出來再打分數」，而是即時提供資料與反思，協助政策團隊調整策略。這種方式尤其適合數位創新、社會創新、AI治理與跨域治理。其代價則是評估者與被評估者的界線較模糊，獨立性與課責性必須另行設計。</w:t>
      </w:r>
    </w:p>
    <w:p>
      <w:pPr>
        <w:spacing w:after="100"/>
      </w:pPr>
      <w:r>
        <w:rPr>
          <w:b w:val="0"/>
          <w:sz w:val="22"/>
        </w:rPr>
        <w:t>因此，Developmental Evaluation不能取代Summative Evaluation。前者偏向「學習與適應」，後者偏向「判斷與課責」；成熟的政府評估系統應允許兩者並存，而不是要求所有政策都使用同一套績效表。</w:t>
      </w:r>
    </w:p>
    <w:p>
      <w:pPr>
        <w:spacing w:after="100" w:before="160"/>
      </w:pPr>
      <w:r>
        <w:rPr>
          <w:b/>
          <w:sz w:val="28"/>
        </w:rPr>
        <w:t>五、反事實與準實驗方法：RCT、DID、RDD與Interrupted Time Series</w:t>
      </w:r>
    </w:p>
    <w:p>
      <w:pPr>
        <w:spacing w:after="100"/>
      </w:pPr>
      <w:r>
        <w:rPr>
          <w:b w:val="0"/>
          <w:sz w:val="22"/>
        </w:rPr>
        <w:t>若評估問題是「政策是否造成結果改變」，就必須建立反事實（counterfactual）：沒有政策時，本來會發生什麼？隨機控制試驗（RCT）透過隨機分派建立處理組與對照組；差異中的差異（Difference-in-Differences, DID）比較政策前後、處理組與比較組的差異；迴歸不連續設計（Regression Discontinuity Design, RDD）利用政策資格門檻附近的個案估計局部處置效果；Interrupted Time Series則利用政策前後長期時間序列檢視水準或趨勢是否改變。</w:t>
      </w:r>
    </w:p>
    <w:p>
      <w:pPr>
        <w:spacing w:after="100"/>
      </w:pPr>
      <w:r>
        <w:rPr>
          <w:b w:val="0"/>
          <w:sz w:val="22"/>
        </w:rPr>
        <w:t>這些方法的優勢是因果識別較強，但不能神化。RCT可能受倫理、成本與外部效度限制；DID需要平行趨勢等關鍵假設；RDD只提供門檻附近的局部效果；時間序列容易受同期其他事件干擾。因此，方法選擇必須由政策問題與資料生成過程決定，而不能反過來「為了使用高級方法而找問題」。</w:t>
      </w:r>
    </w:p>
    <w:p>
      <w:pPr>
        <w:spacing w:after="100" w:before="160"/>
      </w:pPr>
      <w:r>
        <w:rPr>
          <w:b/>
          <w:sz w:val="28"/>
        </w:rPr>
        <w:t>六、Contribution Analysis、QCA與Mixed Methods：面對多重原因的政策世界</w:t>
      </w:r>
    </w:p>
    <w:p>
      <w:pPr>
        <w:spacing w:after="100"/>
      </w:pPr>
      <w:r>
        <w:rPr>
          <w:b w:val="0"/>
          <w:sz w:val="22"/>
        </w:rPr>
        <w:t>Contribution Analysis（貢獻分析）不是宣稱「政策單獨造成結果」，而是建立一套可被證據支持的貢獻理論，檢查政策因果鏈、假設、風險與其他可能原因。它特別適合教育、健康、地方治理、環境與跨部門政策。Qualitative Comparative Analysis（QCA）則分析不同條件組合如何形成成功或失敗結果，適合「多條路徑都可能成功」的政策情境。</w:t>
      </w:r>
    </w:p>
    <w:p>
      <w:pPr>
        <w:spacing w:after="100"/>
      </w:pPr>
      <w:r>
        <w:rPr>
          <w:b w:val="0"/>
          <w:sz w:val="22"/>
        </w:rPr>
        <w:t>因此，當代評估越來越重視Mixed Methods：量化方法估計「效果大小」，質化方法解釋「為何發生」，行政資料回答「實際服務了誰」，訪談與參與式方法則回答「誰認為這是成功」。多種證據不是彼此競爭，而是互補。</w:t>
      </w:r>
    </w:p>
    <w:p>
      <w:pPr>
        <w:jc w:val="center"/>
      </w:pPr>
      <w:r>
        <w:drawing>
          <wp:inline xmlns:a="http://schemas.openxmlformats.org/drawingml/2006/main" xmlns:pic="http://schemas.openxmlformats.org/drawingml/2006/picture">
            <wp:extent cx="5760720" cy="3291457"/>
            <wp:docPr id="3" name="Picture 3"/>
            <wp:cNvGraphicFramePr>
              <a:graphicFrameLocks noChangeAspect="1"/>
            </wp:cNvGraphicFramePr>
            <a:graphic>
              <a:graphicData uri="http://schemas.openxmlformats.org/drawingml/2006/picture">
                <pic:pic>
                  <pic:nvPicPr>
                    <pic:cNvPr id="0" name="圖14-2_當代政策評估方法矩陣.png"/>
                    <pic:cNvPicPr/>
                  </pic:nvPicPr>
                  <pic:blipFill>
                    <a:blip r:embed="rId9"/>
                    <a:stretch>
                      <a:fillRect/>
                    </a:stretch>
                  </pic:blipFill>
                  <pic:spPr>
                    <a:xfrm>
                      <a:off x="0" y="0"/>
                      <a:ext cx="5760720" cy="3291457"/>
                    </a:xfrm>
                    <a:prstGeom prst="rect"/>
                  </pic:spPr>
                </pic:pic>
              </a:graphicData>
            </a:graphic>
          </wp:inline>
        </w:drawing>
      </w:r>
    </w:p>
    <w:p>
      <w:pPr>
        <w:jc w:val="center"/>
      </w:pPr>
      <w:r>
        <w:rPr>
          <w:i/>
          <w:sz w:val="18"/>
        </w:rPr>
        <w:t>（概念圖）</w:t>
      </w:r>
    </w:p>
    <w:p>
      <w:pPr>
        <w:spacing w:after="100" w:before="160"/>
      </w:pPr>
      <w:r>
        <w:rPr>
          <w:b/>
          <w:sz w:val="28"/>
        </w:rPr>
        <w:t>第七節　政策評估的主要模型與批判：沒有任何模型可以單獨代表「好政策」</w:t>
      </w:r>
    </w:p>
    <w:p>
      <w:pPr>
        <w:spacing w:after="100"/>
      </w:pPr>
      <w:r>
        <w:rPr>
          <w:b w:val="0"/>
          <w:sz w:val="22"/>
        </w:rPr>
        <w:t>政策評估模型是「觀察世界的鏡片」，不是世界本身。選擇模型本身就會決定什麼被看見、什麼被忽略。因此，學習政策評估不能只背模型名稱，還必須掌握每一模型的適用條件與盲點。</w:t>
      </w:r>
    </w:p>
    <w:tbl>
      <w:tblPr>
        <w:tblW w:type="auto" w:w="0"/>
        <w:jc w:val="center"/>
        <w:tblLook w:firstColumn="1" w:firstRow="1" w:lastColumn="0" w:lastRow="0" w:noHBand="0" w:noVBand="1" w:val="04A0"/>
      </w:tblPr>
      <w:tblGrid>
        <w:gridCol w:w="2256"/>
        <w:gridCol w:w="2256"/>
        <w:gridCol w:w="2256"/>
        <w:gridCol w:w="2256"/>
      </w:tblGrid>
      <w:tr>
        <w:tc>
          <w:tcPr>
            <w:tcW w:type="dxa" w:w="2256"/>
            <w:vAlign w:val="center"/>
          </w:tcPr>
          <w:p>
            <w:pPr>
              <w:spacing w:after="40"/>
            </w:pPr>
            <w:r/>
            <w:r>
              <w:rPr>
                <w:b/>
                <w:sz w:val="19"/>
              </w:rPr>
              <w:t>模型／取向</w:t>
            </w:r>
          </w:p>
        </w:tc>
        <w:tc>
          <w:tcPr>
            <w:tcW w:type="dxa" w:w="2256"/>
            <w:vAlign w:val="center"/>
          </w:tcPr>
          <w:p>
            <w:pPr>
              <w:spacing w:after="40"/>
            </w:pPr>
            <w:r/>
            <w:r>
              <w:rPr>
                <w:b/>
                <w:sz w:val="19"/>
              </w:rPr>
              <w:t>主要問題</w:t>
            </w:r>
          </w:p>
        </w:tc>
        <w:tc>
          <w:tcPr>
            <w:tcW w:type="dxa" w:w="2256"/>
            <w:vAlign w:val="center"/>
          </w:tcPr>
          <w:p>
            <w:pPr>
              <w:spacing w:after="40"/>
            </w:pPr>
            <w:r/>
            <w:r>
              <w:rPr>
                <w:b/>
                <w:sz w:val="19"/>
              </w:rPr>
              <w:t>優點</w:t>
            </w:r>
          </w:p>
        </w:tc>
        <w:tc>
          <w:tcPr>
            <w:tcW w:type="dxa" w:w="2256"/>
            <w:vAlign w:val="center"/>
          </w:tcPr>
          <w:p>
            <w:pPr>
              <w:spacing w:after="40"/>
            </w:pPr>
            <w:r/>
            <w:r>
              <w:rPr>
                <w:b/>
                <w:sz w:val="19"/>
              </w:rPr>
              <w:t>核心批判</w:t>
            </w:r>
          </w:p>
        </w:tc>
      </w:tr>
      <w:tr>
        <w:tc>
          <w:tcPr>
            <w:tcW w:type="dxa" w:w="2256"/>
            <w:vAlign w:val="center"/>
          </w:tcPr>
          <w:p>
            <w:pPr>
              <w:spacing w:after="40"/>
            </w:pPr>
            <w:r/>
            <w:r>
              <w:rPr>
                <w:b w:val="0"/>
                <w:sz w:val="18"/>
              </w:rPr>
              <w:t>目標達成模型</w:t>
            </w:r>
          </w:p>
        </w:tc>
        <w:tc>
          <w:tcPr>
            <w:tcW w:type="dxa" w:w="2256"/>
            <w:vAlign w:val="center"/>
          </w:tcPr>
          <w:p>
            <w:pPr>
              <w:spacing w:after="40"/>
            </w:pPr>
            <w:r/>
            <w:r>
              <w:rPr>
                <w:b w:val="0"/>
                <w:sz w:val="18"/>
              </w:rPr>
              <w:t>是否達成既定目標？</w:t>
            </w:r>
          </w:p>
        </w:tc>
        <w:tc>
          <w:tcPr>
            <w:tcW w:type="dxa" w:w="2256"/>
            <w:vAlign w:val="center"/>
          </w:tcPr>
          <w:p>
            <w:pPr>
              <w:spacing w:after="40"/>
            </w:pPr>
            <w:r/>
            <w:r>
              <w:rPr>
                <w:b w:val="0"/>
                <w:sz w:val="18"/>
              </w:rPr>
              <w:t>清楚、易溝通、適合課責</w:t>
            </w:r>
          </w:p>
        </w:tc>
        <w:tc>
          <w:tcPr>
            <w:tcW w:type="dxa" w:w="2256"/>
            <w:vAlign w:val="center"/>
          </w:tcPr>
          <w:p>
            <w:pPr>
              <w:spacing w:after="40"/>
            </w:pPr>
            <w:r/>
            <w:r>
              <w:rPr>
                <w:b w:val="0"/>
                <w:sz w:val="18"/>
              </w:rPr>
              <w:t>可能把錯誤目標當成正確目標，忽略第三類型錯誤</w:t>
            </w:r>
          </w:p>
        </w:tc>
      </w:tr>
      <w:tr>
        <w:tc>
          <w:tcPr>
            <w:tcW w:type="dxa" w:w="2256"/>
            <w:vAlign w:val="center"/>
          </w:tcPr>
          <w:p>
            <w:pPr>
              <w:spacing w:after="40"/>
            </w:pPr>
            <w:r/>
            <w:r>
              <w:rPr>
                <w:b w:val="0"/>
                <w:sz w:val="18"/>
              </w:rPr>
              <w:t>CIPP（Stufflebeam）</w:t>
            </w:r>
          </w:p>
        </w:tc>
        <w:tc>
          <w:tcPr>
            <w:tcW w:type="dxa" w:w="2256"/>
            <w:vAlign w:val="center"/>
          </w:tcPr>
          <w:p>
            <w:pPr>
              <w:spacing w:after="40"/>
            </w:pPr>
            <w:r/>
            <w:r>
              <w:rPr>
                <w:b w:val="0"/>
                <w:sz w:val="18"/>
              </w:rPr>
              <w:t>脈絡、投入、過程、產出是否合理？</w:t>
            </w:r>
          </w:p>
        </w:tc>
        <w:tc>
          <w:tcPr>
            <w:tcW w:type="dxa" w:w="2256"/>
            <w:vAlign w:val="center"/>
          </w:tcPr>
          <w:p>
            <w:pPr>
              <w:spacing w:after="40"/>
            </w:pPr>
            <w:r/>
            <w:r>
              <w:rPr>
                <w:b w:val="0"/>
                <w:sz w:val="18"/>
              </w:rPr>
              <w:t>適合管理大型計畫與持續改進</w:t>
            </w:r>
          </w:p>
        </w:tc>
        <w:tc>
          <w:tcPr>
            <w:tcW w:type="dxa" w:w="2256"/>
            <w:vAlign w:val="center"/>
          </w:tcPr>
          <w:p>
            <w:pPr>
              <w:spacing w:after="40"/>
            </w:pPr>
            <w:r/>
            <w:r>
              <w:rPr>
                <w:b w:val="0"/>
                <w:sz w:val="18"/>
              </w:rPr>
              <w:t>可能偏管理者視角，仍需加入公平與公民觀點</w:t>
            </w:r>
          </w:p>
        </w:tc>
      </w:tr>
      <w:tr>
        <w:tc>
          <w:tcPr>
            <w:tcW w:type="dxa" w:w="2256"/>
            <w:vAlign w:val="center"/>
          </w:tcPr>
          <w:p>
            <w:pPr>
              <w:spacing w:after="40"/>
            </w:pPr>
            <w:r/>
            <w:r>
              <w:rPr>
                <w:b w:val="0"/>
                <w:sz w:val="18"/>
              </w:rPr>
              <w:t>Goal-Free Evaluation（Scriven）</w:t>
            </w:r>
          </w:p>
        </w:tc>
        <w:tc>
          <w:tcPr>
            <w:tcW w:type="dxa" w:w="2256"/>
            <w:vAlign w:val="center"/>
          </w:tcPr>
          <w:p>
            <w:pPr>
              <w:spacing w:after="40"/>
            </w:pPr>
            <w:r/>
            <w:r>
              <w:rPr>
                <w:b w:val="0"/>
                <w:sz w:val="18"/>
              </w:rPr>
              <w:t>實際產生什麼結果，而非只看既定目標？</w:t>
            </w:r>
          </w:p>
        </w:tc>
        <w:tc>
          <w:tcPr>
            <w:tcW w:type="dxa" w:w="2256"/>
            <w:vAlign w:val="center"/>
          </w:tcPr>
          <w:p>
            <w:pPr>
              <w:spacing w:after="40"/>
            </w:pPr>
            <w:r/>
            <w:r>
              <w:rPr>
                <w:b w:val="0"/>
                <w:sz w:val="18"/>
              </w:rPr>
              <w:t>可發現非預期效果</w:t>
            </w:r>
          </w:p>
        </w:tc>
        <w:tc>
          <w:tcPr>
            <w:tcW w:type="dxa" w:w="2256"/>
            <w:vAlign w:val="center"/>
          </w:tcPr>
          <w:p>
            <w:pPr>
              <w:spacing w:after="40"/>
            </w:pPr>
            <w:r/>
            <w:r>
              <w:rPr>
                <w:b w:val="0"/>
                <w:sz w:val="18"/>
              </w:rPr>
              <w:t>需要較高的評估設計與解釋能力</w:t>
            </w:r>
          </w:p>
        </w:tc>
      </w:tr>
      <w:tr>
        <w:tc>
          <w:tcPr>
            <w:tcW w:type="dxa" w:w="2256"/>
            <w:vAlign w:val="center"/>
          </w:tcPr>
          <w:p>
            <w:pPr>
              <w:spacing w:after="40"/>
            </w:pPr>
            <w:r/>
            <w:r>
              <w:rPr>
                <w:b w:val="0"/>
                <w:sz w:val="18"/>
              </w:rPr>
              <w:t>實驗／準實驗</w:t>
            </w:r>
          </w:p>
        </w:tc>
        <w:tc>
          <w:tcPr>
            <w:tcW w:type="dxa" w:w="2256"/>
            <w:vAlign w:val="center"/>
          </w:tcPr>
          <w:p>
            <w:pPr>
              <w:spacing w:after="40"/>
            </w:pPr>
            <w:r/>
            <w:r>
              <w:rPr>
                <w:b w:val="0"/>
                <w:sz w:val="18"/>
              </w:rPr>
              <w:t>政策是否造成因果效果？</w:t>
            </w:r>
          </w:p>
        </w:tc>
        <w:tc>
          <w:tcPr>
            <w:tcW w:type="dxa" w:w="2256"/>
            <w:vAlign w:val="center"/>
          </w:tcPr>
          <w:p>
            <w:pPr>
              <w:spacing w:after="40"/>
            </w:pPr>
            <w:r/>
            <w:r>
              <w:rPr>
                <w:b w:val="0"/>
                <w:sz w:val="18"/>
              </w:rPr>
              <w:t>因果識別強</w:t>
            </w:r>
          </w:p>
        </w:tc>
        <w:tc>
          <w:tcPr>
            <w:tcW w:type="dxa" w:w="2256"/>
            <w:vAlign w:val="center"/>
          </w:tcPr>
          <w:p>
            <w:pPr>
              <w:spacing w:after="40"/>
            </w:pPr>
            <w:r/>
            <w:r>
              <w:rPr>
                <w:b w:val="0"/>
                <w:sz w:val="18"/>
              </w:rPr>
              <w:t>可能忽略脈絡、機制與長期外部效度</w:t>
            </w:r>
          </w:p>
        </w:tc>
      </w:tr>
      <w:tr>
        <w:tc>
          <w:tcPr>
            <w:tcW w:type="dxa" w:w="2256"/>
            <w:vAlign w:val="center"/>
          </w:tcPr>
          <w:p>
            <w:pPr>
              <w:spacing w:after="40"/>
            </w:pPr>
            <w:r/>
            <w:r>
              <w:rPr>
                <w:b w:val="0"/>
                <w:sz w:val="18"/>
              </w:rPr>
              <w:t>理論導向／Realist</w:t>
            </w:r>
          </w:p>
        </w:tc>
        <w:tc>
          <w:tcPr>
            <w:tcW w:type="dxa" w:w="2256"/>
            <w:vAlign w:val="center"/>
          </w:tcPr>
          <w:p>
            <w:pPr>
              <w:spacing w:after="40"/>
            </w:pPr>
            <w:r/>
            <w:r>
              <w:rPr>
                <w:b w:val="0"/>
                <w:sz w:val="18"/>
              </w:rPr>
              <w:t>為何、對誰、在何種情境有效？</w:t>
            </w:r>
          </w:p>
        </w:tc>
        <w:tc>
          <w:tcPr>
            <w:tcW w:type="dxa" w:w="2256"/>
            <w:vAlign w:val="center"/>
          </w:tcPr>
          <w:p>
            <w:pPr>
              <w:spacing w:after="40"/>
            </w:pPr>
            <w:r/>
            <w:r>
              <w:rPr>
                <w:b w:val="0"/>
                <w:sz w:val="18"/>
              </w:rPr>
              <w:t>適合複雜政策</w:t>
            </w:r>
          </w:p>
        </w:tc>
        <w:tc>
          <w:tcPr>
            <w:tcW w:type="dxa" w:w="2256"/>
            <w:vAlign w:val="center"/>
          </w:tcPr>
          <w:p>
            <w:pPr>
              <w:spacing w:after="40"/>
            </w:pPr>
            <w:r/>
            <w:r>
              <w:rPr>
                <w:b w:val="0"/>
                <w:sz w:val="18"/>
              </w:rPr>
              <w:t>因果推論較依賴理論與多元證據</w:t>
            </w:r>
          </w:p>
        </w:tc>
      </w:tr>
      <w:tr>
        <w:tc>
          <w:tcPr>
            <w:tcW w:type="dxa" w:w="2256"/>
            <w:vAlign w:val="center"/>
          </w:tcPr>
          <w:p>
            <w:pPr>
              <w:spacing w:after="40"/>
            </w:pPr>
            <w:r/>
            <w:r>
              <w:rPr>
                <w:b w:val="0"/>
                <w:sz w:val="18"/>
              </w:rPr>
              <w:t>參與／回應性評估</w:t>
            </w:r>
          </w:p>
        </w:tc>
        <w:tc>
          <w:tcPr>
            <w:tcW w:type="dxa" w:w="2256"/>
            <w:vAlign w:val="center"/>
          </w:tcPr>
          <w:p>
            <w:pPr>
              <w:spacing w:after="40"/>
            </w:pPr>
            <w:r/>
            <w:r>
              <w:rPr>
                <w:b w:val="0"/>
                <w:sz w:val="18"/>
              </w:rPr>
              <w:t>誰的價值與經驗被納入？</w:t>
            </w:r>
          </w:p>
        </w:tc>
        <w:tc>
          <w:tcPr>
            <w:tcW w:type="dxa" w:w="2256"/>
            <w:vAlign w:val="center"/>
          </w:tcPr>
          <w:p>
            <w:pPr>
              <w:spacing w:after="40"/>
            </w:pPr>
            <w:r/>
            <w:r>
              <w:rPr>
                <w:b w:val="0"/>
                <w:sz w:val="18"/>
              </w:rPr>
              <w:t>民主正當性與公平較強</w:t>
            </w:r>
          </w:p>
        </w:tc>
        <w:tc>
          <w:tcPr>
            <w:tcW w:type="dxa" w:w="2256"/>
            <w:vAlign w:val="center"/>
          </w:tcPr>
          <w:p>
            <w:pPr>
              <w:spacing w:after="40"/>
            </w:pPr>
            <w:r/>
            <w:r>
              <w:rPr>
                <w:b w:val="0"/>
                <w:sz w:val="18"/>
              </w:rPr>
              <w:t>可能受權力不對稱與參與代表性限制</w:t>
            </w:r>
          </w:p>
        </w:tc>
      </w:tr>
      <w:tr>
        <w:tc>
          <w:tcPr>
            <w:tcW w:type="dxa" w:w="2256"/>
            <w:vAlign w:val="center"/>
          </w:tcPr>
          <w:p>
            <w:pPr>
              <w:spacing w:after="40"/>
            </w:pPr>
            <w:r/>
            <w:r>
              <w:rPr>
                <w:b w:val="0"/>
                <w:sz w:val="18"/>
              </w:rPr>
              <w:t>發展性評估</w:t>
            </w:r>
          </w:p>
        </w:tc>
        <w:tc>
          <w:tcPr>
            <w:tcW w:type="dxa" w:w="2256"/>
            <w:vAlign w:val="center"/>
          </w:tcPr>
          <w:p>
            <w:pPr>
              <w:spacing w:after="40"/>
            </w:pPr>
            <w:r/>
            <w:r>
              <w:rPr>
                <w:b w:val="0"/>
                <w:sz w:val="18"/>
              </w:rPr>
              <w:t>政策如何在不確定環境中學習？</w:t>
            </w:r>
          </w:p>
        </w:tc>
        <w:tc>
          <w:tcPr>
            <w:tcW w:type="dxa" w:w="2256"/>
            <w:vAlign w:val="center"/>
          </w:tcPr>
          <w:p>
            <w:pPr>
              <w:spacing w:after="40"/>
            </w:pPr>
            <w:r/>
            <w:r>
              <w:rPr>
                <w:b w:val="0"/>
                <w:sz w:val="18"/>
              </w:rPr>
              <w:t>支持創新與快速調整</w:t>
            </w:r>
          </w:p>
        </w:tc>
        <w:tc>
          <w:tcPr>
            <w:tcW w:type="dxa" w:w="2256"/>
            <w:vAlign w:val="center"/>
          </w:tcPr>
          <w:p>
            <w:pPr>
              <w:spacing w:after="40"/>
            </w:pPr>
            <w:r/>
            <w:r>
              <w:rPr>
                <w:b w:val="0"/>
                <w:sz w:val="18"/>
              </w:rPr>
              <w:t>評估獨立性與課責界線較難維持</w:t>
            </w:r>
          </w:p>
        </w:tc>
      </w:tr>
    </w:tbl>
    <w:p>
      <w:pPr>
        <w:spacing w:after="100"/>
      </w:pPr>
      <w:r>
        <w:rPr>
          <w:b w:val="0"/>
          <w:sz w:val="22"/>
        </w:rPr>
      </w:r>
    </w:p>
    <w:p>
      <w:pPr>
        <w:spacing w:after="100" w:before="160"/>
      </w:pPr>
      <w:r>
        <w:rPr>
          <w:b/>
          <w:sz w:val="28"/>
        </w:rPr>
        <w:t>一、三個重要批判：指標不等於結果、相關不等於因果、效率不等於正義</w:t>
      </w:r>
    </w:p>
    <w:p>
      <w:pPr>
        <w:spacing w:after="100"/>
      </w:pPr>
      <w:r>
        <w:rPr>
          <w:b w:val="0"/>
          <w:sz w:val="22"/>
        </w:rPr>
        <w:t>第一，指標不等於結果。Campbell定律與Goodhart定律提醒，當量化指標成為高利害關係的績效目標，行動者可能改變行為以追求指標，而不是追求真正的公共價值。第二，相關不等於因果。政策上線後指標變好，並不能自動證明政策造成改善，必須處理反事實、選擇偏誤、同期事件與政策溢出。第三，效率不等於正義。成本效益分析可以告訴我們社會總福利可能增加多少，卻不會自動回答「誰得到利益、誰承擔成本」。因此，公平、權利、世代正義與弱勢影響應被納入評估。2025年的政策科學研究更直接提出「policy success不能只談效果，也必須納入justice」。</w:t>
      </w:r>
    </w:p>
    <w:p>
      <w:pPr>
        <w:spacing w:after="100" w:before="160"/>
      </w:pPr>
      <w:r>
        <w:rPr>
          <w:b/>
          <w:sz w:val="28"/>
        </w:rPr>
        <w:t>第八節　臺灣政府現行政策評估制度：從計畫管理走向制度化評估</w:t>
      </w:r>
    </w:p>
    <w:p>
      <w:pPr>
        <w:spacing w:after="100"/>
      </w:pPr>
      <w:r>
        <w:rPr>
          <w:b w:val="0"/>
          <w:sz w:val="22"/>
        </w:rPr>
        <w:t>臺灣政府的政策評估並非單一機關負責，而是分散在政策規劃、計畫審議、年度施政績效、預算、決算、審計及立法監督等環節。現行《行政院所屬各機關中長程個案計畫編審要點》於2025年2月修正，要求中長程個案計畫納入預期效果與影響、成本效益、風險管理、民眾參與、性別及人權影響評估；計畫執行完成後應作成總結評估報告，評估結果可作為後續計畫審議、預算先期作業與資源重排序參考。這使臺灣制度逐漸從「有沒有執行」走向「是否產生效果與影響」。</w:t>
      </w:r>
    </w:p>
    <w:p>
      <w:pPr>
        <w:spacing w:after="100"/>
      </w:pPr>
      <w:r>
        <w:rPr>
          <w:b w:val="0"/>
          <w:sz w:val="22"/>
        </w:rPr>
        <w:t>國發會目前的「中長程個案計畫效益評估」尤其值得放入教科書：對期程3年以上、執行逾1年、年度經費達1億元以上或具社會關注性的公共建設與社會發展計畫，採合作研究方式進行深度評估，並納入領域專家與利害關係團體，評估目標、過程與結果。這已具有Theory-Based、Mixed Methods與Participatory Evaluation的雛形。</w:t>
      </w:r>
    </w:p>
    <w:p>
      <w:pPr>
        <w:jc w:val="center"/>
      </w:pPr>
      <w:r>
        <w:drawing>
          <wp:inline xmlns:a="http://schemas.openxmlformats.org/drawingml/2006/main" xmlns:pic="http://schemas.openxmlformats.org/drawingml/2006/picture">
            <wp:extent cx="5760720" cy="3295385"/>
            <wp:docPr id="4" name="Picture 4"/>
            <wp:cNvGraphicFramePr>
              <a:graphicFrameLocks noChangeAspect="1"/>
            </wp:cNvGraphicFramePr>
            <a:graphic>
              <a:graphicData uri="http://schemas.openxmlformats.org/drawingml/2006/picture">
                <pic:pic>
                  <pic:nvPicPr>
                    <pic:cNvPr id="0" name="圖14-4_臺灣政策評估制度鏈.png"/>
                    <pic:cNvPicPr/>
                  </pic:nvPicPr>
                  <pic:blipFill>
                    <a:blip r:embed="rId10"/>
                    <a:stretch>
                      <a:fillRect/>
                    </a:stretch>
                  </pic:blipFill>
                  <pic:spPr>
                    <a:xfrm>
                      <a:off x="0" y="0"/>
                      <a:ext cx="5760720" cy="3295385"/>
                    </a:xfrm>
                    <a:prstGeom prst="rect"/>
                  </pic:spPr>
                </pic:pic>
              </a:graphicData>
            </a:graphic>
          </wp:inline>
        </w:drawing>
      </w:r>
    </w:p>
    <w:p>
      <w:pPr>
        <w:jc w:val="center"/>
      </w:pPr>
      <w:r>
        <w:rPr>
          <w:i/>
          <w:sz w:val="18"/>
        </w:rPr>
        <w:t>（概念圖）</w:t>
      </w:r>
    </w:p>
    <w:p>
      <w:pPr>
        <w:spacing w:after="100" w:before="160"/>
      </w:pPr>
      <w:r>
        <w:rPr>
          <w:b/>
          <w:sz w:val="28"/>
        </w:rPr>
        <w:t>一、臺灣案例一：長照2.0——「成效良好」與「制度缺口」可以同時成立</w:t>
      </w:r>
    </w:p>
    <w:p>
      <w:pPr>
        <w:spacing w:after="100"/>
      </w:pPr>
      <w:r>
        <w:rPr>
          <w:b w:val="0"/>
          <w:sz w:val="22"/>
        </w:rPr>
        <w:t>長期照顧十年計畫2.0是很適合教學的「混合型案例」。國發會委託研究曾以官方統計、質性訪談、問卷與焦點座談評估資源布建；研究發現服務使用者與家庭照顧者滿意度高，但也指出民眾對政策內涵仍不夠了解。衛福部110年滿意度調查亦顯示整體滿意度93.7%，98.4%的家庭照顧者表示照顧負荷與心理壓力減輕。這些資料支持「服務感受與使用者結果良好」。</w:t>
      </w:r>
    </w:p>
    <w:p>
      <w:pPr>
        <w:spacing w:after="100"/>
      </w:pPr>
      <w:r>
        <w:rPr>
          <w:b w:val="0"/>
          <w:sz w:val="22"/>
        </w:rPr>
        <w:t>然而，審計部的專案審計又指出財源穩定性、照服員勞動條件、地方照管人力、資源布建與資訊透明等缺口；後續追蹤顯示政府已採取改善措施。這說明「政策有效」不能只用一個滿意度數字判定。長照2.0可以同時在回應性與使用者滿意度上表現良好，卻在充分性、資源配置、公平性與執行能力上仍需改善。這正是Dunn六標準與Mixed Methods的最佳示範。</w:t>
      </w:r>
    </w:p>
    <w:p>
      <w:pPr>
        <w:spacing w:after="100" w:before="160"/>
      </w:pPr>
      <w:r>
        <w:rPr>
          <w:b/>
          <w:sz w:val="28"/>
        </w:rPr>
        <w:t>二、臺灣案例二：300億元中央擴大租金補貼——行政覆蓋成功，不等於因果效果已被完全證明</w:t>
      </w:r>
    </w:p>
    <w:p>
      <w:pPr>
        <w:spacing w:after="100"/>
      </w:pPr>
      <w:r>
        <w:rPr>
          <w:b w:val="0"/>
          <w:sz w:val="22"/>
        </w:rPr>
        <w:t>內政部資料顯示，114年9月底有效租約約71.7萬件，較113年3月底增加23.9萬件；補貼率中位數為42.4%，表示至少一半受補貼家戶的租金負擔降低幅度超過42.4%。從行政執行與服務覆蓋看，這是明顯的政策擴張與服務可近性成果。</w:t>
      </w:r>
    </w:p>
    <w:p>
      <w:pPr>
        <w:spacing w:after="100"/>
      </w:pPr>
      <w:r>
        <w:rPr>
          <w:b w:val="0"/>
          <w:sz w:val="22"/>
        </w:rPr>
        <w:t>但教材應提醒學生：這些是行政成果與描述性證據，不能直接推論「租金補貼造成所有租金負擔下降」。更完整的影響評估還要處理反事實、房東租金調整、地區房價差異、未申請者與資格排除者，甚至評估補貼是否產生部分資本化效果。這就是「政策績效資料」與「因果政策評估」的差異。</w:t>
      </w:r>
    </w:p>
    <w:p>
      <w:pPr>
        <w:spacing w:after="100" w:before="160"/>
      </w:pPr>
      <w:r>
        <w:rPr>
          <w:b/>
          <w:sz w:val="28"/>
        </w:rPr>
        <w:t>三、臺灣案例三：前瞻基礎建設——以審計揭露「執行成果與治理缺口」</w:t>
      </w:r>
    </w:p>
    <w:p>
      <w:pPr>
        <w:spacing w:after="100"/>
      </w:pPr>
      <w:r>
        <w:rPr>
          <w:b w:val="0"/>
          <w:sz w:val="22"/>
        </w:rPr>
        <w:t>前瞻基礎建設可用來示範「大型政策不能只看GDP或建設數量」。審計部對第一期特別決算的意見指出，計畫確實增加國內生產毛額並帶動民間投資，但整體預算實現率僅六成餘，部分補助款未依地方政府執行進度覈實撥付，造成資金滯存；同時也提醒計畫期程長、規模龐大，應妥善規劃財源以確保財政穩健。這種評估不是簡單判定「成功／失敗」，而是把產出、經濟效果、執行效率與財政風險放在同一框架中。</w:t>
      </w:r>
    </w:p>
    <w:p>
      <w:pPr>
        <w:spacing w:after="100"/>
      </w:pPr>
      <w:r>
        <w:rPr>
          <w:b w:val="0"/>
          <w:sz w:val="22"/>
        </w:rPr>
        <w:t>截至2026年，審計部仍持續公布前瞻基礎建設第5期特別決算及重要施政議題查核資料。對學生而言，最重要的學習點是：大型政策需要生命週期評估，不能在政策尚未成熟時用單一年度KPI作終局判斷。</w:t>
      </w:r>
    </w:p>
    <w:p>
      <w:pPr>
        <w:spacing w:after="100" w:before="160"/>
      </w:pPr>
      <w:r>
        <w:rPr>
          <w:b/>
          <w:sz w:val="28"/>
        </w:rPr>
        <w:t>第九節　臺灣與全球政策評估文獻：建立可追溯的學術對話</w:t>
      </w:r>
    </w:p>
    <w:p>
      <w:pPr>
        <w:spacing w:after="100"/>
      </w:pPr>
      <w:r>
        <w:rPr>
          <w:b w:val="0"/>
          <w:sz w:val="22"/>
        </w:rPr>
        <w:t>臺灣政策評估研究並非只有考試題庫的「Dunn六標準」。早期研究已處理政策影響評估、可評估性評估與實驗設計；近年則更重視評估典範、政策民主化、政府計畫審議與制度化評估。以下文獻可作為本章核心閱讀。</w:t>
      </w:r>
    </w:p>
    <w:tbl>
      <w:tblPr>
        <w:tblW w:type="auto" w:w="0"/>
        <w:jc w:val="center"/>
        <w:tblLook w:firstColumn="1" w:firstRow="1" w:lastColumn="0" w:lastRow="0" w:noHBand="0" w:noVBand="1" w:val="04A0"/>
      </w:tblPr>
      <w:tblGrid>
        <w:gridCol w:w="3009"/>
        <w:gridCol w:w="3009"/>
        <w:gridCol w:w="3009"/>
      </w:tblGrid>
      <w:tr>
        <w:tc>
          <w:tcPr>
            <w:tcW w:type="dxa" w:w="3009"/>
            <w:vAlign w:val="center"/>
          </w:tcPr>
          <w:p>
            <w:pPr>
              <w:spacing w:after="40"/>
            </w:pPr>
            <w:r/>
            <w:r>
              <w:rPr>
                <w:b/>
                <w:sz w:val="19"/>
              </w:rPr>
              <w:t>類別</w:t>
            </w:r>
          </w:p>
        </w:tc>
        <w:tc>
          <w:tcPr>
            <w:tcW w:type="dxa" w:w="3009"/>
            <w:vAlign w:val="center"/>
          </w:tcPr>
          <w:p>
            <w:pPr>
              <w:spacing w:after="40"/>
            </w:pPr>
            <w:r/>
            <w:r>
              <w:rPr>
                <w:b/>
                <w:sz w:val="19"/>
              </w:rPr>
              <w:t>代表文獻</w:t>
            </w:r>
          </w:p>
        </w:tc>
        <w:tc>
          <w:tcPr>
            <w:tcW w:type="dxa" w:w="3009"/>
            <w:vAlign w:val="center"/>
          </w:tcPr>
          <w:p>
            <w:pPr>
              <w:spacing w:after="40"/>
            </w:pPr>
            <w:r/>
            <w:r>
              <w:rPr>
                <w:b/>
                <w:sz w:val="19"/>
              </w:rPr>
              <w:t>可放入本章的重點</w:t>
            </w:r>
          </w:p>
        </w:tc>
      </w:tr>
      <w:tr>
        <w:tc>
          <w:tcPr>
            <w:tcW w:type="dxa" w:w="3009"/>
            <w:vAlign w:val="center"/>
          </w:tcPr>
          <w:p>
            <w:pPr>
              <w:spacing w:after="40"/>
            </w:pPr>
            <w:r/>
            <w:r>
              <w:rPr>
                <w:b w:val="0"/>
                <w:sz w:val="18"/>
              </w:rPr>
              <w:t>臺灣—評估典範</w:t>
            </w:r>
          </w:p>
        </w:tc>
        <w:tc>
          <w:tcPr>
            <w:tcW w:type="dxa" w:w="3009"/>
            <w:vAlign w:val="center"/>
          </w:tcPr>
          <w:p>
            <w:pPr>
              <w:spacing w:after="40"/>
            </w:pPr>
            <w:r/>
            <w:r>
              <w:rPr>
                <w:b w:val="0"/>
                <w:sz w:val="18"/>
              </w:rPr>
              <w:t>曾冠球（2007），〈評估研究的演進與挑戰：政策民主化觀點的檢視〉</w:t>
            </w:r>
          </w:p>
        </w:tc>
        <w:tc>
          <w:tcPr>
            <w:tcW w:type="dxa" w:w="3009"/>
            <w:vAlign w:val="center"/>
          </w:tcPr>
          <w:p>
            <w:pPr>
              <w:spacing w:after="40"/>
            </w:pPr>
            <w:r/>
            <w:r>
              <w:rPr>
                <w:b w:val="0"/>
                <w:sz w:val="18"/>
              </w:rPr>
              <w:t>從前三代評估到第四代回應性評估，討論政策民主化與參與。</w:t>
            </w:r>
          </w:p>
        </w:tc>
      </w:tr>
      <w:tr>
        <w:tc>
          <w:tcPr>
            <w:tcW w:type="dxa" w:w="3009"/>
            <w:vAlign w:val="center"/>
          </w:tcPr>
          <w:p>
            <w:pPr>
              <w:spacing w:after="40"/>
            </w:pPr>
            <w:r/>
            <w:r>
              <w:rPr>
                <w:b w:val="0"/>
                <w:sz w:val="18"/>
              </w:rPr>
              <w:t>臺灣—評估實務</w:t>
            </w:r>
          </w:p>
        </w:tc>
        <w:tc>
          <w:tcPr>
            <w:tcW w:type="dxa" w:w="3009"/>
            <w:vAlign w:val="center"/>
          </w:tcPr>
          <w:p>
            <w:pPr>
              <w:spacing w:after="40"/>
            </w:pPr>
            <w:r/>
            <w:r>
              <w:rPr>
                <w:b w:val="0"/>
                <w:sz w:val="18"/>
              </w:rPr>
              <w:t>江明修、曾冠球（2020），《解讀政策評估：領導者的決策心法》</w:t>
            </w:r>
          </w:p>
        </w:tc>
        <w:tc>
          <w:tcPr>
            <w:tcW w:type="dxa" w:w="3009"/>
            <w:vAlign w:val="center"/>
          </w:tcPr>
          <w:p>
            <w:pPr>
              <w:spacing w:after="40"/>
            </w:pPr>
            <w:r/>
            <w:r>
              <w:rPr>
                <w:b w:val="0"/>
                <w:sz w:val="18"/>
              </w:rPr>
              <w:t>連結政策評估理論與我國中長程個案計畫審議。</w:t>
            </w:r>
          </w:p>
        </w:tc>
      </w:tr>
      <w:tr>
        <w:tc>
          <w:tcPr>
            <w:tcW w:type="dxa" w:w="3009"/>
            <w:vAlign w:val="center"/>
          </w:tcPr>
          <w:p>
            <w:pPr>
              <w:spacing w:after="40"/>
            </w:pPr>
            <w:r/>
            <w:r>
              <w:rPr>
                <w:b w:val="0"/>
                <w:sz w:val="18"/>
              </w:rPr>
              <w:t>臺灣—制度與方法</w:t>
            </w:r>
          </w:p>
        </w:tc>
        <w:tc>
          <w:tcPr>
            <w:tcW w:type="dxa" w:w="3009"/>
            <w:vAlign w:val="center"/>
          </w:tcPr>
          <w:p>
            <w:pPr>
              <w:spacing w:after="40"/>
            </w:pPr>
            <w:r/>
            <w:r>
              <w:rPr>
                <w:b w:val="0"/>
                <w:sz w:val="18"/>
              </w:rPr>
              <w:t>陳珮琪、王宏文（2018），〈政策評估於國內發展所面臨之機會與挑戰〉</w:t>
            </w:r>
          </w:p>
        </w:tc>
        <w:tc>
          <w:tcPr>
            <w:tcW w:type="dxa" w:w="3009"/>
            <w:vAlign w:val="center"/>
          </w:tcPr>
          <w:p>
            <w:pPr>
              <w:spacing w:after="40"/>
            </w:pPr>
            <w:r/>
            <w:r>
              <w:rPr>
                <w:b w:val="0"/>
                <w:sz w:val="18"/>
              </w:rPr>
              <w:t>指出評估量能、範圍與深度限制，並討論Evaluability Assessment與績效審計。</w:t>
            </w:r>
          </w:p>
        </w:tc>
      </w:tr>
      <w:tr>
        <w:tc>
          <w:tcPr>
            <w:tcW w:type="dxa" w:w="3009"/>
            <w:vAlign w:val="center"/>
          </w:tcPr>
          <w:p>
            <w:pPr>
              <w:spacing w:after="40"/>
            </w:pPr>
            <w:r/>
            <w:r>
              <w:rPr>
                <w:b w:val="0"/>
                <w:sz w:val="18"/>
              </w:rPr>
              <w:t>臺灣—最新個案研究</w:t>
            </w:r>
          </w:p>
        </w:tc>
        <w:tc>
          <w:tcPr>
            <w:tcW w:type="dxa" w:w="3009"/>
            <w:vAlign w:val="center"/>
          </w:tcPr>
          <w:p>
            <w:pPr>
              <w:spacing w:after="40"/>
            </w:pPr>
            <w:r/>
            <w:r>
              <w:rPr>
                <w:b w:val="0"/>
                <w:sz w:val="18"/>
              </w:rPr>
              <w:t>Cheng, A.-T. (2024), Evaluating spatial policies without indicators</w:t>
            </w:r>
          </w:p>
        </w:tc>
        <w:tc>
          <w:tcPr>
            <w:tcW w:type="dxa" w:w="3009"/>
            <w:vAlign w:val="center"/>
          </w:tcPr>
          <w:p>
            <w:pPr>
              <w:spacing w:after="40"/>
            </w:pPr>
            <w:r/>
            <w:r>
              <w:rPr>
                <w:b w:val="0"/>
                <w:sz w:val="18"/>
              </w:rPr>
              <w:t>指出複雜空間政策可採由下而上與過程評估，避免迷信固定指標。</w:t>
            </w:r>
          </w:p>
        </w:tc>
      </w:tr>
      <w:tr>
        <w:tc>
          <w:tcPr>
            <w:tcW w:type="dxa" w:w="3009"/>
            <w:vAlign w:val="center"/>
          </w:tcPr>
          <w:p>
            <w:pPr>
              <w:spacing w:after="40"/>
            </w:pPr>
            <w:r/>
            <w:r>
              <w:rPr>
                <w:b w:val="0"/>
                <w:sz w:val="18"/>
              </w:rPr>
              <w:t>全球—經典</w:t>
            </w:r>
          </w:p>
        </w:tc>
        <w:tc>
          <w:tcPr>
            <w:tcW w:type="dxa" w:w="3009"/>
            <w:vAlign w:val="center"/>
          </w:tcPr>
          <w:p>
            <w:pPr>
              <w:spacing w:after="40"/>
            </w:pPr>
            <w:r/>
            <w:r>
              <w:rPr>
                <w:b w:val="0"/>
                <w:sz w:val="18"/>
              </w:rPr>
              <w:t>Rossi, Lipsey &amp; Freeman (2004); Weiss (1998); Vedung (1997)</w:t>
            </w:r>
          </w:p>
        </w:tc>
        <w:tc>
          <w:tcPr>
            <w:tcW w:type="dxa" w:w="3009"/>
            <w:vAlign w:val="center"/>
          </w:tcPr>
          <w:p>
            <w:pPr>
              <w:spacing w:after="40"/>
            </w:pPr>
            <w:r/>
            <w:r>
              <w:rPr>
                <w:b w:val="0"/>
                <w:sz w:val="18"/>
              </w:rPr>
              <w:t>建立方案評估、評估利用與公共政策評估的基本架構。</w:t>
            </w:r>
          </w:p>
        </w:tc>
      </w:tr>
      <w:tr>
        <w:tc>
          <w:tcPr>
            <w:tcW w:type="dxa" w:w="3009"/>
            <w:vAlign w:val="center"/>
          </w:tcPr>
          <w:p>
            <w:pPr>
              <w:spacing w:after="40"/>
            </w:pPr>
            <w:r/>
            <w:r>
              <w:rPr>
                <w:b w:val="0"/>
                <w:sz w:val="18"/>
              </w:rPr>
              <w:t>全球—發展性</w:t>
            </w:r>
          </w:p>
        </w:tc>
        <w:tc>
          <w:tcPr>
            <w:tcW w:type="dxa" w:w="3009"/>
            <w:vAlign w:val="center"/>
          </w:tcPr>
          <w:p>
            <w:pPr>
              <w:spacing w:after="40"/>
            </w:pPr>
            <w:r/>
            <w:r>
              <w:rPr>
                <w:b w:val="0"/>
                <w:sz w:val="18"/>
              </w:rPr>
              <w:t>Patton (2011), Developmental Evaluation</w:t>
            </w:r>
          </w:p>
        </w:tc>
        <w:tc>
          <w:tcPr>
            <w:tcW w:type="dxa" w:w="3009"/>
            <w:vAlign w:val="center"/>
          </w:tcPr>
          <w:p>
            <w:pPr>
              <w:spacing w:after="40"/>
            </w:pPr>
            <w:r/>
            <w:r>
              <w:rPr>
                <w:b w:val="0"/>
                <w:sz w:val="18"/>
              </w:rPr>
              <w:t>適合創新、不確定與快速變動政策環境。</w:t>
            </w:r>
          </w:p>
        </w:tc>
      </w:tr>
      <w:tr>
        <w:tc>
          <w:tcPr>
            <w:tcW w:type="dxa" w:w="3009"/>
            <w:vAlign w:val="center"/>
          </w:tcPr>
          <w:p>
            <w:pPr>
              <w:spacing w:after="40"/>
            </w:pPr>
            <w:r/>
            <w:r>
              <w:rPr>
                <w:b w:val="0"/>
                <w:sz w:val="18"/>
              </w:rPr>
              <w:t>全球—Realist</w:t>
            </w:r>
          </w:p>
        </w:tc>
        <w:tc>
          <w:tcPr>
            <w:tcW w:type="dxa" w:w="3009"/>
            <w:vAlign w:val="center"/>
          </w:tcPr>
          <w:p>
            <w:pPr>
              <w:spacing w:after="40"/>
            </w:pPr>
            <w:r/>
            <w:r>
              <w:rPr>
                <w:b w:val="0"/>
                <w:sz w:val="18"/>
              </w:rPr>
              <w:t>Pawson &amp; Tilley (1997); UK Magenta Book (2026)</w:t>
            </w:r>
          </w:p>
        </w:tc>
        <w:tc>
          <w:tcPr>
            <w:tcW w:type="dxa" w:w="3009"/>
            <w:vAlign w:val="center"/>
          </w:tcPr>
          <w:p>
            <w:pPr>
              <w:spacing w:after="40"/>
            </w:pPr>
            <w:r/>
            <w:r>
              <w:rPr>
                <w:b w:val="0"/>
                <w:sz w:val="18"/>
              </w:rPr>
              <w:t>以情境—機制—結果解釋「對誰、為何有效」。</w:t>
            </w:r>
          </w:p>
        </w:tc>
      </w:tr>
      <w:tr>
        <w:tc>
          <w:tcPr>
            <w:tcW w:type="dxa" w:w="3009"/>
            <w:vAlign w:val="center"/>
          </w:tcPr>
          <w:p>
            <w:pPr>
              <w:spacing w:after="40"/>
            </w:pPr>
            <w:r/>
            <w:r>
              <w:rPr>
                <w:b w:val="0"/>
                <w:sz w:val="18"/>
              </w:rPr>
              <w:t>全球—證據與制度</w:t>
            </w:r>
          </w:p>
        </w:tc>
        <w:tc>
          <w:tcPr>
            <w:tcW w:type="dxa" w:w="3009"/>
            <w:vAlign w:val="center"/>
          </w:tcPr>
          <w:p>
            <w:pPr>
              <w:spacing w:after="40"/>
            </w:pPr>
            <w:r/>
            <w:r>
              <w:rPr>
                <w:b w:val="0"/>
                <w:sz w:val="18"/>
              </w:rPr>
              <w:t>OECD (2022, 2025)</w:t>
            </w:r>
          </w:p>
        </w:tc>
        <w:tc>
          <w:tcPr>
            <w:tcW w:type="dxa" w:w="3009"/>
            <w:vAlign w:val="center"/>
          </w:tcPr>
          <w:p>
            <w:pPr>
              <w:spacing w:after="40"/>
            </w:pPr>
            <w:r/>
            <w:r>
              <w:rPr>
                <w:b w:val="0"/>
                <w:sz w:val="18"/>
              </w:rPr>
              <w:t>將政策評估制度化聚焦於institutionalisation、quality與use。</w:t>
            </w:r>
          </w:p>
        </w:tc>
      </w:tr>
      <w:tr>
        <w:tc>
          <w:tcPr>
            <w:tcW w:type="dxa" w:w="3009"/>
            <w:vAlign w:val="center"/>
          </w:tcPr>
          <w:p>
            <w:pPr>
              <w:spacing w:after="40"/>
            </w:pPr>
            <w:r/>
            <w:r>
              <w:rPr>
                <w:b w:val="0"/>
                <w:sz w:val="18"/>
              </w:rPr>
              <w:t>全球—公平與正義</w:t>
            </w:r>
          </w:p>
        </w:tc>
        <w:tc>
          <w:tcPr>
            <w:tcW w:type="dxa" w:w="3009"/>
            <w:vAlign w:val="center"/>
          </w:tcPr>
          <w:p>
            <w:pPr>
              <w:spacing w:after="40"/>
            </w:pPr>
            <w:r/>
            <w:r>
              <w:rPr>
                <w:b w:val="0"/>
                <w:sz w:val="18"/>
              </w:rPr>
              <w:t>2025 Policy Sciences: (Not) just policy success</w:t>
            </w:r>
          </w:p>
        </w:tc>
        <w:tc>
          <w:tcPr>
            <w:tcW w:type="dxa" w:w="3009"/>
            <w:vAlign w:val="center"/>
          </w:tcPr>
          <w:p>
            <w:pPr>
              <w:spacing w:after="40"/>
            </w:pPr>
            <w:r/>
            <w:r>
              <w:rPr>
                <w:b w:val="0"/>
                <w:sz w:val="18"/>
              </w:rPr>
              <w:t>提醒政策成功應納入justice、權力與不平等。</w:t>
            </w:r>
          </w:p>
        </w:tc>
      </w:tr>
    </w:tbl>
    <w:p>
      <w:pPr>
        <w:spacing w:after="100"/>
      </w:pPr>
      <w:r>
        <w:rPr>
          <w:b w:val="0"/>
          <w:sz w:val="22"/>
        </w:rPr>
      </w:r>
    </w:p>
    <w:p>
      <w:pPr>
        <w:spacing w:after="100" w:before="160"/>
      </w:pPr>
      <w:r>
        <w:rPr>
          <w:b/>
          <w:sz w:val="28"/>
        </w:rPr>
        <w:t>第十節　政策評估的整合模型：六問、四層、三種證據</w:t>
      </w:r>
    </w:p>
    <w:p>
      <w:pPr>
        <w:spacing w:after="100"/>
      </w:pPr>
      <w:r>
        <w:rPr>
          <w:b w:val="0"/>
          <w:sz w:val="22"/>
        </w:rPr>
        <w:t>為避免學生把各種模型當成互不相干的名詞，本章建議使用「六問—四層—三種證據」整合架構。六問是：①我們要評估什麼價值？②政策是否按照設計執行？③產生了什麼結果？④結果是否由政策造成？⑤為何、對誰、在何種情境有效？⑥評估結果如何被使用與課責？四層是：目標與價值、執行與過程、結果與因果、回饋與學習。三種證據則是量化因果證據、質化機制與脈絡證據、參與式與分配正義證據。</w:t>
      </w:r>
    </w:p>
    <w:p>
      <w:pPr>
        <w:spacing w:after="100"/>
      </w:pPr>
      <w:r>
        <w:rPr>
          <w:b w:val="0"/>
          <w:sz w:val="22"/>
        </w:rPr>
        <w:t>這套整合模型能把本章既有的Dunn、Guba &amp; Lincoln、RIA、CBA/CEA、政策變遷與AI評估全部串起來：Dunn提供價值標準；實驗與準實驗提供反事實因果證據；Theory-Based與Realist提供機制與脈絡；第四代與參與式評估提供價值多元與民主正當性；RIA處理事前政策選擇；AI影響評估則把資料、模型與自動化決策納入新的評估對象。</w:t>
      </w:r>
    </w:p>
    <w:p>
      <w:pPr>
        <w:spacing w:after="100" w:before="160"/>
      </w:pPr>
      <w:r>
        <w:rPr>
          <w:b/>
          <w:sz w:val="28"/>
        </w:rPr>
        <w:t>一、政策評估的「批判版」申論架構</w:t>
      </w:r>
    </w:p>
    <w:p>
      <w:pPr>
        <w:spacing w:after="100"/>
      </w:pPr>
      <w:r>
        <w:rPr>
          <w:b w:val="0"/>
          <w:sz w:val="22"/>
        </w:rPr>
        <w:t>遇到「請評估某政策成效」的申論題，不宜直接寫「優點三項、缺點三項」。較高層次的作答應依序寫：第一，界定政策目標與價值；第二，區分投入、活動、產出、結果與影響；第三，選擇適當評估標準；第四，判斷因果識別是否成立；第五，檢視公平、弱勢與非預期效果；第六，解釋制度與脈絡；第七，提出調整、持續、終止或重組的回饋方案。這樣才能把「政策評估」與單純「績效報告」區分開來。</w:t>
      </w:r>
    </w:p>
    <w:p>
      <w:pPr>
        <w:spacing w:after="100" w:before="160"/>
      </w:pPr>
      <w:r>
        <w:rPr>
          <w:b/>
          <w:sz w:val="28"/>
        </w:rPr>
        <w:t>參考文獻與資料來源（本次補強）</w:t>
      </w:r>
    </w:p>
    <w:p>
      <w:pPr>
        <w:spacing w:after="100"/>
      </w:pPr>
      <w:r>
        <w:rPr>
          <w:b w:val="0"/>
          <w:sz w:val="19"/>
        </w:rPr>
        <w:t>• OECD. (2022). Recommendation of the Council on Public Policy Evaluation.</w:t>
      </w:r>
    </w:p>
    <w:p>
      <w:pPr>
        <w:spacing w:after="100"/>
      </w:pPr>
      <w:r>
        <w:rPr>
          <w:b w:val="0"/>
          <w:sz w:val="19"/>
        </w:rPr>
        <w:t>• OECD. (2025). Implementation Toolkit for the OECD Recommendation on Public Policy Evaluation.</w:t>
      </w:r>
    </w:p>
    <w:p>
      <w:pPr>
        <w:spacing w:after="100"/>
      </w:pPr>
      <w:r>
        <w:rPr>
          <w:b w:val="0"/>
          <w:sz w:val="19"/>
        </w:rPr>
        <w:t>• OECD. (2025). Government at a Glance 2025, Public Policy Evaluation.</w:t>
      </w:r>
    </w:p>
    <w:p>
      <w:pPr>
        <w:spacing w:after="100"/>
      </w:pPr>
      <w:r>
        <w:rPr>
          <w:b w:val="0"/>
          <w:sz w:val="19"/>
        </w:rPr>
        <w:t>• Pawson, R., &amp; Tilley, N. (1997). Realistic Evaluation. Sage.</w:t>
      </w:r>
    </w:p>
    <w:p>
      <w:pPr>
        <w:spacing w:after="100"/>
      </w:pPr>
      <w:r>
        <w:rPr>
          <w:b w:val="0"/>
          <w:sz w:val="19"/>
        </w:rPr>
        <w:t>• Patton, M. Q. (2011). Developmental Evaluation: Applying Complexity Concepts to Enhance Innovation and Use. Guilford Press.</w:t>
      </w:r>
    </w:p>
    <w:p>
      <w:pPr>
        <w:spacing w:after="100"/>
      </w:pPr>
      <w:r>
        <w:rPr>
          <w:b w:val="0"/>
          <w:sz w:val="19"/>
        </w:rPr>
        <w:t>• Rossi, P. H., Lipsey, M. W., &amp; Freeman, H. E. (2004). Evaluation: A Systematic Approach. Sage.</w:t>
      </w:r>
    </w:p>
    <w:p>
      <w:pPr>
        <w:spacing w:after="100"/>
      </w:pPr>
      <w:r>
        <w:rPr>
          <w:b w:val="0"/>
          <w:sz w:val="19"/>
        </w:rPr>
        <w:t>• Weiss, C. H. (1998). Evaluation: Methods for Studying Programs and Policies. Prentice Hall.</w:t>
      </w:r>
    </w:p>
    <w:p>
      <w:pPr>
        <w:spacing w:after="100"/>
      </w:pPr>
      <w:r>
        <w:rPr>
          <w:b w:val="0"/>
          <w:sz w:val="19"/>
        </w:rPr>
        <w:t>• Vedung, E. (1997). Public Policy and Program Evaluation. Transaction Publishers.</w:t>
      </w:r>
    </w:p>
    <w:p>
      <w:pPr>
        <w:spacing w:after="100"/>
      </w:pPr>
      <w:r>
        <w:rPr>
          <w:b w:val="0"/>
          <w:sz w:val="19"/>
        </w:rPr>
        <w:t>• Gertler, P. J., Martinez, S., Premand, P., Rawlings, L. B., &amp; Vermeersch, C. M. J. (2016). Impact Evaluation in Practice. World Bank.</w:t>
      </w:r>
    </w:p>
    <w:p>
      <w:pPr>
        <w:spacing w:after="100"/>
      </w:pPr>
      <w:r>
        <w:rPr>
          <w:b w:val="0"/>
          <w:sz w:val="19"/>
        </w:rPr>
        <w:t>• Dunn, W. N. (2018). Public Policy Analysis (6th ed.). Routledge.</w:t>
      </w:r>
    </w:p>
    <w:p>
      <w:pPr>
        <w:spacing w:after="100"/>
      </w:pPr>
      <w:r>
        <w:rPr>
          <w:b w:val="0"/>
          <w:sz w:val="19"/>
        </w:rPr>
        <w:t>• 曾冠球（2007）。〈評估研究的演進與挑戰：政策民主化觀點的檢視〉。國立政治大學學術集成。</w:t>
      </w:r>
    </w:p>
    <w:p>
      <w:pPr>
        <w:spacing w:after="100"/>
      </w:pPr>
      <w:r>
        <w:rPr>
          <w:b w:val="0"/>
          <w:sz w:val="19"/>
        </w:rPr>
        <w:t>• 江明修、曾冠球（2020）。《解讀政策評估：領導者的決策心法》。五南。</w:t>
      </w:r>
    </w:p>
    <w:p>
      <w:pPr>
        <w:spacing w:after="100"/>
      </w:pPr>
      <w:r>
        <w:rPr>
          <w:b w:val="0"/>
          <w:sz w:val="19"/>
        </w:rPr>
        <w:t>• 陳珮琪、王宏文（2018）。〈政策評估於國內發展所面臨之機會與挑戰〉。臺灣公共行政與公共事務系所聯合會年會論文。</w:t>
      </w:r>
    </w:p>
    <w:p>
      <w:pPr>
        <w:spacing w:after="100"/>
      </w:pPr>
      <w:r>
        <w:rPr>
          <w:b w:val="0"/>
          <w:sz w:val="19"/>
        </w:rPr>
        <w:t>• Cheng, A.-T. (2024). Evaluating spatial policies without indicators: A study on Taiwan as a developmental state in transition. Evaluation and Program Planning, 102, 102376.</w:t>
      </w:r>
    </w:p>
    <w:p>
      <w:pPr>
        <w:spacing w:after="100"/>
      </w:pPr>
      <w:r>
        <w:rPr>
          <w:b w:val="0"/>
          <w:sz w:val="19"/>
        </w:rPr>
        <w:t>• 國家發展委員會（2026）。中長程個案計畫效益評估；法規政策影響評估（RIA）。</w:t>
      </w:r>
    </w:p>
    <w:p>
      <w:pPr>
        <w:spacing w:after="100"/>
      </w:pPr>
      <w:r>
        <w:rPr>
          <w:b w:val="0"/>
          <w:sz w:val="19"/>
        </w:rPr>
        <w:t>• 行政院（2025）。行政院所屬各機關中長程個案計畫編審要點。</w:t>
      </w:r>
    </w:p>
    <w:p>
      <w:pPr>
        <w:spacing w:after="100"/>
      </w:pPr>
      <w:r>
        <w:rPr>
          <w:b w:val="0"/>
          <w:sz w:val="19"/>
        </w:rPr>
        <w:t>• 審計部（2026）。中央政府前瞻基礎建設計畫特別決算審核報告。</w:t>
      </w:r>
    </w:p>
    <w:p>
      <w:pPr>
        <w:spacing w:after="100"/>
      </w:pPr>
      <w:r>
        <w:rPr>
          <w:b w:val="0"/>
          <w:sz w:val="19"/>
        </w:rPr>
        <w:t>• 衛生福利部（2022）。長照2.0服務滿意度調查與成效資料。</w:t>
      </w:r>
    </w:p>
    <w:p>
      <w:pPr>
        <w:spacing w:after="100"/>
      </w:pPr>
      <w:r>
        <w:rPr>
          <w:b w:val="0"/>
          <w:sz w:val="19"/>
        </w:rPr>
        <w:t>• 數位發展部（2026）。AI應用影響評估：兒少、人權與性別領域影響評估。</w:t>
      </w:r>
    </w:p>
    <w:p>
      <w:pPr>
        <w:spacing w:after="100"/>
      </w:pPr>
      <w:r>
        <w:rPr>
          <w:b w:val="0"/>
          <w:sz w:val="19"/>
        </w:rPr>
        <w:t>• Janssen, M., Miedzinski, M., &amp; Vankan, A. (2025). Theory-based evaluation of transformative innovation policies. European Commission Joint Research Centre.</w:t>
      </w:r>
    </w:p>
    <w:p>
      <w:pPr>
        <w:spacing w:after="180" w:before="360"/>
      </w:pPr>
      <w:r>
        <w:t>第十一節　政策評估的障礙、回饋與政策變遷</w:t>
      </w:r>
    </w:p>
    <w:p>
      <w:pPr>
        <w:spacing w:after="140" w:before="260"/>
      </w:pPr>
      <w:r>
        <w:rPr>
          <w:rFonts w:ascii="微軟正黑體" w:cs="微軟正黑體" w:eastAsia="微軟正黑體" w:hAnsi="微軟正黑體"/>
          <w:b/>
          <w:bCs/>
          <w:color w:val="2E5C8A"/>
          <w:sz w:val="23"/>
          <w:szCs w:val="23"/>
        </w:rPr>
        <w:t xml:space="preserve">一、評估障礙:黑箱與鄰避情結</w:t>
      </w:r>
    </w:p>
    <w:p>
      <w:pPr>
        <w:spacing w:after="200" w:line="360"/>
        <w:ind w:firstLine="431"/>
        <w:jc w:val="both"/>
      </w:pPr>
      <w:r>
        <w:rPr>
          <w:rFonts w:ascii="微軟正黑體" w:cs="微軟正黑體" w:eastAsia="微軟正黑體" w:hAnsi="微軟正黑體"/>
          <w:sz w:val="22"/>
          <w:szCs w:val="22"/>
        </w:rPr>
        <w:t xml:space="preserve">黑箱(Black Box)源自David Easton政治系統論,轉化過程(Conversion Process)將輸入(需求與支持)轉為輸出(政策與服務),其內部運作因資訊不對稱、專業壟斷而不透明,被喻為黑箱。政策評估目的即在打開黑箱,檢視官僚裁量、街頭官僚行為與資源轉化邏輯。AI時代黑箱具雙重意涵:傳統官僚黑箱與演算法黑箱重疊,形成「雙重黑箱」,更需可解釋性AI(XAI)與演算法審計。</w:t>
      </w:r>
    </w:p>
    <w:p>
      <w:pPr>
        <w:spacing w:after="200" w:line="360"/>
        <w:ind w:firstLine="431"/>
        <w:jc w:val="both"/>
      </w:pPr>
      <w:r>
        <w:rPr>
          <w:rFonts w:ascii="微軟正黑體" w:cs="微軟正黑體" w:eastAsia="微軟正黑體" w:hAnsi="微軟正黑體"/>
          <w:sz w:val="22"/>
          <w:szCs w:val="22"/>
        </w:rPr>
        <w:t xml:space="preserve">鄰避情結(Not In My Back Yard, NIMBY)直譯為「不要在我家後院」,指涉民眾因環境意識、風險認知抬頭,普遍支持某類必要性設施(如焚化爐、掩埋場、變電所、長照機構、精神醫療機構)之設置,但強烈反對設於自家鄰近地區,造成「人人需要、人人不要」之集體行動困境。NIMBY非單純自私,而是涉及分配公平(為何選此地?)、程序公平(有無參與決策?)與風險溝通不足。解決途徑包括公平補償、程序參與、風險溝通與回饋機制,審議式評估為關鍵。其他障礙尚包括:市場與政府失靈之糾結、滾木立法與肉桶分贓導致政策終止困難、評估資料取得不易、評估結果受政治力干擾等。</w:t>
      </w:r>
    </w:p>
    <w:p>
      <w:pPr>
        <w:spacing w:after="140" w:before="260"/>
      </w:pPr>
      <w:r>
        <w:rPr>
          <w:rFonts w:ascii="微軟正黑體" w:cs="微軟正黑體" w:eastAsia="微軟正黑體" w:hAnsi="微軟正黑體"/>
          <w:b/>
          <w:bCs/>
          <w:color w:val="2E5C8A"/>
          <w:sz w:val="23"/>
          <w:szCs w:val="23"/>
        </w:rPr>
        <w:t xml:space="preserve">二、政策變遷與政策終結</w:t>
      </w:r>
    </w:p>
    <w:p>
      <w:pPr>
        <w:spacing w:after="200" w:line="360"/>
        <w:ind w:firstLine="431"/>
        <w:jc w:val="both"/>
      </w:pPr>
      <w:r>
        <w:rPr>
          <w:rFonts w:ascii="微軟正黑體" w:cs="微軟正黑體" w:eastAsia="微軟正黑體" w:hAnsi="微軟正黑體"/>
          <w:sz w:val="22"/>
          <w:szCs w:val="22"/>
        </w:rPr>
        <w:t xml:space="preserve">政策評估之回饋可能導致政策變遷(Policy Change)。依階段論觀點可分為四類型:</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400"/>
        <w:gridCol w:w="3400"/>
        <w:gridCol w:w="4226"/>
      </w:tblGrid>
      <w:tr>
        <w:trPr>
          <w:tblHeader/>
        </w:trPr>
        <w:tc>
          <w:tcPr>
            <w:tcW w:type="dxa" w:w="14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類型</w:t>
            </w:r>
          </w:p>
        </w:tc>
        <w:tc>
          <w:tcPr>
            <w:tcW w:type="dxa" w:w="34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意涵</w:t>
            </w:r>
          </w:p>
        </w:tc>
        <w:tc>
          <w:tcPr>
            <w:tcW w:type="dxa" w:w="4226"/>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案例</w:t>
            </w:r>
          </w:p>
        </w:tc>
      </w:tr>
      <w:tr>
        <w:tc>
          <w:tcPr>
            <w:tcW w:type="dxa" w:w="14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政策創新</w:t>
            </w:r>
          </w:p>
        </w:tc>
        <w:tc>
          <w:tcPr>
            <w:tcW w:type="dxa" w:w="34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終止現行政策,另立全新政策,屬非漸進式變遷</w:t>
            </w:r>
          </w:p>
        </w:tc>
        <w:tc>
          <w:tcPr>
            <w:tcW w:type="dxa" w:w="42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結束新聞局媒體管制,改設NCC進行監理</w:t>
            </w:r>
          </w:p>
        </w:tc>
      </w:tr>
      <w:tr>
        <w:tc>
          <w:tcPr>
            <w:tcW w:type="dxa" w:w="14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政策延續</w:t>
            </w:r>
          </w:p>
        </w:tc>
        <w:tc>
          <w:tcPr>
            <w:tcW w:type="dxa" w:w="34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以現行政策為基礎進行漸進修正,原則不變</w:t>
            </w:r>
          </w:p>
        </w:tc>
        <w:tc>
          <w:tcPr>
            <w:tcW w:type="dxa" w:w="42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徵兵役期由兩年縮短為一年,加入替代役設計</w:t>
            </w:r>
          </w:p>
        </w:tc>
      </w:tr>
      <w:tr>
        <w:tc>
          <w:tcPr>
            <w:tcW w:type="dxa" w:w="14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政策維持</w:t>
            </w:r>
          </w:p>
        </w:tc>
        <w:tc>
          <w:tcPr>
            <w:tcW w:type="dxa" w:w="34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原政策不變持續執行</w:t>
            </w:r>
          </w:p>
        </w:tc>
        <w:tc>
          <w:tcPr>
            <w:tcW w:type="dxa" w:w="42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健保維持強制社會保險架構</w:t>
            </w:r>
          </w:p>
        </w:tc>
      </w:tr>
      <w:tr>
        <w:tc>
          <w:tcPr>
            <w:tcW w:type="dxa" w:w="14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政策終結</w:t>
            </w:r>
          </w:p>
        </w:tc>
        <w:tc>
          <w:tcPr>
            <w:tcW w:type="dxa" w:w="34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終止某機關或特定政策之運作</w:t>
            </w:r>
          </w:p>
        </w:tc>
        <w:tc>
          <w:tcPr>
            <w:tcW w:type="dxa" w:w="42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精省終結臺灣省政府組織、終止動員戡亂時期</w:t>
            </w:r>
          </w:p>
        </w:tc>
      </w:tr>
    </w:tbl>
    <w:p>
      <w:pPr>
        <w:spacing w:after="280" w:before="120"/>
        <w:jc w:val="center"/>
      </w:pPr>
      <w:r>
        <w:rPr>
          <w:rFonts w:ascii="微軟正黑體" w:cs="微軟正黑體" w:eastAsia="微軟正黑體" w:hAnsi="微軟正黑體"/>
          <w:i/>
          <w:iCs/>
          <w:color w:val="555555"/>
          <w:sz w:val="18"/>
          <w:szCs w:val="18"/>
        </w:rPr>
        <w:t xml:space="preserve">表14-5　政策變遷四類型</w:t>
      </w:r>
    </w:p>
    <w:p>
      <w:pPr>
        <w:spacing w:after="200" w:line="360"/>
        <w:ind w:firstLine="431"/>
        <w:jc w:val="both"/>
      </w:pPr>
      <w:r>
        <w:rPr>
          <w:rFonts w:ascii="微軟正黑體" w:cs="微軟正黑體" w:eastAsia="微軟正黑體" w:hAnsi="微軟正黑體"/>
          <w:sz w:val="22"/>
          <w:szCs w:val="22"/>
        </w:rPr>
        <w:t xml:space="preserve">政策終結在實務上最困難,表面理由為預算不足或績效不彰,實質常涉及意識形態變遷與利益重組。DeLeon(1978)指出終結策略包括替代、合併、分解與全面終結。</w:t>
      </w:r>
    </w:p>
    <w:p>
      <w:pPr>
        <w:spacing w:after="140" w:before="260"/>
      </w:pPr>
      <w:r>
        <w:rPr>
          <w:rFonts w:ascii="微軟正黑體" w:cs="微軟正黑體" w:eastAsia="微軟正黑體" w:hAnsi="微軟正黑體"/>
          <w:b/>
          <w:bCs/>
          <w:color w:val="2E5C8A"/>
          <w:sz w:val="23"/>
          <w:szCs w:val="23"/>
        </w:rPr>
        <w:t xml:space="preserve">三、多元流程模式(Multiple Streams Framework)</w:t>
      </w:r>
    </w:p>
    <w:p>
      <w:pPr>
        <w:spacing w:after="200" w:line="360"/>
        <w:ind w:firstLine="431"/>
        <w:jc w:val="both"/>
      </w:pPr>
      <w:r>
        <w:rPr>
          <w:rFonts w:ascii="微軟正黑體" w:cs="微軟正黑體" w:eastAsia="微軟正黑體" w:hAnsi="微軟正黑體"/>
          <w:sz w:val="22"/>
          <w:szCs w:val="22"/>
        </w:rPr>
        <w:t xml:space="preserve">Kingdon(1995)提出的多元流程模式認為政策變遷非理性階段序列,而是問題流(重要指標、災變、回饋顯示問題存在)、政策流(學界、智庫提出解方,重視技術可行性與價值可接受性)、政治流(民意變遷、政權輪替、利益團體施壓)三流在政策之窗(Policy Window)開啟時匯合,由政策企業家(Policy Entrepreneur)促成議程設定與政策產出。</w:t>
      </w:r>
    </w:p>
    <w:p>
      <w:pPr>
        <w:spacing w:after="140" w:before="260"/>
      </w:pPr>
      <w:r>
        <w:rPr>
          <w:rFonts w:ascii="微軟正黑體" w:cs="微軟正黑體" w:eastAsia="微軟正黑體" w:hAnsi="微軟正黑體"/>
          <w:b/>
          <w:bCs/>
          <w:color w:val="2E5C8A"/>
          <w:sz w:val="23"/>
          <w:szCs w:val="23"/>
        </w:rPr>
        <w:t xml:space="preserve">四、倡導聯盟架構(Advocacy Coalition Framework)</w:t>
      </w:r>
    </w:p>
    <w:p>
      <w:pPr>
        <w:spacing w:after="200" w:line="360"/>
        <w:ind w:firstLine="431"/>
        <w:jc w:val="both"/>
      </w:pPr>
      <w:r>
        <w:rPr>
          <w:rFonts w:ascii="微軟正黑體" w:cs="微軟正黑體" w:eastAsia="微軟正黑體" w:hAnsi="微軟正黑體"/>
          <w:sz w:val="22"/>
          <w:szCs w:val="22"/>
        </w:rPr>
        <w:t xml:space="preserve">Sabatier(1988, 2007)提出的倡導聯盟架構(ACF)主張政策次系統(Policy Subsystem)內包含公私部門行動者,依共同深層信念(價值觀)、政策信念(因果假設)與次級信念(工具偏好)形成2至4個倡導聯盟,長期(十年以上)透過政策學習、外部衝擊與內部資源動員進行政策變遷。ACF能解釋我國反核四、同志婚姻、空污管制等長期政策爭論,非短期理性模型可涵蓋。</w:t>
      </w:r>
    </w:p>
    <w:p>
      <w:pPr>
        <w:spacing w:after="180" w:before="360"/>
      </w:pPr>
      <w:r>
        <w:t>第十二節　政策溝通、民意與公民參與</w:t>
      </w:r>
    </w:p>
    <w:p>
      <w:pPr>
        <w:spacing w:after="140" w:before="260"/>
      </w:pPr>
      <w:r>
        <w:rPr>
          <w:rFonts w:ascii="微軟正黑體" w:cs="微軟正黑體" w:eastAsia="微軟正黑體" w:hAnsi="微軟正黑體"/>
          <w:b/>
          <w:bCs/>
          <w:color w:val="2E5C8A"/>
          <w:sz w:val="23"/>
          <w:szCs w:val="23"/>
        </w:rPr>
        <w:t xml:space="preserve">一、行政溝通與政策溝通</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400"/>
        <w:gridCol w:w="3300"/>
        <w:gridCol w:w="4326"/>
      </w:tblGrid>
      <w:tr>
        <w:trPr>
          <w:tblHeader/>
        </w:trPr>
        <w:tc>
          <w:tcPr>
            <w:tcW w:type="dxa" w:w="14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構面</w:t>
            </w:r>
          </w:p>
        </w:tc>
        <w:tc>
          <w:tcPr>
            <w:tcW w:type="dxa" w:w="33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行政溝通</w:t>
            </w:r>
          </w:p>
        </w:tc>
        <w:tc>
          <w:tcPr>
            <w:tcW w:type="dxa" w:w="4326"/>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政策溝通</w:t>
            </w:r>
          </w:p>
        </w:tc>
      </w:tr>
      <w:tr>
        <w:tc>
          <w:tcPr>
            <w:tcW w:type="dxa" w:w="14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定義</w:t>
            </w:r>
          </w:p>
        </w:tc>
        <w:tc>
          <w:tcPr>
            <w:tcW w:type="dxa" w:w="33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組織內部為達成目標,成員對問題、目標、任務獲取共識之過程</w:t>
            </w:r>
          </w:p>
        </w:tc>
        <w:tc>
          <w:tcPr>
            <w:tcW w:type="dxa" w:w="43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個人或團體透過媒介將政治性訊息傳遞給他者,影響政治認知之過程</w:t>
            </w:r>
          </w:p>
        </w:tc>
      </w:tr>
      <w:tr>
        <w:tc>
          <w:tcPr>
            <w:tcW w:type="dxa" w:w="14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主要對象</w:t>
            </w:r>
          </w:p>
        </w:tc>
        <w:tc>
          <w:tcPr>
            <w:tcW w:type="dxa" w:w="33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組織內上級、下級、同儕</w:t>
            </w:r>
          </w:p>
        </w:tc>
        <w:tc>
          <w:tcPr>
            <w:tcW w:type="dxa" w:w="43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公民、媒體、利害關係人、國會</w:t>
            </w:r>
          </w:p>
        </w:tc>
      </w:tr>
      <w:tr>
        <w:tc>
          <w:tcPr>
            <w:tcW w:type="dxa" w:w="14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功能</w:t>
            </w:r>
          </w:p>
        </w:tc>
        <w:tc>
          <w:tcPr>
            <w:tcW w:type="dxa" w:w="33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控制、激勵、情緒表達、資訊提供(Robbins)</w:t>
            </w:r>
          </w:p>
        </w:tc>
        <w:tc>
          <w:tcPr>
            <w:tcW w:type="dxa" w:w="43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促進政府與民眾團結、監督行政、增進情感、制定合理決策、減少謠言</w:t>
            </w:r>
          </w:p>
        </w:tc>
      </w:tr>
      <w:tr>
        <w:tc>
          <w:tcPr>
            <w:tcW w:type="dxa" w:w="14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方向</w:t>
            </w:r>
          </w:p>
        </w:tc>
        <w:tc>
          <w:tcPr>
            <w:tcW w:type="dxa" w:w="33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上行、下行、平行、斜行溝通</w:t>
            </w:r>
          </w:p>
        </w:tc>
        <w:tc>
          <w:tcPr>
            <w:tcW w:type="dxa" w:w="43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單向宣導轉向雙向對話,重視社群媒體與敘事</w:t>
            </w:r>
          </w:p>
        </w:tc>
      </w:tr>
      <w:tr>
        <w:tc>
          <w:tcPr>
            <w:tcW w:type="dxa" w:w="14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案例</w:t>
            </w:r>
          </w:p>
        </w:tc>
        <w:tc>
          <w:tcPr>
            <w:tcW w:type="dxa" w:w="33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公文、會議、內部網路、績效面談</w:t>
            </w:r>
          </w:p>
        </w:tc>
        <w:tc>
          <w:tcPr>
            <w:tcW w:type="dxa" w:w="43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施政座談會、首長信箱、Join平台、記者會、社群媒體直播</w:t>
            </w:r>
          </w:p>
        </w:tc>
      </w:tr>
    </w:tbl>
    <w:p>
      <w:pPr>
        <w:spacing w:after="280" w:before="120"/>
        <w:jc w:val="center"/>
      </w:pPr>
      <w:r>
        <w:rPr>
          <w:rFonts w:ascii="微軟正黑體" w:cs="微軟正黑體" w:eastAsia="微軟正黑體" w:hAnsi="微軟正黑體"/>
          <w:i/>
          <w:iCs/>
          <w:color w:val="555555"/>
          <w:sz w:val="18"/>
          <w:szCs w:val="18"/>
        </w:rPr>
        <w:t xml:space="preserve">表14-6　行政溝通與政策溝通之比較</w:t>
      </w:r>
    </w:p>
    <w:p>
      <w:pPr>
        <w:spacing w:after="200" w:line="360"/>
        <w:ind w:firstLine="431"/>
        <w:jc w:val="both"/>
      </w:pPr>
      <w:r>
        <w:rPr>
          <w:rFonts w:ascii="微軟正黑體" w:cs="微軟正黑體" w:eastAsia="微軟正黑體" w:hAnsi="微軟正黑體"/>
          <w:sz w:val="22"/>
          <w:szCs w:val="22"/>
        </w:rPr>
        <w:t xml:space="preserve">當代政策溝通強調「從接收者角度設計訊息」,重視透明化、即時性與敘事力。有效的政策溝通應於政策形成初期即啟動,而非僅於執行階段才進行辯護,否則易淪為政策行銷而失卻正當性。</w:t>
      </w:r>
    </w:p>
    <w:p>
      <w:pPr>
        <w:spacing w:after="140" w:before="260"/>
      </w:pPr>
      <w:r>
        <w:rPr>
          <w:rFonts w:ascii="微軟正黑體" w:cs="微軟正黑體" w:eastAsia="微軟正黑體" w:hAnsi="微軟正黑體"/>
          <w:b/>
          <w:bCs/>
          <w:color w:val="2E5C8A"/>
          <w:sz w:val="23"/>
          <w:szCs w:val="23"/>
        </w:rPr>
        <w:t xml:space="preserve">二、民意特性與在政策過程中的角色</w:t>
      </w:r>
    </w:p>
    <w:p>
      <w:pPr>
        <w:spacing w:after="200" w:line="360"/>
        <w:ind w:firstLine="431"/>
        <w:jc w:val="both"/>
      </w:pPr>
      <w:r>
        <w:rPr>
          <w:rFonts w:ascii="微軟正黑體" w:cs="微軟正黑體" w:eastAsia="微軟正黑體" w:hAnsi="微軟正黑體"/>
          <w:sz w:val="22"/>
          <w:szCs w:val="22"/>
        </w:rPr>
        <w:t xml:space="preserve">民意(Public Opinion)指某一特定時間內,一群人對特定公共事務表示之意見集合。具七項特性:複雜性,同一公共問題可能產生分歧價值與多重意見;多變性,隨時間、媒體議程與事件發展而改變;不普及性,並非人人關心同一議題,存在無意見之多數;不一致性,前後意見可能矛盾,受措辭與情境影響;不可靠性,受社會期許偏誤影響,不願表露真實意見;潛在性,潛在民意平時隱而不顯,遇特定政策刺激才浮現;容忍性,民主社會需容忍多元差異意見並存。</w:t>
      </w:r>
    </w:p>
    <w:p>
      <w:pPr>
        <w:spacing w:after="200" w:line="360"/>
        <w:ind w:firstLine="431"/>
        <w:jc w:val="both"/>
      </w:pPr>
      <w:r>
        <w:rPr>
          <w:rFonts w:ascii="微軟正黑體" w:cs="微軟正黑體" w:eastAsia="微軟正黑體" w:hAnsi="微軟正黑體"/>
          <w:sz w:val="22"/>
          <w:szCs w:val="22"/>
        </w:rPr>
        <w:t xml:space="preserve">民意在政策循環五階段之角色:問題形成階段扮演議題發起與政策議程設定角色;規劃階段引導方案設計;合法化階段扮演競爭、批判、施壓角色;執行階段作為配合、監督與批評機制;評估階段則提供績效回饋、批判與建議。民意可透過選舉、政黨、利益團體、媒體、社會運動、遊行抗議、公聽會、連署、民調、參與平台等管道表達。</w:t>
      </w:r>
    </w:p>
    <w:p>
      <w:pPr>
        <w:spacing w:after="140" w:before="260"/>
      </w:pPr>
      <w:r>
        <w:rPr>
          <w:rFonts w:ascii="微軟正黑體" w:cs="微軟正黑體" w:eastAsia="微軟正黑體" w:hAnsi="微軟正黑體"/>
          <w:b/>
          <w:bCs/>
          <w:color w:val="2E5C8A"/>
          <w:sz w:val="23"/>
          <w:szCs w:val="23"/>
        </w:rPr>
        <w:t xml:space="preserve">三、公民參與與審議民主</w:t>
      </w:r>
    </w:p>
    <w:p>
      <w:pPr>
        <w:spacing w:after="200" w:line="360"/>
        <w:ind w:firstLine="431"/>
        <w:jc w:val="both"/>
      </w:pPr>
      <w:r>
        <w:rPr>
          <w:rFonts w:ascii="微軟正黑體" w:cs="微軟正黑體" w:eastAsia="微軟正黑體" w:hAnsi="微軟正黑體"/>
          <w:sz w:val="22"/>
          <w:szCs w:val="22"/>
        </w:rPr>
        <w:t xml:space="preserve">公民參與(Citizen Participation)指公民主動涉入影響其生活之公共決策過程,涵蓋從資訊提供、諮詢,到共同決策與賦權之連續光譜(IAP2光譜)。其概念與賦權(Empowerment)、自助、協同合作與社群意識相連。傳統民調重意見之數量,易受「理性無知」與「自利偏誤」影響。Stanford大學James Fishkin提出審議式民調(Deliberative Polling),結合「審議」與「民調」優點:先以隨機抽樣選出代表性樣本,提供平衡資訊、邀請專家與多元立場對話,經小組審議後再行民調,測量「經充分資訊與審議後之民意」,提升意見品質。審議民主強調程序理性與互惠性,但批判者指出其排他性:理性言談可能有利於慣於公共辯論者,壓抑生活經驗與情緒敘事。對話性質之討論教學因而興起,重視非正式、平等、敘事性的民主實踐。</w:t>
      </w:r>
    </w:p>
    <w:p>
      <w:pPr>
        <w:spacing w:after="140" w:before="260"/>
      </w:pPr>
      <w:r>
        <w:rPr>
          <w:rFonts w:ascii="微軟正黑體" w:cs="微軟正黑體" w:eastAsia="微軟正黑體" w:hAnsi="微軟正黑體"/>
          <w:b/>
          <w:bCs/>
          <w:color w:val="2E5C8A"/>
          <w:sz w:val="23"/>
          <w:szCs w:val="23"/>
        </w:rPr>
        <w:t xml:space="preserve">四、世界咖啡館(The World Café)</w:t>
      </w:r>
    </w:p>
    <w:p>
      <w:pPr>
        <w:spacing w:after="200" w:line="360"/>
        <w:ind w:firstLine="431"/>
        <w:jc w:val="both"/>
      </w:pPr>
      <w:r>
        <w:rPr>
          <w:rFonts w:ascii="微軟正黑體" w:cs="微軟正黑體" w:eastAsia="微軟正黑體" w:hAnsi="微軟正黑體"/>
          <w:sz w:val="22"/>
          <w:szCs w:val="22"/>
        </w:rPr>
        <w:t xml:space="preserve">由Brown與Isaacs(2005)發展之結構性對話方法,隱喻咖啡館輕鬆、平等、流動之氛圍,適用於跨域、複雜、具價值衝突之公共議題。</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800"/>
        <w:gridCol w:w="6226"/>
      </w:tblGrid>
      <w:tr>
        <w:trPr>
          <w:tblHeader/>
        </w:trPr>
        <w:tc>
          <w:tcPr>
            <w:tcW w:type="dxa" w:w="28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原則╱流程</w:t>
            </w:r>
          </w:p>
        </w:tc>
        <w:tc>
          <w:tcPr>
            <w:tcW w:type="dxa" w:w="6226"/>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操作要點</w:t>
            </w:r>
          </w:p>
        </w:tc>
      </w:tr>
      <w:tr>
        <w:tc>
          <w:tcPr>
            <w:tcW w:type="dxa" w:w="2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9"/>
                <w:szCs w:val="19"/>
              </w:rPr>
              <w:t xml:space="preserve">1. 設定背景與目的</w:t>
            </w:r>
          </w:p>
        </w:tc>
        <w:tc>
          <w:tcPr>
            <w:tcW w:type="dxa" w:w="62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9"/>
                <w:szCs w:val="19"/>
              </w:rPr>
              <w:t xml:space="preserve">釐清主題與期望成果,提供開放性且能引發經驗分享之提問</w:t>
            </w:r>
          </w:p>
        </w:tc>
      </w:tr>
      <w:tr>
        <w:tc>
          <w:tcPr>
            <w:tcW w:type="dxa" w:w="2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9"/>
                <w:szCs w:val="19"/>
              </w:rPr>
              <w:t xml:space="preserve">2. 創造好客空間</w:t>
            </w:r>
          </w:p>
        </w:tc>
        <w:tc>
          <w:tcPr>
            <w:tcW w:type="dxa" w:w="62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9"/>
                <w:szCs w:val="19"/>
              </w:rPr>
              <w:t xml:space="preserve">以4-5人圓桌、紙筆、輕音樂、咖啡點心營造輕鬆氛圍,降低階級感</w:t>
            </w:r>
          </w:p>
        </w:tc>
      </w:tr>
      <w:tr>
        <w:tc>
          <w:tcPr>
            <w:tcW w:type="dxa" w:w="2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9"/>
                <w:szCs w:val="19"/>
              </w:rPr>
              <w:t xml:space="preserve">3. 探索重要問題</w:t>
            </w:r>
          </w:p>
        </w:tc>
        <w:tc>
          <w:tcPr>
            <w:tcW w:type="dxa" w:w="62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9"/>
                <w:szCs w:val="19"/>
              </w:rPr>
              <w:t xml:space="preserve">問題設計具意義性、開放性、能激發多元觀點</w:t>
            </w:r>
          </w:p>
        </w:tc>
      </w:tr>
      <w:tr>
        <w:tc>
          <w:tcPr>
            <w:tcW w:type="dxa" w:w="2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9"/>
                <w:szCs w:val="19"/>
              </w:rPr>
              <w:t xml:space="preserve">4. 鼓勵每人貢獻</w:t>
            </w:r>
          </w:p>
        </w:tc>
        <w:tc>
          <w:tcPr>
            <w:tcW w:type="dxa" w:w="62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9"/>
                <w:szCs w:val="19"/>
              </w:rPr>
              <w:t xml:space="preserve">運用發言石與桌布書寫,確保聆聽與發言並重</w:t>
            </w:r>
          </w:p>
        </w:tc>
      </w:tr>
      <w:tr>
        <w:tc>
          <w:tcPr>
            <w:tcW w:type="dxa" w:w="2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9"/>
                <w:szCs w:val="19"/>
              </w:rPr>
              <w:t xml:space="preserve">5. 連結多元觀點</w:t>
            </w:r>
          </w:p>
        </w:tc>
        <w:tc>
          <w:tcPr>
            <w:tcW w:type="dxa" w:w="62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9"/>
                <w:szCs w:val="19"/>
              </w:rPr>
              <w:t xml:space="preserve">進行三回合換桌:除桌長留守,成員移至他桌,桌長摘要前回合結論,交叉授粉</w:t>
            </w:r>
          </w:p>
        </w:tc>
      </w:tr>
      <w:tr>
        <w:tc>
          <w:tcPr>
            <w:tcW w:type="dxa" w:w="2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9"/>
                <w:szCs w:val="19"/>
              </w:rPr>
              <w:t xml:space="preserve">6. 共同聆聽深層模式</w:t>
            </w:r>
          </w:p>
        </w:tc>
        <w:tc>
          <w:tcPr>
            <w:tcW w:type="dxa" w:w="62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9"/>
                <w:szCs w:val="19"/>
              </w:rPr>
              <w:t xml:space="preserve">從個人觀點看見集體模式與深層假設,從問題到可能性思考</w:t>
            </w:r>
          </w:p>
        </w:tc>
      </w:tr>
      <w:tr>
        <w:tc>
          <w:tcPr>
            <w:tcW w:type="dxa" w:w="2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9"/>
                <w:szCs w:val="19"/>
              </w:rPr>
              <w:t xml:space="preserve">7. 收成與分享集體智慧</w:t>
            </w:r>
          </w:p>
        </w:tc>
        <w:tc>
          <w:tcPr>
            <w:tcW w:type="dxa" w:w="62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9"/>
                <w:szCs w:val="19"/>
              </w:rPr>
              <w:t xml:space="preserve">全體回饋、圖像化記錄,形成行動共識,後續公布於公共領域</w:t>
            </w:r>
          </w:p>
        </w:tc>
      </w:tr>
    </w:tbl>
    <w:p>
      <w:pPr>
        <w:spacing w:after="280" w:before="120"/>
        <w:jc w:val="center"/>
      </w:pPr>
      <w:r>
        <w:rPr>
          <w:rFonts w:ascii="微軟正黑體" w:cs="微軟正黑體" w:eastAsia="微軟正黑體" w:hAnsi="微軟正黑體"/>
          <w:i/>
          <w:iCs/>
          <w:color w:val="555555"/>
          <w:sz w:val="18"/>
          <w:szCs w:val="18"/>
        </w:rPr>
        <w:t xml:space="preserve">表14-7　世界咖啡館七項核心原則與操作流程</w:t>
      </w:r>
    </w:p>
    <w:p>
      <w:pPr>
        <w:spacing w:after="200" w:line="360"/>
        <w:ind w:firstLine="431"/>
        <w:jc w:val="both"/>
      </w:pPr>
      <w:r>
        <w:rPr>
          <w:rFonts w:ascii="微軟正黑體" w:cs="微軟正黑體" w:eastAsia="微軟正黑體" w:hAnsi="微軟正黑體"/>
          <w:sz w:val="22"/>
          <w:szCs w:val="22"/>
        </w:rPr>
        <w:t xml:space="preserve">世界咖啡館與傳統審議不同點在於:議題強調開放性而非封閉政策辯護;過程重參與學習與賦權而非僅問題解決;強調平等尊重而非批判辯論。限制為:若參與者皆為專業菁英,或議題已有定見,或人數過少、時間少於90分鐘,則效益有限。</w:t>
      </w:r>
    </w:p>
    <w:p>
      <w:pPr>
        <w:spacing w:after="180" w:before="360"/>
      </w:pPr>
      <w:r>
        <w:t>第十三節　AI治理專節：從RIA到演算法影響評估</w:t>
      </w:r>
    </w:p>
    <w:p>
      <w:pPr>
        <w:spacing w:after="200" w:line="360"/>
        <w:ind w:firstLine="431"/>
        <w:jc w:val="both"/>
      </w:pPr>
      <w:r>
        <w:rPr>
          <w:rFonts w:ascii="微軟正黑體" w:cs="微軟正黑體" w:eastAsia="微軟正黑體" w:hAnsi="微軟正黑體"/>
          <w:sz w:val="22"/>
          <w:szCs w:val="22"/>
        </w:rPr>
        <w:t xml:space="preserve">本專節聚焦:當AI既是管制對象又是評估工具時,傳統評估典範如何轉型。</w:t>
      </w:r>
    </w:p>
    <w:p>
      <w:pPr>
        <w:spacing w:after="140" w:before="260"/>
      </w:pPr>
      <w:r>
        <w:rPr>
          <w:rFonts w:ascii="微軟正黑體" w:cs="微軟正黑體" w:eastAsia="微軟正黑體" w:hAnsi="微軟正黑體"/>
          <w:b/>
          <w:bCs/>
          <w:color w:val="2E5C8A"/>
          <w:sz w:val="23"/>
          <w:szCs w:val="23"/>
        </w:rPr>
        <w:t xml:space="preserve">一、治理挑戰</w:t>
      </w:r>
    </w:p>
    <w:p>
      <w:pPr>
        <w:spacing w:after="200" w:line="360"/>
        <w:ind w:firstLine="431"/>
        <w:jc w:val="both"/>
      </w:pPr>
      <w:r>
        <w:rPr>
          <w:rFonts w:ascii="微軟正黑體" w:cs="微軟正黑體" w:eastAsia="微軟正黑體" w:hAnsi="微軟正黑體"/>
          <w:sz w:val="22"/>
          <w:szCs w:val="22"/>
        </w:rPr>
        <w:t xml:space="preserve">RIA如何評估AI管制政策?傳統RIA可量化成本效益,但AI具學習性、黑箱與外部性,事前影響難估。Dunn六標準在AI脈絡下亦產生張力:AI提升效能與效率,卻可能犧牲適當性與公平性,如人臉辨識用於社福稽查雖有效率卻損人權;以平均正確率95%掩蓋對特定弱勢群體30%錯誤率,違反保障最小福利之公平性;充分性亦受質疑,演算法僅解標籤未解結構不平等。</w:t>
      </w:r>
    </w:p>
    <w:p>
      <w:pPr>
        <w:spacing w:after="140" w:before="260"/>
      </w:pPr>
      <w:r>
        <w:rPr>
          <w:rFonts w:ascii="微軟正黑體" w:cs="微軟正黑體" w:eastAsia="微軟正黑體" w:hAnsi="微軟正黑體"/>
          <w:b/>
          <w:bCs/>
          <w:color w:val="2E5C8A"/>
          <w:sz w:val="23"/>
          <w:szCs w:val="23"/>
        </w:rPr>
        <w:t xml:space="preserve">二、理論回應:從RIA到第五代評估</w:t>
      </w:r>
    </w:p>
    <w:p>
      <w:pPr>
        <w:pStyle w:val="ListParagraph"/>
        <w:numPr>
          <w:ilvl w:val="0"/>
          <w:numId w:val="2"/>
        </w:numPr>
        <w:spacing w:after="120" w:line="340"/>
      </w:pPr>
      <w:r>
        <w:rPr>
          <w:rFonts w:ascii="微軟正黑體" w:cs="微軟正黑體" w:eastAsia="微軟正黑體" w:hAnsi="微軟正黑體"/>
          <w:sz w:val="22"/>
          <w:szCs w:val="22"/>
        </w:rPr>
        <w:t xml:space="preserve">RIA→AIA:加拿大AIA工具要求風險分級與緩解揭露;歐盟AI法Art.27 FRIA要求高風險AI部署前做基本權利影響評估;美國聯邦層級之AI治理指引則隨政黨輪替而數度改版——2024年OMB M-24-10強調風險管理與課責,2025年新政府上任後,OMB於同年4月改以M-25-21、M-25-22取代之,轉向以「加速創新採用」為核心敘事,顯示AI評估框架本身也高度受政治週期影響,此點對照本章「政策變遷」理論尤具教學意義。三者共同將RIA事前、證據、諮商精神轉為資料-模型-部署-監測生命週期評估。</w:t>
      </w:r>
    </w:p>
    <w:p>
      <w:pPr>
        <w:pStyle w:val="ListParagraph"/>
        <w:numPr>
          <w:ilvl w:val="0"/>
          <w:numId w:val="2"/>
        </w:numPr>
        <w:spacing w:after="120" w:line="340"/>
      </w:pPr>
      <w:r>
        <w:rPr>
          <w:rFonts w:ascii="微軟正黑體" w:cs="微軟正黑體" w:eastAsia="微軟正黑體" w:hAnsi="微軟正黑體"/>
          <w:sz w:val="22"/>
          <w:szCs w:val="22"/>
        </w:rPr>
        <w:t xml:space="preserve">四代→第五代:Guba &amp; Lincoln第四代重利害關係人協商,演進為第五代持續、可追溯、可爭訟之演算法評估,對象轉為資料+模型+人機流程,評估者含獨立審計與受影響群體,時點為設計前-部署前-部署後持續監測。</w:t>
      </w:r>
    </w:p>
    <w:p>
      <w:pPr>
        <w:pStyle w:val="ListParagraph"/>
        <w:numPr>
          <w:ilvl w:val="0"/>
          <w:numId w:val="2"/>
        </w:numPr>
        <w:spacing w:after="120" w:line="340"/>
      </w:pPr>
      <w:r>
        <w:rPr>
          <w:rFonts w:ascii="微軟正黑體" w:cs="微軟正黑體" w:eastAsia="微軟正黑體" w:hAnsi="微軟正黑體"/>
          <w:sz w:val="22"/>
          <w:szCs w:val="22"/>
        </w:rPr>
        <w:t xml:space="preserve">成本效益→公平與效能權衡:CBA重總淨效益,AIA須納入群體、個人與反事實公平指標,承認公平定義衝突,須審議決定,此為適當性再中心化。</w:t>
      </w:r>
    </w:p>
    <w:p>
      <w:pPr>
        <w:pStyle w:val="ListParagraph"/>
        <w:numPr>
          <w:ilvl w:val="0"/>
          <w:numId w:val="2"/>
        </w:numPr>
        <w:spacing w:after="120" w:line="340"/>
      </w:pPr>
      <w:r>
        <w:rPr>
          <w:rFonts w:ascii="微軟正黑體" w:cs="微軟正黑體" w:eastAsia="微軟正黑體" w:hAnsi="微軟正黑體"/>
          <w:sz w:val="22"/>
          <w:szCs w:val="22"/>
        </w:rPr>
        <w:t xml:space="preserve">政策終結→演算法退場:需設日落條款、人工接管與失效安全,處理模型與廠商鎖定問題。</w:t>
      </w:r>
    </w:p>
    <w:p>
      <w:pPr>
        <w:pStyle w:val="ListParagraph"/>
        <w:numPr>
          <w:ilvl w:val="0"/>
          <w:numId w:val="2"/>
        </w:numPr>
        <w:spacing w:after="120" w:line="340"/>
      </w:pPr>
      <w:r>
        <w:rPr>
          <w:rFonts w:ascii="微軟正黑體" w:cs="微軟正黑體" w:eastAsia="微軟正黑體" w:hAnsi="微軟正黑體"/>
          <w:sz w:val="22"/>
          <w:szCs w:val="22"/>
        </w:rPr>
        <w:t xml:space="preserve">世界咖啡館→vTaiwan+Polis+生成式AI:以機器學習分群共識、生成式AI摘要轉譯,在數位審議中實踐對話式評估之數位升級。</w:t>
      </w:r>
    </w:p>
    <w:p>
      <w:pPr>
        <w:spacing w:after="140" w:before="260"/>
      </w:pPr>
      <w:r>
        <w:rPr>
          <w:rFonts w:ascii="微軟正黑體" w:cs="微軟正黑體" w:eastAsia="微軟正黑體" w:hAnsi="微軟正黑體"/>
          <w:b/>
          <w:bCs/>
          <w:color w:val="2E5C8A"/>
          <w:sz w:val="23"/>
          <w:szCs w:val="23"/>
        </w:rPr>
        <w:t xml:space="preserve">三、工具箱</w:t>
      </w:r>
    </w:p>
    <w:p>
      <w:pPr>
        <w:pStyle w:val="ListParagraph"/>
        <w:numPr>
          <w:ilvl w:val="0"/>
          <w:numId w:val="2"/>
        </w:numPr>
        <w:spacing w:after="120" w:line="340"/>
      </w:pPr>
      <w:r>
        <w:rPr>
          <w:rFonts w:ascii="微軟正黑體" w:cs="微軟正黑體" w:eastAsia="微軟正黑體" w:hAnsi="微軟正黑體"/>
          <w:sz w:val="22"/>
          <w:szCs w:val="22"/>
        </w:rPr>
        <w:t xml:space="preserve">演算法審計:內部、外部、沙盒三層次,檢視資料、模型與部署流程是否符合宣稱之規範標準。</w:t>
      </w:r>
    </w:p>
    <w:p>
      <w:pPr>
        <w:pStyle w:val="ListParagraph"/>
        <w:numPr>
          <w:ilvl w:val="0"/>
          <w:numId w:val="2"/>
        </w:numPr>
        <w:spacing w:after="120" w:line="340"/>
      </w:pPr>
      <w:r>
        <w:rPr>
          <w:rFonts w:ascii="微軟正黑體" w:cs="微軟正黑體" w:eastAsia="微軟正黑體" w:hAnsi="微軟正黑體"/>
          <w:sz w:val="22"/>
          <w:szCs w:val="22"/>
        </w:rPr>
        <w:t xml:space="preserve">模型卡Model Card與資料卡Datasheet:揭露模型╱資料集之用途限制與倫理考量,作為評估之基礎文件。</w:t>
      </w:r>
    </w:p>
    <w:p>
      <w:pPr>
        <w:pStyle w:val="ListParagraph"/>
        <w:numPr>
          <w:ilvl w:val="0"/>
          <w:numId w:val="2"/>
        </w:numPr>
        <w:spacing w:after="120" w:line="340"/>
      </w:pPr>
      <w:r>
        <w:rPr>
          <w:rFonts w:ascii="微軟正黑體" w:cs="微軟正黑體" w:eastAsia="微軟正黑體" w:hAnsi="微軟正黑體"/>
          <w:sz w:val="22"/>
          <w:szCs w:val="22"/>
        </w:rPr>
        <w:t xml:space="preserve">公平性指標:差異影響比、混淆矩陣分解、SHAP/LIME、反事實解釋,協助量化演算法對不同群體之差異影響。</w:t>
      </w:r>
    </w:p>
    <w:p>
      <w:pPr>
        <w:pStyle w:val="ListParagraph"/>
        <w:numPr>
          <w:ilvl w:val="0"/>
          <w:numId w:val="2"/>
        </w:numPr>
        <w:spacing w:after="120" w:line="340"/>
      </w:pPr>
      <w:r>
        <w:rPr>
          <w:rFonts w:ascii="微軟正黑體" w:cs="微軟正黑體" w:eastAsia="微軟正黑體" w:hAnsi="微軟正黑體"/>
          <w:sz w:val="22"/>
          <w:szCs w:val="22"/>
        </w:rPr>
        <w:t xml:space="preserve">數位民意分析:以NLP分析公共政策網路參與平台與Polis拓撲圖,辨識NIMBY與沉默多數,強化政策溝通之證據基礎。</w:t>
      </w:r>
    </w:p>
    <w:p>
      <w:pPr>
        <w:spacing w:after="140" w:before="260"/>
      </w:pPr>
      <w:r>
        <w:rPr>
          <w:rFonts w:ascii="微軟正黑體" w:cs="微軟正黑體" w:eastAsia="微軟正黑體" w:hAnsi="微軟正黑體"/>
          <w:b/>
          <w:bCs/>
          <w:color w:val="2E5C8A"/>
          <w:sz w:val="23"/>
          <w:szCs w:val="23"/>
        </w:rPr>
        <w:t xml:space="preserve">四、台灣案例與最新發展(2025-2026更新)</w:t>
      </w:r>
    </w:p>
    <w:p>
      <w:pPr>
        <w:spacing w:after="200" w:line="360"/>
        <w:ind w:firstLine="431"/>
        <w:jc w:val="both"/>
      </w:pPr>
      <w:r>
        <w:rPr>
          <w:rFonts w:ascii="微軟正黑體" w:cs="微軟正黑體" w:eastAsia="微軟正黑體" w:hAnsi="微軟正黑體"/>
          <w:sz w:val="22"/>
          <w:szCs w:val="22"/>
        </w:rPr>
        <w:t xml:space="preserve">我國自2017年起推動RIA,並於公共政策網路參與平台(Join.gov.tw)公開諮商紀錄;近年並嘗試以生成式AI協助陳情摘要與爭點標籤,設AI標示與承辦人覆核機制,以降低幻覺風險。《人工智慧基本法》立法過程中,亦透過數位審議工具蒐集社會各界意見,作為基本權利影響評估之參考證據,惟具體意見蒐集規模與分析方法,建議讀者以主管機關公開資訊為準。</w:t>
      </w:r>
    </w:p>
    <w:p>
      <w:pPr>
        <w:spacing w:after="200" w:line="360"/>
        <w:ind w:firstLine="431"/>
        <w:jc w:val="both"/>
      </w:pPr>
      <w:r>
        <w:rPr>
          <w:rFonts w:ascii="微軟正黑體" w:cs="微軟正黑體" w:eastAsia="微軟正黑體" w:hAnsi="微軟正黑體"/>
          <w:sz w:val="22"/>
          <w:szCs w:val="22"/>
        </w:rPr>
        <w:t xml:space="preserve">【2025-2026年最新發展】隨《人工智慧基本法》上路,數位發展部已於2026年7月正式公布「人工智慧風險分類框架」v1.0,將政府與企業之AI應用畫分為3大類、20項子類別,並提供4大建議操作步驟;截至2026年上半年,勞動部、金融監督管理委員會等部會已著手檢視所轄業務如何適用此一框架,顯示我國正從「法規影響評估」逐步走向「演算法影響評估」的制度化階段。此一在地實踐,體現政策體系層在AI時代的閉環回饋:評估工具本身,也正在被評估與修正。</w:t>
      </w:r>
    </w:p>
    <w:p>
      <w:pPr>
        <w:spacing w:after="240" w:line="340"/>
        <w:ind w:left="576" w:right="576"/>
      </w:pPr>
      <w:r>
        <w:rPr>
          <w:rFonts w:ascii="微軟正黑體" w:cs="微軟正黑體" w:eastAsia="微軟正黑體" w:hAnsi="微軟正黑體"/>
          <w:i/>
          <w:iCs/>
          <w:sz w:val="21"/>
          <w:szCs w:val="21"/>
        </w:rPr>
        <w:t xml:space="preserve">結語:當演算法既是被評估的對象,也是評估的工具,政策評估的核心命題便不再只是「這項政策有沒有效」,而是「誰有權定義有效、誰能看見這個定義的形成過程」。</w:t>
      </w:r>
    </w:p>
    <w:p>
      <w:pPr>
        <w:spacing w:after="180" w:before="360"/>
      </w:pPr>
      <w:r>
        <w:t>第十四節　本教科書定位：政策體系層之總結</w:t>
      </w:r>
    </w:p>
    <w:p>
      <w:pPr>
        <w:spacing w:after="200" w:line="360"/>
        <w:ind w:firstLine="431"/>
        <w:jc w:val="both"/>
      </w:pPr>
      <w:r>
        <w:rPr>
          <w:rFonts w:ascii="微軟正黑體" w:cs="微軟正黑體" w:eastAsia="微軟正黑體" w:hAnsi="微軟正黑體"/>
          <w:sz w:val="22"/>
          <w:szCs w:val="22"/>
        </w:rPr>
        <w:t xml:space="preserve">本章作為政策體系層(第三層)的總結章,承接第十章公共政策概念、第十一章政策分析與規劃、第十二章政策制訂與第十三章政策執行,完整呈現政策科學的終章如何回應民主課責與AI治理挑戰。政策評估與回饋是政策循環的終點,亦是下一輪循環的起點:評估結果導向政策調整、持續、終止或重組,而回饋本身如何被治理——是經公共審議後的政策學習,還是直接由模型再訓練取代——正是本章「課責赤字」關切之核心。至此,政策體系層自政策概念、分析規劃、合法化執行,到評估回饋已完整閉環;本書後續章節將以此為基礎,轉向組織、人事與財務等制度結構層之議題,並持續以25-3-3-4-7框架追蹤AI鑲嵌後之權力位移。</w:t>
      </w:r>
    </w:p>
    <w:p>
      <w:pPr>
        <w:spacing w:after="200" w:line="360"/>
        <w:ind w:firstLine="431"/>
        <w:jc w:val="both"/>
      </w:pPr>
      <w:r>
        <w:rPr>
          <w:rFonts w:ascii="微軟正黑體" w:cs="微軟正黑體" w:eastAsia="微軟正黑體" w:hAnsi="微軟正黑體"/>
          <w:sz w:val="22"/>
          <w:szCs w:val="22"/>
        </w:rPr>
        <w:t xml:space="preserve">觀念釐清：評估種類、標準與RIA先寫完</w:t>
      </w:r>
    </w:p>
    <w:p>
      <w:pPr>
        <w:spacing w:after="200" w:line="360"/>
        <w:ind w:firstLine="431"/>
        <w:jc w:val="both"/>
      </w:pPr>
      <w:r>
        <w:rPr>
          <w:rFonts w:ascii="微軟正黑體" w:cs="微軟正黑體" w:eastAsia="微軟正黑體" w:hAnsi="微軟正黑體"/>
          <w:sz w:val="22"/>
          <w:szCs w:val="22"/>
        </w:rPr>
        <w:t xml:space="preserve">評估的功能與種類、標準與方法、障礙與政策變遷、溝通與參與，以及管制影響評估，是評估章的傳統主幹。演算法影響評估是RIA家族的延伸，不是用新縮寫取消舊標準。先能寫效度、公平與回饋，再問模型指標有沒有把評估目的換掉。</w:t>
      </w:r>
    </w:p>
    <w:p>
      <w:pPr>
        <w:spacing w:after="180" w:before="360"/>
      </w:pPr>
      <w:r>
        <w:rPr>
          <w:rFonts w:ascii="微軟正黑體" w:cs="微軟正黑體" w:eastAsia="微軟正黑體" w:hAnsi="微軟正黑體"/>
          <w:b/>
          <w:bCs/>
          <w:color w:val="1F4E79"/>
          <w:sz w:val="26"/>
          <w:szCs w:val="26"/>
        </w:rPr>
        <w:t xml:space="preserve">AI鑲嵌後的權力與結構變化:政策評估中的權力位移</w:t>
      </w:r>
    </w:p>
    <w:p>
      <w:pPr>
        <w:pStyle w:val="ListParagraph"/>
        <w:numPr>
          <w:ilvl w:val="0"/>
          <w:numId w:val="2"/>
        </w:numPr>
        <w:spacing w:after="120" w:line="340"/>
      </w:pPr>
      <w:r>
        <w:rPr>
          <w:rFonts w:ascii="微軟正黑體" w:cs="微軟正黑體" w:eastAsia="微軟正黑體" w:hAnsi="微軟正黑體"/>
          <w:sz w:val="22"/>
          <w:szCs w:val="22"/>
        </w:rPr>
        <w:t xml:space="preserve">情境建構權(P1)的延伸:評估指標之設計與訓練資料之完整性,決定了哪些政策效果「可被看見」與「可被測量」——若低收入戶、偏鄉或身心障礙者之數位足跡較少,系統便可能系統性低估其政策需求或政策受害情形,使其在評估報告中不可見。</w:t>
      </w:r>
    </w:p>
    <w:p>
      <w:pPr>
        <w:pStyle w:val="ListParagraph"/>
        <w:numPr>
          <w:ilvl w:val="0"/>
          <w:numId w:val="2"/>
        </w:numPr>
        <w:spacing w:after="120" w:line="340"/>
      </w:pPr>
      <w:r>
        <w:rPr>
          <w:rFonts w:ascii="微軟正黑體" w:cs="微軟正黑體" w:eastAsia="微軟正黑體" w:hAnsi="微軟正黑體"/>
          <w:sz w:val="22"/>
          <w:szCs w:val="22"/>
        </w:rPr>
        <w:t xml:space="preserve">行政裁量權(P2)的移轉:評估者過去擁有詮釋數據、權衡標準的專業裁量,現在則可能被壓縮為對演算法評估結果的「接受╱覆寫」二選一;當評估模型與規劃、執行階段共用同一分類邏輯時,更可能形成自我驗證迴路,使裁量實質上讓渡給模型設計者。</w:t>
      </w:r>
    </w:p>
    <w:p>
      <w:pPr>
        <w:pStyle w:val="ListParagraph"/>
        <w:numPr>
          <w:ilvl w:val="0"/>
          <w:numId w:val="2"/>
        </w:numPr>
        <w:spacing w:after="120" w:line="340"/>
      </w:pPr>
      <w:r>
        <w:rPr>
          <w:rFonts w:ascii="微軟正黑體" w:cs="微軟正黑體" w:eastAsia="微軟正黑體" w:hAnsi="微軟正黑體"/>
          <w:sz w:val="22"/>
          <w:szCs w:val="22"/>
        </w:rPr>
        <w:t xml:space="preserve">公權力影響力(P3)的擴散:當政府以演算法產出之績效指標作為政策存續、預算分配或人員考核之依據時,模型設計者對「什麼算成功」的定義權,便具有等同於政策決定者之實質影響力,卻不必然受到與正式決策相同之課責機制拘束。</w:t>
      </w:r>
    </w:p>
    <w:p>
      <w:pPr>
        <w:spacing w:after="200" w:line="360"/>
        <w:ind w:firstLine="431"/>
        <w:jc w:val="both"/>
      </w:pPr>
      <w:r>
        <w:rPr>
          <w:rFonts w:ascii="微軟正黑體" w:cs="微軟正黑體" w:eastAsia="微軟正黑體" w:hAnsi="微軟正黑體"/>
          <w:sz w:val="22"/>
          <w:szCs w:val="22"/>
        </w:rPr>
        <w:t xml:space="preserve">三種結構性效應中,本章以理由鏈之「邏輯瑕疵」與責任鏈之「課責赤字」最為核心:若評估模型與規劃、制訂、執行階段共用同一套分類邏輯與資料來源,評估便可能只是在驗證自己原有的假設,形成自我封閉的迴路;若評估結論未經具政治課責之審視即直接導入模型再訓練,回饋即由公共審議悄然轉為自動更新,使得「政策為何被判定為有效或無效」逐漸脫離民主監督的視野。此一現象亦與邊界消解相關:評估者與被評估者之邊界(政府委託私部門開發評估工具)、政策學習與模型再訓練之邊界,持續模糊化。</w:t>
      </w:r>
    </w:p>
    <w:p>
      <w:pPr>
        <w:spacing w:after="180" w:before="360"/>
      </w:pPr>
      <w:r>
        <w:rPr>
          <w:rFonts w:ascii="微軟正黑體" w:cs="微軟正黑體" w:eastAsia="微軟正黑體" w:hAnsi="微軟正黑體"/>
          <w:b/>
          <w:bCs/>
          <w:color w:val="1F4E79"/>
          <w:sz w:val="26"/>
          <w:szCs w:val="26"/>
        </w:rPr>
        <w:t xml:space="preserve">四鏈追蹤＋七項審計應用</w:t>
      </w:r>
    </w:p>
    <w:p>
      <w:pPr>
        <w:spacing w:after="200" w:line="360"/>
        <w:ind w:firstLine="431"/>
        <w:jc w:val="both"/>
      </w:pPr>
      <w:r>
        <w:rPr>
          <w:rFonts w:ascii="微軟正黑體" w:cs="微軟正黑體" w:eastAsia="微軟正黑體" w:hAnsi="微軟正黑體"/>
          <w:sz w:val="22"/>
          <w:szCs w:val="22"/>
        </w:rPr>
        <w:t xml:space="preserve">政策評估階段的四鏈七審應用,重點在於檢視評估指標之形成過程、替代因果模型是否公開,以及回饋機制能否維持外部監督:</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600"/>
        <w:gridCol w:w="4813"/>
        <w:gridCol w:w="2613"/>
      </w:tblGrid>
      <w:tr>
        <w:trPr>
          <w:tblHeader/>
        </w:trPr>
        <w:tc>
          <w:tcPr>
            <w:tcW w:type="dxa" w:w="16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治理鏈</w:t>
            </w:r>
          </w:p>
        </w:tc>
        <w:tc>
          <w:tcPr>
            <w:tcW w:type="dxa" w:w="48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本章對應內容</w:t>
            </w:r>
          </w:p>
        </w:tc>
        <w:tc>
          <w:tcPr>
            <w:tcW w:type="dxa" w:w="26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對應審計</w:t>
            </w:r>
          </w:p>
        </w:tc>
      </w:tr>
      <w:tr>
        <w:tc>
          <w:tcPr>
            <w:tcW w:type="dxa" w:w="1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情境建構鏈</w:t>
            </w:r>
          </w:p>
        </w:tc>
        <w:tc>
          <w:tcPr>
            <w:tcW w:type="dxa" w:w="48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評估指標與訓練資料如何形成,哪些政策效果或受影響群體因資料稀疏而不可見</w:t>
            </w:r>
          </w:p>
        </w:tc>
        <w:tc>
          <w:tcPr>
            <w:tcW w:type="dxa" w:w="2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資料代表性審計、隱私與資安審計</w:t>
            </w:r>
          </w:p>
        </w:tc>
      </w:tr>
      <w:tr>
        <w:tc>
          <w:tcPr>
            <w:tcW w:type="dxa" w:w="16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權威鏈</w:t>
            </w:r>
          </w:p>
        </w:tc>
        <w:tc>
          <w:tcPr>
            <w:tcW w:type="dxa" w:w="48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評估結論之法定效力,是否涵蓋政策調整、終止或重組之實質決定權,或僅供參考</w:t>
            </w:r>
          </w:p>
        </w:tc>
        <w:tc>
          <w:tcPr>
            <w:tcW w:type="dxa" w:w="2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責任歸屬審計、民主課責審計</w:t>
            </w:r>
          </w:p>
        </w:tc>
      </w:tr>
      <w:tr>
        <w:tc>
          <w:tcPr>
            <w:tcW w:type="dxa" w:w="1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理由鏈</w:t>
            </w:r>
          </w:p>
        </w:tc>
        <w:tc>
          <w:tcPr>
            <w:tcW w:type="dxa" w:w="48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評估指標與替代因果模型之邏輯是否公開,是否可向受影響之標的團體說明並受檢驗</w:t>
            </w:r>
          </w:p>
        </w:tc>
        <w:tc>
          <w:tcPr>
            <w:tcW w:type="dxa" w:w="2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理由說明審計、裁量邊界審計</w:t>
            </w:r>
          </w:p>
        </w:tc>
      </w:tr>
      <w:tr>
        <w:tc>
          <w:tcPr>
            <w:tcW w:type="dxa" w:w="16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責任鏈</w:t>
            </w:r>
          </w:p>
        </w:tc>
        <w:tc>
          <w:tcPr>
            <w:tcW w:type="dxa" w:w="48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評估結論未經公共審議即導入模型再訓練時,課責是否隨之消失,回饋是否仍可追溯</w:t>
            </w:r>
          </w:p>
        </w:tc>
        <w:tc>
          <w:tcPr>
            <w:tcW w:type="dxa" w:w="2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責任歸屬審計、組織能力審計</w:t>
            </w:r>
          </w:p>
        </w:tc>
      </w:tr>
    </w:tbl>
    <w:p>
      <w:pPr>
        <w:spacing w:after="280" w:before="120"/>
        <w:jc w:val="center"/>
      </w:pPr>
      <w:r>
        <w:rPr>
          <w:rFonts w:ascii="微軟正黑體" w:cs="微軟正黑體" w:eastAsia="微軟正黑體" w:hAnsi="微軟正黑體"/>
          <w:i/>
          <w:iCs/>
          <w:color w:val="555555"/>
          <w:sz w:val="18"/>
          <w:szCs w:val="18"/>
        </w:rPr>
        <w:t xml:space="preserve">表14-8　政策評估階段四鏈七審應用</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FF3CD" w:sz="2"/>
              <w:left w:val="single" w:color="C9971A" w:sz="24"/>
              <w:bottom w:val="single" w:color="FFF3CD" w:sz="2"/>
              <w:right w:val="single" w:color="FFF3CD" w:sz="2"/>
            </w:tcBorders>
            <w:shd w:fill="FFF3CD" w:val="clear"/>
            <w:tcMar>
              <w:top w:type="dxa" w:w="160"/>
              <w:left w:type="dxa" w:w="220"/>
              <w:bottom w:type="dxa" w:w="160"/>
              <w:right w:type="dxa" w:w="220"/>
            </w:tcMar>
          </w:tcPr>
          <w:p>
            <w:pPr>
              <w:spacing w:after="100"/>
            </w:pPr>
            <w:r>
              <w:rPr>
                <w:rFonts w:ascii="微軟正黑體" w:cs="微軟正黑體" w:eastAsia="微軟正黑體" w:hAnsi="微軟正黑體"/>
                <w:b/>
                <w:bCs/>
                <w:color w:val="C9971A"/>
                <w:sz w:val="22"/>
                <w:szCs w:val="22"/>
              </w:rPr>
              <w:t xml:space="preserve">白話說明</w:t>
            </w:r>
          </w:p>
          <w:p>
            <w:pPr>
              <w:spacing w:line="340"/>
              <w:jc w:val="both"/>
            </w:pPr>
            <w:r>
              <w:rPr>
                <w:rFonts w:ascii="微軟正黑體" w:cs="微軟正黑體" w:eastAsia="微軟正黑體" w:hAnsi="微軟正黑體"/>
                <w:sz w:val="21"/>
                <w:szCs w:val="21"/>
              </w:rPr>
              <w:t xml:space="preserve">評估若只看數字,就像只用體重計量健康,量得到的不代表全部。</w:t>
            </w:r>
          </w:p>
        </w:tc>
      </w:tr>
    </w:tbl>
    <w:p>
      <w:pPr>
        <w:spacing w:after="180" w:before="360"/>
      </w:pPr>
      <w:r>
        <w:rPr>
          <w:rFonts w:ascii="微軟正黑體" w:cs="微軟正黑體" w:eastAsia="微軟正黑體" w:hAnsi="微軟正黑體"/>
          <w:b/>
          <w:bCs/>
          <w:color w:val="1F4E79"/>
          <w:sz w:val="26"/>
          <w:szCs w:val="26"/>
        </w:rPr>
        <w:t xml:space="preserve">案例與思考討論</w:t>
      </w:r>
    </w:p>
    <w:p>
      <w:pPr>
        <w:spacing w:after="140" w:before="260"/>
      </w:pPr>
      <w:r>
        <w:rPr>
          <w:rFonts w:ascii="微軟正黑體" w:cs="微軟正黑體" w:eastAsia="微軟正黑體" w:hAnsi="微軟正黑體"/>
          <w:b/>
          <w:bCs/>
          <w:color w:val="2E5C8A"/>
          <w:sz w:val="23"/>
          <w:szCs w:val="23"/>
        </w:rPr>
        <w:t xml:space="preserve">案例思考一(國際案例):SyRI——當風險評估系統本身違法</w:t>
      </w:r>
    </w:p>
    <w:p>
      <w:pPr>
        <w:spacing w:after="200" w:line="360"/>
        <w:ind w:firstLine="431"/>
        <w:jc w:val="both"/>
      </w:pPr>
      <w:r>
        <w:rPr>
          <w:rFonts w:ascii="微軟正黑體" w:cs="微軟正黑體" w:eastAsia="微軟正黑體" w:hAnsi="微軟正黑體"/>
          <w:sz w:val="22"/>
          <w:szCs w:val="22"/>
        </w:rPr>
        <w:t xml:space="preserve">荷蘭政府自2014年起運用「系統風險指標」(System Risk Indication, SyRI)機制,整合稅務、社福、就業、住宅等多個政府資料庫,以演算法比對計算個人之福利詐欺風險分數,供地方政府決定是否將特定住宅區或個人列為稽查對象。荷蘭海牙地方法院於2020年2月作成判決,認定SyRI違反《歐洲人權公約》第8條之隱私權保障:政府始終未能清楚說明其風險指標之計算邏輯,亦未能證明其手段與目的間具備合乎比例原則之關聯性,法院因而勒令政府停止使用該系統。此案被廣泛視為演算法治理領域之里程碑判決,確立政府使用高風險評估演算法時,負有更高之透明度與可課責性義務。</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3613"/>
        <w:gridCol w:w="3613"/>
      </w:tblGrid>
      <w:tr>
        <w:trPr>
          <w:tblHeader/>
        </w:trPr>
        <w:tc>
          <w:tcPr>
            <w:tcW w:type="dxa" w:w="18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治理鏈</w:t>
            </w:r>
          </w:p>
        </w:tc>
        <w:tc>
          <w:tcPr>
            <w:tcW w:type="dxa" w:w="36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斷裂點</w:t>
            </w:r>
          </w:p>
        </w:tc>
        <w:tc>
          <w:tcPr>
            <w:tcW w:type="dxa" w:w="36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七審檢查</w:t>
            </w:r>
          </w:p>
        </w:tc>
      </w:tr>
      <w:tr>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情境建構鏈</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整合多個政府資料庫比對風險分數,受稽查地區多集中於低收入社區,資料來源本身即反映既有之社會不平等</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資料代表性審計、隱私與資安審計</w:t>
            </w:r>
          </w:p>
        </w:tc>
      </w:tr>
      <w:tr>
        <w:tc>
          <w:tcPr>
            <w:tcW w:type="dxa" w:w="1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權威鏈</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風險分數之計算邏輯從未完整公開,政府亦未能清楚說明系統決定之法定授權範圍</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責任歸屬審計、民主課責審計</w:t>
            </w:r>
          </w:p>
        </w:tc>
      </w:tr>
      <w:tr>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理由鏈</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被列為高風險之個人或地區,無從得知具體判定理由,亦無從有效申訴或檢驗</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理由說明審計、裁量邊界審計</w:t>
            </w:r>
          </w:p>
        </w:tc>
      </w:tr>
      <w:tr>
        <w:tc>
          <w:tcPr>
            <w:tcW w:type="dxa" w:w="1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責任鏈</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法院最終認定政府違反比例原則與透明義務,但系統設計階段之責任歸屬與內部審核紀錄付之闕如</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責任歸屬審計、組織能力審計</w:t>
            </w:r>
          </w:p>
        </w:tc>
      </w:tr>
    </w:tbl>
    <w:p>
      <w:pPr>
        <w:spacing w:after="280" w:before="120"/>
        <w:jc w:val="center"/>
      </w:pPr>
      <w:r>
        <w:rPr>
          <w:rFonts w:ascii="微軟正黑體" w:cs="微軟正黑體" w:eastAsia="微軟正黑體" w:hAnsi="微軟正黑體"/>
          <w:i/>
          <w:iCs/>
          <w:color w:val="555555"/>
          <w:sz w:val="18"/>
          <w:szCs w:val="18"/>
        </w:rPr>
        <w:t xml:space="preserve">表14-9　用四鏈七審檢視SyRI案例</w:t>
      </w:r>
    </w:p>
    <w:p>
      <w:pPr>
        <w:spacing w:after="140" w:before="260"/>
      </w:pPr>
      <w:r>
        <w:rPr>
          <w:rFonts w:ascii="微軟正黑體" w:cs="微軟正黑體" w:eastAsia="微軟正黑體" w:hAnsi="微軟正黑體"/>
          <w:b/>
          <w:bCs/>
          <w:color w:val="2E5C8A"/>
          <w:sz w:val="23"/>
          <w:szCs w:val="23"/>
        </w:rPr>
        <w:t xml:space="preserve">案例思考二(國際案例):荷蘭兒童福利補助詐欺認定案——一個演算法引發的內閣總辭</w:t>
      </w:r>
    </w:p>
    <w:p>
      <w:pPr>
        <w:spacing w:after="200" w:line="360"/>
        <w:ind w:firstLine="431"/>
        <w:jc w:val="both"/>
      </w:pPr>
      <w:r>
        <w:rPr>
          <w:rFonts w:ascii="微軟正黑體" w:cs="微軟正黑體" w:eastAsia="微軟正黑體" w:hAnsi="微軟正黑體"/>
          <w:sz w:val="22"/>
          <w:szCs w:val="22"/>
        </w:rPr>
        <w:t xml:space="preserve">荷蘭稅務機關自2013年起運用演算法系統,對申領育兒津貼之家庭進行詐欺風險評分,其中雙重國籍等身分背景被納入風險判定因子,形成具族裔歧視性質之篩選機制。系統將數以萬計家庭錯誤標記為詐欺,要求全額償還已領取之補助,且未給予當事人合理申訴與說明機會,許多家庭因此陷入嚴重財務困境,甚至失去住房與監護權。此案於2020年由荷蘭個人資料保護局調查認定系統之資料處理方式違法,並經國會調查委員會定性為「前所未有的不正義」(Ongekend Onrecht);時任首相呂特(Mark Rutte)率內閣於2021年1月因本案總辭,成為全球第一起因演算法治理失靈而導致政府垮台之案例。</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3613"/>
        <w:gridCol w:w="3613"/>
      </w:tblGrid>
      <w:tr>
        <w:trPr>
          <w:tblHeader/>
        </w:trPr>
        <w:tc>
          <w:tcPr>
            <w:tcW w:type="dxa" w:w="18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治理鏈</w:t>
            </w:r>
          </w:p>
        </w:tc>
        <w:tc>
          <w:tcPr>
            <w:tcW w:type="dxa" w:w="36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斷裂點</w:t>
            </w:r>
          </w:p>
        </w:tc>
        <w:tc>
          <w:tcPr>
            <w:tcW w:type="dxa" w:w="36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七審檢查</w:t>
            </w:r>
          </w:p>
        </w:tc>
      </w:tr>
      <w:tr>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情境建構鏈</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以雙重國籍等身分背景作為風險判定因子,系統性地將特定族裔背景家庭標記為高風險</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資料代表性審計、隱私與資安審計</w:t>
            </w:r>
          </w:p>
        </w:tc>
      </w:tr>
      <w:tr>
        <w:tc>
          <w:tcPr>
            <w:tcW w:type="dxa" w:w="1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權威鏈</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稅務機關逕行認定詐欺並要求全額追償,未賦予當事人相稱之正式聽證與救濟位階</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責任歸屬審計、民主課責審計</w:t>
            </w:r>
          </w:p>
        </w:tc>
      </w:tr>
      <w:tr>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理由鏈</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當事人多年未能取得系統判定其為詐欺之具體理由,行政救濟管道形同虛設</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理由說明審計、裁量邊界審計</w:t>
            </w:r>
          </w:p>
        </w:tc>
      </w:tr>
      <w:tr>
        <w:tc>
          <w:tcPr>
            <w:tcW w:type="dxa" w:w="1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責任鏈</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跨稅務機關、資訊部門與政治決策層之責任長期未被釐清,最終以內閣總辭作為政治責任之終局回應</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責任歸屬審計、組織能力審計</w:t>
            </w:r>
          </w:p>
        </w:tc>
      </w:tr>
    </w:tbl>
    <w:p>
      <w:pPr>
        <w:spacing w:after="280" w:before="120"/>
        <w:jc w:val="center"/>
      </w:pPr>
      <w:r>
        <w:rPr>
          <w:rFonts w:ascii="微軟正黑體" w:cs="微軟正黑體" w:eastAsia="微軟正黑體" w:hAnsi="微軟正黑體"/>
          <w:i/>
          <w:iCs/>
          <w:color w:val="555555"/>
          <w:sz w:val="18"/>
          <w:szCs w:val="18"/>
        </w:rPr>
        <w:t xml:space="preserve">表14-10　用四鏈七審檢視荷蘭兒童福利補助詐欺認定案</w:t>
      </w:r>
    </w:p>
    <w:p>
      <w:pPr>
        <w:spacing w:after="140" w:before="260"/>
      </w:pPr>
      <w:r>
        <w:rPr>
          <w:rFonts w:ascii="微軟正黑體" w:cs="微軟正黑體" w:eastAsia="微軟正黑體" w:hAnsi="微軟正黑體"/>
          <w:b/>
          <w:bCs/>
          <w:color w:val="2E5C8A"/>
          <w:sz w:val="23"/>
          <w:szCs w:val="23"/>
        </w:rPr>
        <w:t xml:space="preserve">案例思考三:教學評鑑演算法——當「可測量」被誤認為「重要」</w:t>
      </w:r>
    </w:p>
    <w:p>
      <w:pPr>
        <w:spacing w:after="200" w:line="360"/>
        <w:ind w:firstLine="431"/>
        <w:jc w:val="both"/>
      </w:pPr>
      <w:r>
        <w:rPr>
          <w:rFonts w:ascii="微軟正黑體" w:cs="微軟正黑體" w:eastAsia="微軟正黑體" w:hAnsi="微軟正黑體"/>
          <w:sz w:val="22"/>
          <w:szCs w:val="22"/>
        </w:rPr>
        <w:t xml:space="preserve">部分教育行政機關嘗試以量化指標(如標準化測驗成績成長率、出缺勤率、學生評教分數)建立教師教學評鑑演算法,協助行政管理與資源配置決策。</w:t>
      </w:r>
    </w:p>
    <w:p>
      <w:pPr>
        <w:pStyle w:val="ListParagraph"/>
        <w:numPr>
          <w:ilvl w:val="0"/>
          <w:numId w:val="2"/>
        </w:numPr>
        <w:spacing w:after="120" w:line="340"/>
      </w:pPr>
      <w:r>
        <w:rPr>
          <w:rFonts w:ascii="微軟正黑體" w:cs="微軟正黑體" w:eastAsia="微軟正黑體" w:hAnsi="微軟正黑體"/>
          <w:sz w:val="22"/>
          <w:szCs w:val="22"/>
        </w:rPr>
        <w:t xml:space="preserve">問題界定:量化指標易於蒐集與比較,但教學品質涉及啟發性、班級經營、學生長期發展等難以量化之面向,評鑑演算法可能系統性偏好「容易被測量」而非「真正重要」之教學行為。</w:t>
      </w:r>
    </w:p>
    <w:p>
      <w:pPr>
        <w:pStyle w:val="ListParagraph"/>
        <w:numPr>
          <w:ilvl w:val="0"/>
          <w:numId w:val="2"/>
        </w:numPr>
        <w:spacing w:after="120" w:line="340"/>
      </w:pPr>
      <w:r>
        <w:rPr>
          <w:rFonts w:ascii="微軟正黑體" w:cs="微軟正黑體" w:eastAsia="微軟正黑體" w:hAnsi="微軟正黑體"/>
          <w:sz w:val="22"/>
          <w:szCs w:val="22"/>
        </w:rPr>
        <w:t xml:space="preserve">交接風險:當演算法評鑑分數被直接或間接連結至續聘、考績或資源分配時,教師是否仍保有透過申訴或人工複核挑戰評鑑結果之實質空間?</w:t>
      </w:r>
    </w:p>
    <w:p>
      <w:pPr>
        <w:pStyle w:val="ListParagraph"/>
        <w:numPr>
          <w:ilvl w:val="0"/>
          <w:numId w:val="2"/>
        </w:numPr>
        <w:spacing w:after="120" w:line="340"/>
      </w:pPr>
      <w:r>
        <w:rPr>
          <w:rFonts w:ascii="微軟正黑體" w:cs="微軟正黑體" w:eastAsia="微軟正黑體" w:hAnsi="微軟正黑體"/>
          <w:sz w:val="22"/>
          <w:szCs w:val="22"/>
        </w:rPr>
        <w:t xml:space="preserve">沉默輸家:任教於弱勢學區、面對特殊需求學生比例較高之教師,其學生成績成長率可能天然偏低,若未納入脈絡調整,恐使最需要支持之教師反受懲罰。</w:t>
      </w:r>
    </w:p>
    <w:p>
      <w:pPr>
        <w:pStyle w:val="ListParagraph"/>
        <w:numPr>
          <w:ilvl w:val="0"/>
          <w:numId w:val="2"/>
        </w:numPr>
        <w:spacing w:after="120" w:line="340"/>
      </w:pPr>
      <w:r>
        <w:rPr>
          <w:rFonts w:ascii="微軟正黑體" w:cs="微軟正黑體" w:eastAsia="微軟正黑體" w:hAnsi="微軟正黑體"/>
          <w:sz w:val="22"/>
          <w:szCs w:val="22"/>
        </w:rPr>
        <w:t xml:space="preserve">治理工具:可考慮之因應包括多元評鑑指標並行、演算法評鑑結果僅供參考而非唯一依據、建立可申訴之更正機制,以及定期揭露指標設計邏輯供教師與家長檢視。</w:t>
      </w:r>
    </w:p>
    <w:p>
      <w:pPr>
        <w:spacing w:after="200" w:line="360"/>
        <w:ind w:firstLine="431"/>
        <w:jc w:val="both"/>
      </w:pPr>
      <w:r>
        <w:rPr>
          <w:rFonts w:ascii="微軟正黑體" w:cs="微軟正黑體" w:eastAsia="微軟正黑體" w:hAnsi="微軟正黑體"/>
          <w:sz w:val="22"/>
          <w:szCs w:val="22"/>
        </w:rPr>
        <w:t xml:space="preserve">此案例顯示,評估工具的設計本身即是一種價值選擇——選擇測量什麼,往往也決定了組織將往哪個方向優化。</w:t>
      </w:r>
    </w:p>
    <w:p>
      <w:pPr>
        <w:spacing w:after="140" w:before="260"/>
      </w:pPr>
      <w:r>
        <w:rPr>
          <w:rFonts w:ascii="微軟正黑體" w:cs="微軟正黑體" w:eastAsia="微軟正黑體" w:hAnsi="微軟正黑體"/>
          <w:b/>
          <w:bCs/>
          <w:color w:val="2E5C8A"/>
          <w:sz w:val="23"/>
          <w:szCs w:val="23"/>
        </w:rPr>
        <w:t xml:space="preserve">延伸思考</w:t>
      </w:r>
    </w:p>
    <w:p>
      <w:pPr>
        <w:spacing w:after="160" w:line="340"/>
        <w:ind w:left="431" w:hanging="431"/>
      </w:pPr>
      <w:r>
        <w:rPr>
          <w:rFonts w:ascii="微軟正黑體" w:cs="微軟正黑體" w:eastAsia="微軟正黑體" w:hAnsi="微軟正黑體"/>
          <w:sz w:val="22"/>
          <w:szCs w:val="22"/>
        </w:rPr>
        <w:t xml:space="preserve">一、基礎:用25座標定位SyRI或荷蘭兒童福利補助詐欺認定案案例,畫出其跨格移動路徑:此案例原屬哪一治理座標?因AI技術嵌入後,又下沉或位移至哪一座標?</w:t>
      </w:r>
    </w:p>
    <w:p>
      <w:pPr>
        <w:spacing w:after="160" w:line="340"/>
        <w:ind w:left="431" w:hanging="431"/>
      </w:pPr>
      <w:r>
        <w:rPr>
          <w:rFonts w:ascii="微軟正黑體" w:cs="微軟正黑體" w:eastAsia="微軟正黑體" w:hAnsi="微軟正黑體"/>
          <w:sz w:val="22"/>
          <w:szCs w:val="22"/>
        </w:rPr>
        <w:t xml:space="preserve">二、進階:承上題,指出此案例在四鏈追蹤中最脆弱的斷裂點,並設計一份可操作的七審檢查表,列出至少四項具體稽核項目。</w:t>
      </w:r>
    </w:p>
    <w:p>
      <w:pPr>
        <w:spacing w:after="160" w:line="340"/>
        <w:ind w:left="431" w:hanging="431"/>
      </w:pPr>
      <w:r>
        <w:rPr>
          <w:rFonts w:ascii="微軟正黑體" w:cs="微軟正黑體" w:eastAsia="微軟正黑體" w:hAnsi="微軟正黑體"/>
          <w:sz w:val="22"/>
          <w:szCs w:val="22"/>
        </w:rPr>
        <w:t xml:space="preserve">三、實作:若你是政策評估單位承辦人,請撰寫一份300字的「人類保留最終決定權」SOP,明訂當演算法評估結論與承辦人專業判斷不一致時,應如何複核、記錄裁量理由,並保留裁量日誌格式要件。</w:t>
      </w:r>
    </w:p>
    <w:p>
      <w:pPr>
        <w:spacing w:after="160" w:line="340"/>
        <w:ind w:left="431" w:hanging="431"/>
      </w:pPr>
      <w:r>
        <w:rPr>
          <w:rFonts w:ascii="微軟正黑體" w:cs="微軟正黑體" w:eastAsia="微軟正黑體" w:hAnsi="微軟正黑體"/>
          <w:sz w:val="22"/>
          <w:szCs w:val="22"/>
        </w:rPr>
        <w:t xml:space="preserve">四、前瞻:本章是政策體系層(第三層)的總結章。請以前瞻句格式(例如「本章確立了……,下一部分將……」),寫出本章應如何銜接下一部分關於組織與制度的討論(如第十五章「公共組織的特性與本質」)。</w:t>
      </w:r>
    </w:p>
    <w:p>
      <w:pPr>
        <w:spacing w:after="180" w:before="360"/>
      </w:pPr>
      <w:r>
        <w:rPr>
          <w:rFonts w:ascii="微軟正黑體" w:cs="微軟正黑體" w:eastAsia="微軟正黑體" w:hAnsi="微軟正黑體"/>
          <w:b/>
          <w:bCs/>
          <w:color w:val="1F4E79"/>
          <w:sz w:val="26"/>
          <w:szCs w:val="26"/>
        </w:rPr>
        <w:t xml:space="preserve">本章小結</w:t>
      </w:r>
    </w:p>
    <w:p>
      <w:pPr>
        <w:spacing w:after="200" w:line="360"/>
        <w:ind w:firstLine="431"/>
        <w:jc w:val="both"/>
      </w:pPr>
      <w:r>
        <w:rPr>
          <w:rFonts w:ascii="微軟正黑體" w:cs="微軟正黑體" w:eastAsia="微軟正黑體" w:hAnsi="微軟正黑體"/>
          <w:sz w:val="22"/>
          <w:szCs w:val="22"/>
        </w:rPr>
        <w:t xml:space="preserve">本章依25分類定位於第三層政策體系層之政策評估與回饋階段,系統梳理政策評估之意涵、功能與種類:預評估(含可評估性評估)、過程評估(避免Raiffa第三類型錯誤)與結果評估(產出與影響之區別,反事實推論為核心)。管制影響評估作為當代預評估核心,我國已法制化為法規影響評估,其操作步驟結合利害關係人諮詢與透明化,並隨《人工智慧基本法》上路逐步銜接演算法影響評估。評估標準上,Dunn六標準提供兼顧效能、效率、充分、回應、適當與公正之框架;評估方法包含CBA與CEA,其結果導向調整、持續、終止或重組四種處理。演進上,從Guba &amp; Lincoln第一代技術測量到第四代回應建構,AI時代正邁向第五代演算法評估,強調持續性、參與性與可爭訟性。</w:t>
      </w:r>
    </w:p>
    <w:p>
      <w:pPr>
        <w:spacing w:after="200" w:line="360"/>
        <w:ind w:firstLine="431"/>
        <w:jc w:val="both"/>
      </w:pPr>
      <w:r>
        <w:rPr>
          <w:rFonts w:ascii="微軟正黑體" w:cs="微軟正黑體" w:eastAsia="微軟正黑體" w:hAnsi="微軟正黑體"/>
          <w:sz w:val="22"/>
          <w:szCs w:val="22"/>
        </w:rPr>
        <w:t xml:space="preserve">本章亦運用25-3-3-4-7框架,指出政策評估階段AI鑲嵌後之核心風險在於理由鏈之「邏輯瑕疵」與責任鏈之「課責赤字」——當評估模型與政策規劃、制訂、執行共用同一套分類邏輯,評估恐淪為自我驗證;當回饋逕由模型再訓練取代公共審議,課責便隨之消散。以SyRI與荷蘭兒童福利補助詐欺認定案兩則國際案例為鏡,說明「效率提升」與「課責流失」往往同時發生,治理者須以四鏈七審框架持續追蹤評估工具本身是否仍受得住檢驗。至此,政策體系層自政策概念、分析規劃、合法化執行,到本章評估回饋已完整閉環;下一部分將轉向組織與制度層次之議題,持續以25-3-3-4-7框架追蹤AI時代的公共治理。</w:t>
      </w:r>
    </w:p>
    <w:p>
      <w:pPr>
        <w:spacing w:after="240" w:line="340"/>
        <w:ind w:left="576" w:right="576"/>
      </w:pPr>
      <w:r>
        <w:rPr>
          <w:rFonts w:ascii="微軟正黑體" w:cs="微軟正黑體" w:eastAsia="微軟正黑體" w:hAnsi="微軟正黑體"/>
          <w:i/>
          <w:iCs/>
          <w:sz w:val="21"/>
          <w:szCs w:val="21"/>
        </w:rPr>
        <w:t xml:space="preserve">政策評估的正當性,不在於指標算得多精確、報告寫得多漂亮,而在於當評估結論與人民的真實感受出現落差時,是否仍有管道讓這個落差被看見、被追問、被修正。</w:t>
      </w:r>
    </w:p>
    <w:p>
      <w:pPr>
        <w:spacing w:after="180" w:before="360"/>
      </w:pPr>
      <w:r>
        <w:rPr>
          <w:rFonts w:ascii="微軟正黑體" w:cs="微軟正黑體" w:eastAsia="微軟正黑體" w:hAnsi="微軟正黑體"/>
          <w:b/>
          <w:bCs/>
          <w:color w:val="1F4E79"/>
          <w:sz w:val="26"/>
          <w:szCs w:val="26"/>
        </w:rPr>
        <w:t xml:space="preserve">關鍵詞彙</w:t>
      </w:r>
    </w:p>
    <w:p>
      <w:pPr>
        <w:spacing w:after="160" w:line="340"/>
      </w:pPr>
      <w:r>
        <w:rPr>
          <w:rFonts w:ascii="微軟正黑體" w:cs="微軟正黑體" w:eastAsia="微軟正黑體" w:hAnsi="微軟正黑體"/>
          <w:b/>
          <w:bCs/>
          <w:sz w:val="22"/>
          <w:szCs w:val="22"/>
        </w:rPr>
        <w:t xml:space="preserve">政策評估 Policy Evaluation　</w:t>
      </w:r>
      <w:r>
        <w:rPr>
          <w:rFonts w:ascii="微軟正黑體" w:cs="微軟正黑體" w:eastAsia="微軟正黑體" w:hAnsi="微軟正黑體"/>
          <w:sz w:val="22"/>
          <w:szCs w:val="22"/>
        </w:rPr>
        <w:t xml:space="preserve">以科學方法與系統性證據,對政策問題認定、規劃、執行與結果影響進行價值判斷之活動。</w:t>
      </w:r>
    </w:p>
    <w:p>
      <w:pPr>
        <w:spacing w:after="160" w:line="340"/>
      </w:pPr>
      <w:r>
        <w:rPr>
          <w:rFonts w:ascii="微軟正黑體" w:cs="微軟正黑體" w:eastAsia="微軟正黑體" w:hAnsi="微軟正黑體"/>
          <w:b/>
          <w:bCs/>
          <w:sz w:val="22"/>
          <w:szCs w:val="22"/>
        </w:rPr>
        <w:t xml:space="preserve">預評估 Pre-evaluation　</w:t>
      </w:r>
      <w:r>
        <w:rPr>
          <w:rFonts w:ascii="微軟正黑體" w:cs="微軟正黑體" w:eastAsia="微軟正黑體" w:hAnsi="微軟正黑體"/>
          <w:sz w:val="22"/>
          <w:szCs w:val="22"/>
        </w:rPr>
        <w:t xml:space="preserve">政策執行前之事前評估,含規劃評估、可評估性評估與修正方案評估。</w:t>
      </w:r>
    </w:p>
    <w:p>
      <w:pPr>
        <w:spacing w:after="160" w:line="340"/>
      </w:pPr>
      <w:r>
        <w:rPr>
          <w:rFonts w:ascii="微軟正黑體" w:cs="微軟正黑體" w:eastAsia="微軟正黑體" w:hAnsi="微軟正黑體"/>
          <w:b/>
          <w:bCs/>
          <w:sz w:val="22"/>
          <w:szCs w:val="22"/>
        </w:rPr>
        <w:t xml:space="preserve">過程評估 Process Evaluation　</w:t>
      </w:r>
      <w:r>
        <w:rPr>
          <w:rFonts w:ascii="微軟正黑體" w:cs="微軟正黑體" w:eastAsia="微軟正黑體" w:hAnsi="微軟正黑體"/>
          <w:sz w:val="22"/>
          <w:szCs w:val="22"/>
        </w:rPr>
        <w:t xml:space="preserve">又稱形成性評估,針對政策形成至執行中之過程進行即時監測。</w:t>
      </w:r>
    </w:p>
    <w:p>
      <w:pPr>
        <w:spacing w:after="160" w:line="340"/>
      </w:pPr>
      <w:r>
        <w:rPr>
          <w:rFonts w:ascii="微軟正黑體" w:cs="微軟正黑體" w:eastAsia="微軟正黑體" w:hAnsi="微軟正黑體"/>
          <w:b/>
          <w:bCs/>
          <w:sz w:val="22"/>
          <w:szCs w:val="22"/>
        </w:rPr>
        <w:t xml:space="preserve">結果評估 Outcomes Evaluation　</w:t>
      </w:r>
      <w:r>
        <w:rPr>
          <w:rFonts w:ascii="微軟正黑體" w:cs="微軟正黑體" w:eastAsia="微軟正黑體" w:hAnsi="微軟正黑體"/>
          <w:sz w:val="22"/>
          <w:szCs w:val="22"/>
        </w:rPr>
        <w:t xml:space="preserve">又稱總合性評估,指對政策產出與影響之系統性衡量。</w:t>
      </w:r>
    </w:p>
    <w:p>
      <w:pPr>
        <w:spacing w:after="160" w:line="340"/>
      </w:pPr>
      <w:r>
        <w:rPr>
          <w:rFonts w:ascii="微軟正黑體" w:cs="微軟正黑體" w:eastAsia="微軟正黑體" w:hAnsi="微軟正黑體"/>
          <w:b/>
          <w:bCs/>
          <w:sz w:val="22"/>
          <w:szCs w:val="22"/>
        </w:rPr>
        <w:t xml:space="preserve">反事實推論 Counterfactual　</w:t>
      </w:r>
      <w:r>
        <w:rPr>
          <w:rFonts w:ascii="微軟正黑體" w:cs="微軟正黑體" w:eastAsia="微軟正黑體" w:hAnsi="微軟正黑體"/>
          <w:sz w:val="22"/>
          <w:szCs w:val="22"/>
        </w:rPr>
        <w:t xml:space="preserve">探究「若無此政策會如何」,為影響評估之核心方法論。</w:t>
      </w:r>
    </w:p>
    <w:p>
      <w:pPr>
        <w:spacing w:after="160" w:line="340"/>
      </w:pPr>
      <w:r>
        <w:rPr>
          <w:rFonts w:ascii="微軟正黑體" w:cs="微軟正黑體" w:eastAsia="微軟正黑體" w:hAnsi="微軟正黑體"/>
          <w:b/>
          <w:bCs/>
          <w:sz w:val="22"/>
          <w:szCs w:val="22"/>
        </w:rPr>
        <w:t xml:space="preserve">Raiffa四類型錯誤　</w:t>
      </w:r>
      <w:r>
        <w:rPr>
          <w:rFonts w:ascii="微軟正黑體" w:cs="微軟正黑體" w:eastAsia="微軟正黑體" w:hAnsi="微軟正黑體"/>
          <w:sz w:val="22"/>
          <w:szCs w:val="22"/>
        </w:rPr>
        <w:t xml:space="preserve">第一類型(以真為假)、第二類型(以假為真)、第三類型(以正確方法解決錯誤問題)、第四類型(以錯誤方法解決正確問題)。</w:t>
      </w:r>
    </w:p>
    <w:p>
      <w:pPr>
        <w:spacing w:after="160" w:line="340"/>
      </w:pPr>
      <w:r>
        <w:rPr>
          <w:rFonts w:ascii="微軟正黑體" w:cs="微軟正黑體" w:eastAsia="微軟正黑體" w:hAnsi="微軟正黑體"/>
          <w:b/>
          <w:bCs/>
          <w:sz w:val="22"/>
          <w:szCs w:val="22"/>
        </w:rPr>
        <w:t xml:space="preserve">管制影響評估 RIA　</w:t>
      </w:r>
      <w:r>
        <w:rPr>
          <w:rFonts w:ascii="微軟正黑體" w:cs="微軟正黑體" w:eastAsia="微軟正黑體" w:hAnsi="微軟正黑體"/>
          <w:sz w:val="22"/>
          <w:szCs w:val="22"/>
        </w:rPr>
        <w:t xml:space="preserve">行政機關對備選方案經系統性蒐集證據、分析效益與成本並諮商後,做成方案選擇之事前評估方法,我國稱法規影響評估。</w:t>
      </w:r>
    </w:p>
    <w:p>
      <w:pPr>
        <w:spacing w:after="160" w:line="340"/>
      </w:pPr>
      <w:r>
        <w:rPr>
          <w:rFonts w:ascii="微軟正黑體" w:cs="微軟正黑體" w:eastAsia="微軟正黑體" w:hAnsi="微軟正黑體"/>
          <w:b/>
          <w:bCs/>
          <w:sz w:val="22"/>
          <w:szCs w:val="22"/>
        </w:rPr>
        <w:t xml:space="preserve">Dunn六項評估標準　</w:t>
      </w:r>
      <w:r>
        <w:rPr>
          <w:rFonts w:ascii="微軟正黑體" w:cs="微軟正黑體" w:eastAsia="微軟正黑體" w:hAnsi="微軟正黑體"/>
          <w:sz w:val="22"/>
          <w:szCs w:val="22"/>
        </w:rPr>
        <w:t xml:space="preserve">效能、效率、充分、回應、適當、公正。</w:t>
      </w:r>
    </w:p>
    <w:p>
      <w:pPr>
        <w:spacing w:after="160" w:line="340"/>
      </w:pPr>
      <w:r>
        <w:rPr>
          <w:rFonts w:ascii="微軟正黑體" w:cs="微軟正黑體" w:eastAsia="微軟正黑體" w:hAnsi="微軟正黑體"/>
          <w:b/>
          <w:bCs/>
          <w:sz w:val="22"/>
          <w:szCs w:val="22"/>
        </w:rPr>
        <w:t xml:space="preserve">成本效益分析 CBA╱成本效能分析 CEA　</w:t>
      </w:r>
      <w:r>
        <w:rPr>
          <w:rFonts w:ascii="微軟正黑體" w:cs="微軟正黑體" w:eastAsia="微軟正黑體" w:hAnsi="微軟正黑體"/>
          <w:sz w:val="22"/>
          <w:szCs w:val="22"/>
        </w:rPr>
        <w:t xml:space="preserve">前者將效益與成本皆貨幣化,後者於效益無法貨幣化時比較單位成本之效能。</w:t>
      </w:r>
    </w:p>
    <w:p>
      <w:pPr>
        <w:spacing w:after="160" w:line="340"/>
      </w:pPr>
      <w:r>
        <w:rPr>
          <w:rFonts w:ascii="微軟正黑體" w:cs="微軟正黑體" w:eastAsia="微軟正黑體" w:hAnsi="微軟正黑體"/>
          <w:b/>
          <w:bCs/>
          <w:sz w:val="22"/>
          <w:szCs w:val="22"/>
        </w:rPr>
        <w:t xml:space="preserve">Guba &amp; Lincoln四代評估　</w:t>
      </w:r>
      <w:r>
        <w:rPr>
          <w:rFonts w:ascii="微軟正黑體" w:cs="微軟正黑體" w:eastAsia="微軟正黑體" w:hAnsi="微軟正黑體"/>
          <w:sz w:val="22"/>
          <w:szCs w:val="22"/>
        </w:rPr>
        <w:t xml:space="preserve">測量導向、描述導向、判斷導向、協商與回應建構導向。</w:t>
      </w:r>
    </w:p>
    <w:p>
      <w:pPr>
        <w:spacing w:after="160" w:line="340"/>
      </w:pPr>
      <w:r>
        <w:rPr>
          <w:rFonts w:ascii="微軟正黑體" w:cs="微軟正黑體" w:eastAsia="微軟正黑體" w:hAnsi="微軟正黑體"/>
          <w:b/>
          <w:bCs/>
          <w:sz w:val="22"/>
          <w:szCs w:val="22"/>
        </w:rPr>
        <w:t xml:space="preserve">黑箱 Black Box　</w:t>
      </w:r>
      <w:r>
        <w:rPr>
          <w:rFonts w:ascii="微軟正黑體" w:cs="微軟正黑體" w:eastAsia="微軟正黑體" w:hAnsi="微軟正黑體"/>
          <w:sz w:val="22"/>
          <w:szCs w:val="22"/>
        </w:rPr>
        <w:t xml:space="preserve">源自Easton政治系統論,指轉化過程因資訊不對稱與專業壟斷而不透明之現象。</w:t>
      </w:r>
    </w:p>
    <w:p>
      <w:pPr>
        <w:spacing w:after="160" w:line="340"/>
      </w:pPr>
      <w:r>
        <w:rPr>
          <w:rFonts w:ascii="微軟正黑體" w:cs="微軟正黑體" w:eastAsia="微軟正黑體" w:hAnsi="微軟正黑體"/>
          <w:b/>
          <w:bCs/>
          <w:sz w:val="22"/>
          <w:szCs w:val="22"/>
        </w:rPr>
        <w:t xml:space="preserve">鄰避情結 NIMBY　</w:t>
      </w:r>
      <w:r>
        <w:rPr>
          <w:rFonts w:ascii="微軟正黑體" w:cs="微軟正黑體" w:eastAsia="微軟正黑體" w:hAnsi="微軟正黑體"/>
          <w:sz w:val="22"/>
          <w:szCs w:val="22"/>
        </w:rPr>
        <w:t xml:space="preserve">民眾支持必要性設施之存在,卻反對設於自身鄰近地區之集體行動困境。</w:t>
      </w:r>
    </w:p>
    <w:p>
      <w:pPr>
        <w:spacing w:after="160" w:line="340"/>
      </w:pPr>
      <w:r>
        <w:rPr>
          <w:rFonts w:ascii="微軟正黑體" w:cs="微軟正黑體" w:eastAsia="微軟正黑體" w:hAnsi="微軟正黑體"/>
          <w:b/>
          <w:bCs/>
          <w:sz w:val="22"/>
          <w:szCs w:val="22"/>
        </w:rPr>
        <w:t xml:space="preserve">政策變遷 Policy Change　</w:t>
      </w:r>
      <w:r>
        <w:rPr>
          <w:rFonts w:ascii="微軟正黑體" w:cs="微軟正黑體" w:eastAsia="微軟正黑體" w:hAnsi="微軟正黑體"/>
          <w:sz w:val="22"/>
          <w:szCs w:val="22"/>
        </w:rPr>
        <w:t xml:space="preserve">政策創新、延續、維持、終結四類型。</w:t>
      </w:r>
    </w:p>
    <w:p>
      <w:pPr>
        <w:spacing w:after="160" w:line="340"/>
      </w:pPr>
      <w:r>
        <w:rPr>
          <w:rFonts w:ascii="微軟正黑體" w:cs="微軟正黑體" w:eastAsia="微軟正黑體" w:hAnsi="微軟正黑體"/>
          <w:b/>
          <w:bCs/>
          <w:sz w:val="22"/>
          <w:szCs w:val="22"/>
        </w:rPr>
        <w:t xml:space="preserve">多元流程模式 Multiple Streams Framework　</w:t>
      </w:r>
      <w:r>
        <w:rPr>
          <w:rFonts w:ascii="微軟正黑體" w:cs="微軟正黑體" w:eastAsia="微軟正黑體" w:hAnsi="微軟正黑體"/>
          <w:sz w:val="22"/>
          <w:szCs w:val="22"/>
        </w:rPr>
        <w:t xml:space="preserve">Kingdon提出,問題流、政策流、政治流於政策之窗開啟時匯合促成政策產出。</w:t>
      </w:r>
    </w:p>
    <w:p>
      <w:pPr>
        <w:spacing w:after="160" w:line="340"/>
      </w:pPr>
      <w:r>
        <w:rPr>
          <w:rFonts w:ascii="微軟正黑體" w:cs="微軟正黑體" w:eastAsia="微軟正黑體" w:hAnsi="微軟正黑體"/>
          <w:b/>
          <w:bCs/>
          <w:sz w:val="22"/>
          <w:szCs w:val="22"/>
        </w:rPr>
        <w:t xml:space="preserve">倡導聯盟架構 ACF　</w:t>
      </w:r>
      <w:r>
        <w:rPr>
          <w:rFonts w:ascii="微軟正黑體" w:cs="微軟正黑體" w:eastAsia="微軟正黑體" w:hAnsi="微軟正黑體"/>
          <w:sz w:val="22"/>
          <w:szCs w:val="22"/>
        </w:rPr>
        <w:t xml:space="preserve">Sabatier提出,政策次系統內行動者依信念形成聯盟,長期透過學習與衝擊促成政策變遷。</w:t>
      </w:r>
    </w:p>
    <w:p>
      <w:pPr>
        <w:spacing w:after="160" w:line="340"/>
      </w:pPr>
      <w:r>
        <w:rPr>
          <w:rFonts w:ascii="微軟正黑體" w:cs="微軟正黑體" w:eastAsia="微軟正黑體" w:hAnsi="微軟正黑體"/>
          <w:b/>
          <w:bCs/>
          <w:sz w:val="22"/>
          <w:szCs w:val="22"/>
        </w:rPr>
        <w:t xml:space="preserve">政策溝通╱行政溝通　</w:t>
      </w:r>
      <w:r>
        <w:rPr>
          <w:rFonts w:ascii="微軟正黑體" w:cs="微軟正黑體" w:eastAsia="微軟正黑體" w:hAnsi="微軟正黑體"/>
          <w:sz w:val="22"/>
          <w:szCs w:val="22"/>
        </w:rPr>
        <w:t xml:space="preserve">前者對外傳遞政治性訊息影響政治認知,後者為組織內部達成目標之共識形成過程。</w:t>
      </w:r>
    </w:p>
    <w:p>
      <w:pPr>
        <w:spacing w:after="160" w:line="340"/>
      </w:pPr>
      <w:r>
        <w:rPr>
          <w:rFonts w:ascii="微軟正黑體" w:cs="微軟正黑體" w:eastAsia="微軟正黑體" w:hAnsi="微軟正黑體"/>
          <w:b/>
          <w:bCs/>
          <w:sz w:val="22"/>
          <w:szCs w:val="22"/>
        </w:rPr>
        <w:t xml:space="preserve">審議式民調 Deliberative Polling　</w:t>
      </w:r>
      <w:r>
        <w:rPr>
          <w:rFonts w:ascii="微軟正黑體" w:cs="微軟正黑體" w:eastAsia="微軟正黑體" w:hAnsi="微軟正黑體"/>
          <w:sz w:val="22"/>
          <w:szCs w:val="22"/>
        </w:rPr>
        <w:t xml:space="preserve">Fishkin提出,結合隨機抽樣與審議,測量經充分資訊與審議後之民意。</w:t>
      </w:r>
    </w:p>
    <w:p>
      <w:pPr>
        <w:spacing w:after="160" w:line="340"/>
      </w:pPr>
      <w:r>
        <w:rPr>
          <w:rFonts w:ascii="微軟正黑體" w:cs="微軟正黑體" w:eastAsia="微軟正黑體" w:hAnsi="微軟正黑體"/>
          <w:b/>
          <w:bCs/>
          <w:sz w:val="22"/>
          <w:szCs w:val="22"/>
        </w:rPr>
        <w:t xml:space="preserve">世界咖啡館 World Café　</w:t>
      </w:r>
      <w:r>
        <w:rPr>
          <w:rFonts w:ascii="微軟正黑體" w:cs="微軟正黑體" w:eastAsia="微軟正黑體" w:hAnsi="微軟正黑體"/>
          <w:sz w:val="22"/>
          <w:szCs w:val="22"/>
        </w:rPr>
        <w:t xml:space="preserve">Brown與Isaacs發展之結構性對話方法,以輕鬆流動之氛圍促進跨域議題之集體智慧匯聚。</w:t>
      </w:r>
    </w:p>
    <w:p>
      <w:pPr>
        <w:spacing w:after="160" w:line="340"/>
      </w:pPr>
      <w:r>
        <w:rPr>
          <w:rFonts w:ascii="微軟正黑體" w:cs="微軟正黑體" w:eastAsia="微軟正黑體" w:hAnsi="微軟正黑體"/>
          <w:b/>
          <w:bCs/>
          <w:sz w:val="22"/>
          <w:szCs w:val="22"/>
        </w:rPr>
        <w:t xml:space="preserve">演算法影響評估 AIA　</w:t>
      </w:r>
      <w:r>
        <w:rPr>
          <w:rFonts w:ascii="微軟正黑體" w:cs="微軟正黑體" w:eastAsia="微軟正黑體" w:hAnsi="微軟正黑體"/>
          <w:sz w:val="22"/>
          <w:szCs w:val="22"/>
        </w:rPr>
        <w:t xml:space="preserve">評估AI系統對隱私、公平與民主之潛在衝擊,作為部署前之治理要件。</w:t>
      </w:r>
    </w:p>
    <w:p>
      <w:pPr>
        <w:spacing w:after="160" w:line="340"/>
      </w:pPr>
      <w:r>
        <w:rPr>
          <w:rFonts w:ascii="微軟正黑體" w:cs="微軟正黑體" w:eastAsia="微軟正黑體" w:hAnsi="微軟正黑體"/>
          <w:b/>
          <w:bCs/>
          <w:sz w:val="22"/>
          <w:szCs w:val="22"/>
        </w:rPr>
        <w:t xml:space="preserve">基本權利影響評估 FRIA　</w:t>
      </w:r>
      <w:r>
        <w:rPr>
          <w:rFonts w:ascii="微軟正黑體" w:cs="微軟正黑體" w:eastAsia="微軟正黑體" w:hAnsi="微軟正黑體"/>
          <w:sz w:val="22"/>
          <w:szCs w:val="22"/>
        </w:rPr>
        <w:t xml:space="preserve">歐盟AI法要求高風險AI部署前應完成之基本權利衝擊評估。</w:t>
      </w:r>
    </w:p>
    <w:p>
      <w:pPr>
        <w:spacing w:after="160" w:line="340"/>
      </w:pPr>
      <w:r>
        <w:rPr>
          <w:rFonts w:ascii="微軟正黑體" w:cs="微軟正黑體" w:eastAsia="微軟正黑體" w:hAnsi="微軟正黑體"/>
          <w:b/>
          <w:bCs/>
          <w:sz w:val="22"/>
          <w:szCs w:val="22"/>
        </w:rPr>
        <w:t xml:space="preserve">演算法審計 Algorithmic Auditing　</w:t>
      </w:r>
      <w:r>
        <w:rPr>
          <w:rFonts w:ascii="微軟正黑體" w:cs="微軟正黑體" w:eastAsia="微軟正黑體" w:hAnsi="微軟正黑體"/>
          <w:sz w:val="22"/>
          <w:szCs w:val="22"/>
        </w:rPr>
        <w:t xml:space="preserve">對資料、模型與部署流程進行內部、外部或沙盒層次之系統性檢查。</w:t>
      </w:r>
    </w:p>
    <w:p>
      <w:pPr>
        <w:spacing w:after="160" w:line="340"/>
      </w:pPr>
      <w:r>
        <w:rPr>
          <w:rFonts w:ascii="微軟正黑體" w:cs="微軟正黑體" w:eastAsia="微軟正黑體" w:hAnsi="微軟正黑體"/>
          <w:b/>
          <w:bCs/>
          <w:sz w:val="22"/>
          <w:szCs w:val="22"/>
        </w:rPr>
        <w:t xml:space="preserve">模型卡╱資料卡 Model Card╱Datasheet　</w:t>
      </w:r>
      <w:r>
        <w:rPr>
          <w:rFonts w:ascii="微軟正黑體" w:cs="微軟正黑體" w:eastAsia="微軟正黑體" w:hAnsi="微軟正黑體"/>
          <w:sz w:val="22"/>
          <w:szCs w:val="22"/>
        </w:rPr>
        <w:t xml:space="preserve">揭露模型或資料集之用途限制與倫理考量之標準化文件。</w:t>
      </w:r>
    </w:p>
    <w:p>
      <w:pPr>
        <w:spacing w:after="160" w:line="340"/>
      </w:pPr>
      <w:r>
        <w:rPr>
          <w:rFonts w:ascii="微軟正黑體" w:cs="微軟正黑體" w:eastAsia="微軟正黑體" w:hAnsi="微軟正黑體"/>
          <w:b/>
          <w:bCs/>
          <w:sz w:val="22"/>
          <w:szCs w:val="22"/>
        </w:rPr>
        <w:t xml:space="preserve">演算法退場 Algorithm Decommissioning　</w:t>
      </w:r>
      <w:r>
        <w:rPr>
          <w:rFonts w:ascii="微軟正黑體" w:cs="微軟正黑體" w:eastAsia="微軟正黑體" w:hAnsi="微軟正黑體"/>
          <w:sz w:val="22"/>
          <w:szCs w:val="22"/>
        </w:rPr>
        <w:t xml:space="preserve">對應政策終結,指AI系統之日落條款、人工接管與失效安全設計。</w:t>
      </w:r>
    </w:p>
    <w:p>
      <w:pPr>
        <w:spacing w:after="160" w:line="340"/>
      </w:pPr>
      <w:r>
        <w:rPr>
          <w:rFonts w:ascii="微軟正黑體" w:cs="微軟正黑體" w:eastAsia="微軟正黑體" w:hAnsi="微軟正黑體"/>
          <w:b/>
          <w:bCs/>
          <w:sz w:val="22"/>
          <w:szCs w:val="22"/>
        </w:rPr>
        <w:t xml:space="preserve">課責赤字 Accountability Deficit　</w:t>
      </w:r>
      <w:r>
        <w:rPr>
          <w:rFonts w:ascii="微軟正黑體" w:cs="微軟正黑體" w:eastAsia="微軟正黑體" w:hAnsi="微軟正黑體"/>
          <w:sz w:val="22"/>
          <w:szCs w:val="22"/>
        </w:rPr>
        <w:t xml:space="preserve">評估與回饋機制中,責任因分散於評估模型、資料供應者與決策者間而無人真正承擔之現象。</w:t>
      </w:r>
    </w:p>
    <w:p>
      <w:pPr>
        <w:spacing w:after="180" w:before="360"/>
      </w:pPr>
      <w:r>
        <w:rPr>
          <w:rFonts w:ascii="微軟正黑體" w:cs="微軟正黑體" w:eastAsia="微軟正黑體" w:hAnsi="微軟正黑體"/>
          <w:b/>
          <w:bCs/>
          <w:color w:val="1F4E79"/>
          <w:sz w:val="26"/>
          <w:szCs w:val="26"/>
        </w:rPr>
        <w:t xml:space="preserve">思考與討論</w:t>
      </w:r>
    </w:p>
    <w:p>
      <w:pPr>
        <w:spacing w:after="160" w:line="340"/>
        <w:ind w:left="431" w:hanging="431"/>
      </w:pPr>
      <w:r>
        <w:rPr>
          <w:rFonts w:ascii="微軟正黑體" w:cs="微軟正黑體" w:eastAsia="微軟正黑體" w:hAnsi="微軟正黑體"/>
          <w:sz w:val="22"/>
          <w:szCs w:val="22"/>
        </w:rPr>
        <w:t xml:space="preserve">一、請比較預評估、過程評估與結果評估在目的、時機與方法上的差異,並以我國某項正在規劃中的AI相關政策(如生成式AI用於公務客服、智慧監控)為例,說明如何設計避免Raiffa第三類型錯誤之評估架構。</w:t>
      </w:r>
    </w:p>
    <w:p>
      <w:pPr>
        <w:spacing w:after="160" w:line="340"/>
        <w:ind w:left="431" w:hanging="431"/>
      </w:pPr>
      <w:r>
        <w:rPr>
          <w:rFonts w:ascii="微軟正黑體" w:cs="微軟正黑體" w:eastAsia="微軟正黑體" w:hAnsi="微軟正黑體"/>
          <w:sz w:val="22"/>
          <w:szCs w:val="22"/>
        </w:rPr>
        <w:t xml:space="preserve">二、Dunn六標準中,效能、效率、回應性與公正性常彼此衝突。請以長照政策、社會住宅或人臉辨識治理為例,論述如何進行價值權衡,並說明適當性標準如何作為高階整合判準?</w:t>
      </w:r>
    </w:p>
    <w:p>
      <w:pPr>
        <w:spacing w:after="160" w:line="340"/>
        <w:ind w:left="431" w:hanging="431"/>
      </w:pPr>
      <w:r>
        <w:rPr>
          <w:rFonts w:ascii="微軟正黑體" w:cs="微軟正黑體" w:eastAsia="微軟正黑體" w:hAnsi="微軟正黑體"/>
          <w:sz w:val="22"/>
          <w:szCs w:val="22"/>
        </w:rPr>
        <w:t xml:space="preserve">三、RIA強調證據、量化與利害關係人諮詢,但AI系統具不確定性與外部性。請評析我國將AI風險分類框架與RIA制度銜接之意義與限制,並對照加拿大AIA與歐盟FRIA,提出我國演算法影響評估法制化之建議。</w:t>
      </w:r>
    </w:p>
    <w:p>
      <w:pPr>
        <w:spacing w:after="160" w:line="340"/>
        <w:ind w:left="431" w:hanging="431"/>
      </w:pPr>
      <w:r>
        <w:rPr>
          <w:rFonts w:ascii="微軟正黑體" w:cs="微軟正黑體" w:eastAsia="微軟正黑體" w:hAnsi="微軟正黑體"/>
          <w:sz w:val="22"/>
          <w:szCs w:val="22"/>
        </w:rPr>
        <w:t xml:space="preserve">四、某縣市擬設置大型資源回收處理中心,遭遇強烈NIMBY抗爭。請運用政策溝通、民意特性、公民參與及世界咖啡館之理論,設計一套包含行政溝通與政策溝通、線上數位審議與線下對話的完整參與及評估方案,並說明如何避免淪為象徵性參與。</w:t>
      </w:r>
    </w:p>
    <w:p>
      <w:pPr>
        <w:spacing w:after="160" w:line="340"/>
        <w:ind w:left="431" w:hanging="431"/>
      </w:pPr>
      <w:r>
        <w:rPr>
          <w:rFonts w:ascii="微軟正黑體" w:cs="微軟正黑體" w:eastAsia="微軟正黑體" w:hAnsi="微軟正黑體"/>
          <w:sz w:val="22"/>
          <w:szCs w:val="22"/>
        </w:rPr>
        <w:t xml:space="preserve">五、比較SyRI與荷蘭兒童福利補助詐欺認定案兩案例,說明評估與回饋機制在何種條件下仍能維持外部課責,又在何種條件下會淪為「自我驗證迴路」?並運用25-3-3-4-7框架,設計一套能防止評估階段「課責赤字」的監測機制。</w:t>
      </w:r>
    </w:p>
    <w:p>
      <w:pPr>
        <w:spacing w:after="180" w:before="360"/>
      </w:pPr>
      <w:r>
        <w:rPr>
          <w:rFonts w:ascii="微軟正黑體" w:cs="微軟正黑體" w:eastAsia="微軟正黑體" w:hAnsi="微軟正黑體"/>
          <w:b/>
          <w:bCs/>
          <w:color w:val="1F4E79"/>
          <w:sz w:val="26"/>
          <w:szCs w:val="26"/>
        </w:rPr>
        <w:t xml:space="preserve">教學補充教材</w:t>
      </w:r>
    </w:p>
    <w:p>
      <w:pPr>
        <w:spacing w:after="140" w:before="260"/>
      </w:pPr>
      <w:r>
        <w:rPr>
          <w:rFonts w:ascii="微軟正黑體" w:cs="微軟正黑體" w:eastAsia="微軟正黑體" w:hAnsi="微軟正黑體"/>
          <w:b/>
          <w:bCs/>
          <w:color w:val="2E5C8A"/>
          <w:sz w:val="23"/>
          <w:szCs w:val="23"/>
        </w:rPr>
        <w:t xml:space="preserve">一、教學提示</w:t>
      </w:r>
    </w:p>
    <w:p>
      <w:pPr>
        <w:pStyle w:val="ListParagraph"/>
        <w:numPr>
          <w:ilvl w:val="0"/>
          <w:numId w:val="2"/>
        </w:numPr>
        <w:spacing w:after="120" w:line="340"/>
      </w:pPr>
      <w:r>
        <w:rPr>
          <w:rFonts w:ascii="微軟正黑體" w:cs="微軟正黑體" w:eastAsia="微軟正黑體" w:hAnsi="微軟正黑體"/>
          <w:sz w:val="22"/>
          <w:szCs w:val="22"/>
        </w:rPr>
        <w:t xml:space="preserve">建議先複習第十至十三章之政策循環各階段,再導入本章「評估與回饋」,強調本章是政策體系層的總結,而非附加章節。</w:t>
      </w:r>
    </w:p>
    <w:p>
      <w:pPr>
        <w:pStyle w:val="ListParagraph"/>
        <w:numPr>
          <w:ilvl w:val="0"/>
          <w:numId w:val="2"/>
        </w:numPr>
        <w:spacing w:after="120" w:line="340"/>
      </w:pPr>
      <w:r>
        <w:rPr>
          <w:rFonts w:ascii="微軟正黑體" w:cs="微軟正黑體" w:eastAsia="微軟正黑體" w:hAnsi="微軟正黑體"/>
          <w:sz w:val="22"/>
          <w:szCs w:val="22"/>
        </w:rPr>
        <w:t xml:space="preserve">「體重計量健康」比喻適合作為開場活動:請學生列舉生活中「只測量容易測量的事,卻忽略真正重要的事」之經驗,再導入Dunn適當性標準之討論。</w:t>
      </w:r>
    </w:p>
    <w:p>
      <w:pPr>
        <w:pStyle w:val="ListParagraph"/>
        <w:numPr>
          <w:ilvl w:val="0"/>
          <w:numId w:val="2"/>
        </w:numPr>
        <w:spacing w:after="120" w:line="340"/>
      </w:pPr>
      <w:r>
        <w:rPr>
          <w:rFonts w:ascii="微軟正黑體" w:cs="微軟正黑體" w:eastAsia="微軟正黑體" w:hAnsi="微軟正黑體"/>
          <w:sz w:val="22"/>
          <w:szCs w:val="22"/>
        </w:rPr>
        <w:t xml:space="preserve">四鏈七審可搭配SyRI判決原文摘譯或荷蘭兒童福利補助詐欺認定案國會調查報告摘要進行小組演練。</w:t>
      </w:r>
    </w:p>
    <w:p>
      <w:pPr>
        <w:pStyle w:val="ListParagraph"/>
        <w:numPr>
          <w:ilvl w:val="0"/>
          <w:numId w:val="2"/>
        </w:numPr>
        <w:spacing w:after="120" w:line="340"/>
      </w:pPr>
      <w:r>
        <w:rPr>
          <w:rFonts w:ascii="微軟正黑體" w:cs="微軟正黑體" w:eastAsia="微軟正黑體" w:hAnsi="微軟正黑體"/>
          <w:sz w:val="22"/>
          <w:szCs w:val="22"/>
        </w:rPr>
        <w:t xml:space="preserve">可安排辯論活動:正方主張「AI輔助績效指標應盡快全面導入」,反方主張「AI輔助績效指標須先完成AIA與救濟機制設計」,藉此練習適當性與效率之權衡。</w:t>
      </w:r>
    </w:p>
    <w:p>
      <w:pPr>
        <w:spacing w:after="140" w:before="260"/>
      </w:pPr>
      <w:r>
        <w:rPr>
          <w:rFonts w:ascii="微軟正黑體" w:cs="微軟正黑體" w:eastAsia="微軟正黑體" w:hAnsi="微軟正黑體"/>
          <w:b/>
          <w:bCs/>
          <w:color w:val="2E5C8A"/>
          <w:sz w:val="23"/>
          <w:szCs w:val="23"/>
        </w:rPr>
        <w:t xml:space="preserve">二、常見考點</w:t>
      </w:r>
    </w:p>
    <w:p>
      <w:pPr>
        <w:pStyle w:val="ListParagraph"/>
        <w:numPr>
          <w:ilvl w:val="0"/>
          <w:numId w:val="2"/>
        </w:numPr>
        <w:spacing w:after="120" w:line="340"/>
      </w:pPr>
      <w:r>
        <w:rPr>
          <w:rFonts w:ascii="微軟正黑體" w:cs="微軟正黑體" w:eastAsia="微軟正黑體" w:hAnsi="微軟正黑體"/>
          <w:sz w:val="22"/>
          <w:szCs w:val="22"/>
        </w:rPr>
        <w:t xml:space="preserve">Raiffa四類型錯誤之區辨,尤其第三類型錯誤與AI治理之連結(常以案例分析題出現)。</w:t>
      </w:r>
    </w:p>
    <w:p>
      <w:pPr>
        <w:pStyle w:val="ListParagraph"/>
        <w:numPr>
          <w:ilvl w:val="0"/>
          <w:numId w:val="2"/>
        </w:numPr>
        <w:spacing w:after="120" w:line="340"/>
      </w:pPr>
      <w:r>
        <w:rPr>
          <w:rFonts w:ascii="微軟正黑體" w:cs="微軟正黑體" w:eastAsia="微軟正黑體" w:hAnsi="微軟正黑體"/>
          <w:sz w:val="22"/>
          <w:szCs w:val="22"/>
        </w:rPr>
        <w:t xml:space="preserve">Dunn六項評估標準之定義與相互衝突之情境設計(如外籍看護工案例)。</w:t>
      </w:r>
    </w:p>
    <w:p>
      <w:pPr>
        <w:pStyle w:val="ListParagraph"/>
        <w:numPr>
          <w:ilvl w:val="0"/>
          <w:numId w:val="2"/>
        </w:numPr>
        <w:spacing w:after="120" w:line="340"/>
      </w:pPr>
      <w:r>
        <w:rPr>
          <w:rFonts w:ascii="微軟正黑體" w:cs="微軟正黑體" w:eastAsia="微軟正黑體" w:hAnsi="微軟正黑體"/>
          <w:sz w:val="22"/>
          <w:szCs w:val="22"/>
        </w:rPr>
        <w:t xml:space="preserve">RIA操作步驟與我國法制化現況、與AIA之銜接。</w:t>
      </w:r>
    </w:p>
    <w:p>
      <w:pPr>
        <w:pStyle w:val="ListParagraph"/>
        <w:numPr>
          <w:ilvl w:val="0"/>
          <w:numId w:val="2"/>
        </w:numPr>
        <w:spacing w:after="120" w:line="340"/>
      </w:pPr>
      <w:r>
        <w:rPr>
          <w:rFonts w:ascii="微軟正黑體" w:cs="微軟正黑體" w:eastAsia="微軟正黑體" w:hAnsi="微軟正黑體"/>
          <w:sz w:val="22"/>
          <w:szCs w:val="22"/>
        </w:rPr>
        <w:t xml:space="preserve">Guba &amp; Lincoln四代評估之演進脈絡與第五代演算法評估之特徵。</w:t>
      </w:r>
    </w:p>
    <w:p>
      <w:pPr>
        <w:pStyle w:val="ListParagraph"/>
        <w:numPr>
          <w:ilvl w:val="0"/>
          <w:numId w:val="2"/>
        </w:numPr>
        <w:spacing w:after="120" w:line="340"/>
      </w:pPr>
      <w:r>
        <w:rPr>
          <w:rFonts w:ascii="微軟正黑體" w:cs="微軟正黑體" w:eastAsia="微軟正黑體" w:hAnsi="微軟正黑體"/>
          <w:sz w:val="22"/>
          <w:szCs w:val="22"/>
        </w:rPr>
        <w:t xml:space="preserve">政策變遷四類型與多元流程模式(MSF)、倡導聯盟架構(ACF)之比較與案例應用。</w:t>
      </w:r>
    </w:p>
    <w:p>
      <w:pPr>
        <w:pStyle w:val="ListParagraph"/>
        <w:numPr>
          <w:ilvl w:val="0"/>
          <w:numId w:val="2"/>
        </w:numPr>
        <w:spacing w:after="120" w:line="340"/>
      </w:pPr>
      <w:r>
        <w:rPr>
          <w:rFonts w:ascii="微軟正黑體" w:cs="微軟正黑體" w:eastAsia="微軟正黑體" w:hAnsi="微軟正黑體"/>
          <w:sz w:val="22"/>
          <w:szCs w:val="22"/>
        </w:rPr>
        <w:t xml:space="preserve">黑箱與NIMBY之成因與化解途徑,審議式民調與世界咖啡館之操作原則。</w:t>
      </w:r>
    </w:p>
    <w:p>
      <w:pPr>
        <w:pStyle w:val="ListParagraph"/>
        <w:numPr>
          <w:ilvl w:val="0"/>
          <w:numId w:val="2"/>
        </w:numPr>
        <w:spacing w:after="120" w:line="340"/>
      </w:pPr>
      <w:r>
        <w:rPr>
          <w:rFonts w:ascii="微軟正黑體" w:cs="微軟正黑體" w:eastAsia="微軟正黑體" w:hAnsi="微軟正黑體"/>
          <w:sz w:val="22"/>
          <w:szCs w:val="22"/>
        </w:rPr>
        <w:t xml:space="preserve">四鏈七審在具體案例(SyRI、荷蘭兒童福利補助詐欺認定案、教學評鑑演算法)之應用。</w:t>
      </w:r>
    </w:p>
    <w:p>
      <w:pPr>
        <w:spacing w:after="140" w:before="260"/>
      </w:pPr>
      <w:r>
        <w:rPr>
          <w:rFonts w:ascii="微軟正黑體" w:cs="微軟正黑體" w:eastAsia="微軟正黑體" w:hAnsi="微軟正黑體"/>
          <w:b/>
          <w:bCs/>
          <w:color w:val="2E5C8A"/>
          <w:sz w:val="23"/>
          <w:szCs w:val="23"/>
        </w:rPr>
        <w:t xml:space="preserve">三、課堂活動建議</w:t>
      </w:r>
    </w:p>
    <w:p>
      <w:pPr>
        <w:pStyle w:val="ListParagraph"/>
        <w:numPr>
          <w:ilvl w:val="0"/>
          <w:numId w:val="2"/>
        </w:numPr>
        <w:spacing w:after="120" w:line="340"/>
      </w:pPr>
      <w:r>
        <w:rPr>
          <w:rFonts w:ascii="微軟正黑體" w:cs="微軟正黑體" w:eastAsia="微軟正黑體" w:hAnsi="微軟正黑體"/>
          <w:sz w:val="22"/>
          <w:szCs w:val="22"/>
        </w:rPr>
        <w:t xml:space="preserve">活動一(15分鐘):小組以本校或所在縣市之某項公共政策為例,設計一套涵蓋預評估、過程評估與結果評估之簡易評估架構。</w:t>
      </w:r>
    </w:p>
    <w:p>
      <w:pPr>
        <w:pStyle w:val="ListParagraph"/>
        <w:numPr>
          <w:ilvl w:val="0"/>
          <w:numId w:val="2"/>
        </w:numPr>
        <w:spacing w:after="120" w:line="340"/>
      </w:pPr>
      <w:r>
        <w:rPr>
          <w:rFonts w:ascii="微軟正黑體" w:cs="微軟正黑體" w:eastAsia="微軟正黑體" w:hAnsi="微軟正黑體"/>
          <w:sz w:val="22"/>
          <w:szCs w:val="22"/>
        </w:rPr>
        <w:t xml:space="preserve">活動二(20分鐘):角色扮演——評估者、政策制訂者、受評估對象、媒體,針對「教學評鑑演算法分數是否應公開」進行辯論。</w:t>
      </w:r>
    </w:p>
    <w:p>
      <w:pPr>
        <w:pStyle w:val="ListParagraph"/>
        <w:numPr>
          <w:ilvl w:val="0"/>
          <w:numId w:val="2"/>
        </w:numPr>
        <w:spacing w:after="120" w:line="340"/>
      </w:pPr>
      <w:r>
        <w:rPr>
          <w:rFonts w:ascii="微軟正黑體" w:cs="微軟正黑體" w:eastAsia="微軟正黑體" w:hAnsi="微軟正黑體"/>
          <w:sz w:val="22"/>
          <w:szCs w:val="22"/>
        </w:rPr>
        <w:t xml:space="preserve">活動三(課後):可對應延伸思考三之300字「人類保留最終決定權」SOP寫作,作為課後作業收繳與課堂分享素材。</w:t>
      </w:r>
    </w:p>
    <w:p>
      <w:pPr>
        <w:spacing w:after="140" w:before="260"/>
      </w:pPr>
      <w:r>
        <w:rPr>
          <w:rFonts w:ascii="微軟正黑體" w:cs="微軟正黑體" w:eastAsia="微軟正黑體" w:hAnsi="微軟正黑體"/>
          <w:b/>
          <w:bCs/>
          <w:color w:val="2E5C8A"/>
          <w:sz w:val="23"/>
          <w:szCs w:val="23"/>
        </w:rPr>
        <w:t xml:space="preserve">四、思考與討論教學指引</w:t>
      </w:r>
    </w:p>
    <w:p>
      <w:pPr>
        <w:spacing w:after="200" w:line="360"/>
        <w:ind w:firstLine="431"/>
        <w:jc w:val="both"/>
      </w:pPr>
      <w:r>
        <w:rPr>
          <w:rFonts w:ascii="微軟正黑體" w:cs="微軟正黑體" w:eastAsia="微軟正黑體" w:hAnsi="微軟正黑體"/>
          <w:sz w:val="22"/>
          <w:szCs w:val="22"/>
        </w:rPr>
        <w:t xml:space="preserve">問題一指引:可選定生成式AI用於公務客服為例,先界定「問題」究竟是「民眾等待時間過長」抑或「承辦人力不足」,說明第三類型錯誤如何在此情境中發生;評估架構應包含試辦期之過程評估與滿意度、正確率之結果評估。</w:t>
      </w:r>
    </w:p>
    <w:p>
      <w:pPr>
        <w:spacing w:after="200" w:line="360"/>
        <w:ind w:firstLine="431"/>
        <w:jc w:val="both"/>
      </w:pPr>
      <w:r>
        <w:rPr>
          <w:rFonts w:ascii="微軟正黑體" w:cs="微軟正黑體" w:eastAsia="微軟正黑體" w:hAnsi="微軟正黑體"/>
          <w:sz w:val="22"/>
          <w:szCs w:val="22"/>
        </w:rPr>
        <w:t xml:space="preserve">問題二指引:以人臉辨識用於社福資格審查為例,效率(快速篩選)與公正性(避免對特定族群產生差別待遇)之衝突最為典型;適當性標準可作為高階整合判準,追問「即使有效率,是否仍應該做」。</w:t>
      </w:r>
    </w:p>
    <w:p>
      <w:pPr>
        <w:spacing w:after="200" w:line="360"/>
        <w:ind w:firstLine="431"/>
        <w:jc w:val="both"/>
      </w:pPr>
      <w:r>
        <w:rPr>
          <w:rFonts w:ascii="微軟正黑體" w:cs="微軟正黑體" w:eastAsia="微軟正黑體" w:hAnsi="微軟正黑體"/>
          <w:sz w:val="22"/>
          <w:szCs w:val="22"/>
        </w:rPr>
        <w:t xml:space="preserve">問題三指引:重點在說明風險分類框架與RIA之互補關係——RIA評估「管制是否必要」,風險分類框架評估「AI系統風險等級是否支撐其角色」;可對照加拿大AIA之風險分級公開機制與歐盟FRIA之部署前基本權利評估,提出台灣法制化之具體建議(如公開分級結果、建立救濟窗口)。</w:t>
      </w:r>
    </w:p>
    <w:p>
      <w:pPr>
        <w:spacing w:after="200" w:line="360"/>
        <w:ind w:firstLine="431"/>
        <w:jc w:val="both"/>
      </w:pPr>
      <w:r>
        <w:rPr>
          <w:rFonts w:ascii="微軟正黑體" w:cs="微軟正黑體" w:eastAsia="微軟正黑體" w:hAnsi="微軟正黑體"/>
          <w:sz w:val="22"/>
          <w:szCs w:val="22"/>
        </w:rPr>
        <w:t xml:space="preserve">問題四指引:可從行政溝通(內部協調地方政府與環保機關)與政策溝通(對居民之敘事與資訊揭露)兩軌並行切入,並說明世界咖啡館如何補足傳統公聽會「單向陳述、對立表態」之不足。</w:t>
      </w:r>
    </w:p>
    <w:p>
      <w:pPr>
        <w:spacing w:after="200" w:line="360"/>
        <w:ind w:firstLine="431"/>
        <w:jc w:val="both"/>
      </w:pPr>
      <w:r>
        <w:rPr>
          <w:rFonts w:ascii="微軟正黑體" w:cs="微軟正黑體" w:eastAsia="微軟正黑體" w:hAnsi="微軟正黑體"/>
          <w:sz w:val="22"/>
          <w:szCs w:val="22"/>
        </w:rPr>
        <w:t xml:space="preserve">問題五指引:SyRI因法院介入而在制度層次被叫停,荷蘭兒童福利補助詐欺認定案則是先造成大規模傷害才被揭露,兩案差異在於「外部課責介入的時點」。設計監測機制時,可從「理由鏈」與「責任鏈」切入,要求評估指標公開、定期外部審計與可及的申訴救濟管道並行。</w:t>
      </w:r>
    </w:p>
    <w:p>
      <w:pPr>
        <w:spacing w:after="180" w:before="360"/>
      </w:pPr>
      <w:r>
        <w:rPr>
          <w:rFonts w:ascii="微軟正黑體" w:cs="微軟正黑體" w:eastAsia="微軟正黑體" w:hAnsi="微軟正黑體"/>
          <w:b/>
          <w:bCs/>
          <w:color w:val="1F4E79"/>
          <w:sz w:val="26"/>
          <w:szCs w:val="26"/>
        </w:rPr>
        <w:t xml:space="preserve">延伸閱讀與參考文獻</w:t>
      </w:r>
    </w:p>
    <w:p>
      <w:pPr>
        <w:spacing w:after="240" w:line="340"/>
        <w:ind w:left="576" w:right="576"/>
      </w:pPr>
      <w:r>
        <w:rPr>
          <w:rFonts w:ascii="微軟正黑體" w:cs="微軟正黑體" w:eastAsia="微軟正黑體" w:hAnsi="微軟正黑體"/>
          <w:i/>
          <w:iCs/>
          <w:sz w:val="21"/>
          <w:szCs w:val="21"/>
        </w:rPr>
        <w:t xml:space="preserve">以下文獻資訊依編寫時之公開版本整理,部分機關文件與國際案例之最新進展,建議讀者於正式引用前逐筆查證最新版本。</w:t>
      </w:r>
    </w:p>
    <w:p>
      <w:pPr>
        <w:spacing w:after="200" w:line="360"/>
        <w:ind w:firstLine="431"/>
        <w:jc w:val="both"/>
      </w:pPr>
      <w:r>
        <w:rPr>
          <w:rFonts w:ascii="微軟正黑體" w:cs="微軟正黑體" w:eastAsia="微軟正黑體" w:hAnsi="微軟正黑體"/>
          <w:sz w:val="22"/>
          <w:szCs w:val="22"/>
        </w:rPr>
        <w:t xml:space="preserve">Dunn, W. N. (2018). Public Policy Analysis: An Integrated Approach (6th ed.). Routledge.</w:t>
      </w:r>
    </w:p>
    <w:p>
      <w:pPr>
        <w:spacing w:after="200" w:line="360"/>
        <w:ind w:firstLine="431"/>
        <w:jc w:val="both"/>
      </w:pPr>
      <w:r>
        <w:rPr>
          <w:rFonts w:ascii="微軟正黑體" w:cs="微軟正黑體" w:eastAsia="微軟正黑體" w:hAnsi="微軟正黑體"/>
          <w:sz w:val="22"/>
          <w:szCs w:val="22"/>
        </w:rPr>
        <w:t xml:space="preserve">Guba, E. G., &amp; Lincoln, Y. S. (1989). Fourth Generation Evaluation. Sage.</w:t>
      </w:r>
    </w:p>
    <w:p>
      <w:pPr>
        <w:spacing w:after="200" w:line="360"/>
        <w:ind w:firstLine="431"/>
        <w:jc w:val="both"/>
      </w:pPr>
      <w:r>
        <w:rPr>
          <w:rFonts w:ascii="微軟正黑體" w:cs="微軟正黑體" w:eastAsia="微軟正黑體" w:hAnsi="微軟正黑體"/>
          <w:sz w:val="22"/>
          <w:szCs w:val="22"/>
        </w:rPr>
        <w:t xml:space="preserve">Kingdon, J. W. (1995). Agendas, Alternatives, and Public Policies (2nd ed.). HarperCollins.</w:t>
      </w:r>
    </w:p>
    <w:p>
      <w:pPr>
        <w:spacing w:after="200" w:line="360"/>
        <w:ind w:firstLine="431"/>
        <w:jc w:val="both"/>
      </w:pPr>
      <w:r>
        <w:rPr>
          <w:rFonts w:ascii="微軟正黑體" w:cs="微軟正黑體" w:eastAsia="微軟正黑體" w:hAnsi="微軟正黑體"/>
          <w:sz w:val="22"/>
          <w:szCs w:val="22"/>
        </w:rPr>
        <w:t>Sabatier, P. A. (1988). An advocacy coalition framework of policy change and the role of policy-oriented learning therein. Policy Sciences, 21(2-3), 129-168.</w:t>
      </w:r>
    </w:p>
    <w:p>
      <w:pPr>
        <w:spacing w:after="200" w:line="360"/>
        <w:ind w:firstLine="431"/>
        <w:jc w:val="both"/>
      </w:pPr>
      <w:r>
        <w:rPr>
          <w:rFonts w:ascii="微軟正黑體" w:cs="微軟正黑體" w:eastAsia="微軟正黑體" w:hAnsi="微軟正黑體"/>
          <w:sz w:val="22"/>
          <w:szCs w:val="22"/>
        </w:rPr>
        <w:t>Sabatier, P. A., &amp; Jenkins-Smith, H. C. (Eds.). (1993). Policy Change and Learning: An Advocacy Coalition Approach. Westview Press.</w:t>
      </w:r>
    </w:p>
    <w:p>
      <w:pPr>
        <w:spacing w:after="200" w:line="360"/>
        <w:ind w:firstLine="431"/>
        <w:jc w:val="both"/>
      </w:pPr>
      <w:r>
        <w:rPr>
          <w:rFonts w:ascii="微軟正黑體" w:cs="微軟正黑體" w:eastAsia="微軟正黑體" w:hAnsi="微軟正黑體"/>
          <w:sz w:val="22"/>
          <w:szCs w:val="22"/>
        </w:rPr>
        <w:t>Sabatier, P. A., &amp; Weible, C. M. (2007). The advocacy coalition framework: Innovations and clarifications. In P. A. Sabatier (Ed.), Theories of the Policy Process (2nd ed., pp. 189-220). Westview Press.</w:t>
      </w:r>
    </w:p>
    <w:p>
      <w:pPr>
        <w:spacing w:after="200" w:line="360"/>
        <w:ind w:firstLine="431"/>
        <w:jc w:val="both"/>
      </w:pPr>
      <w:r>
        <w:rPr>
          <w:rFonts w:ascii="微軟正黑體" w:cs="微軟正黑體" w:eastAsia="微軟正黑體" w:hAnsi="微軟正黑體"/>
          <w:sz w:val="22"/>
          <w:szCs w:val="22"/>
        </w:rPr>
        <w:t xml:space="preserve">Sabatier, P. A., &amp; Weible, C. M. (Eds.) (2014). Theories of the Policy Process (3rd ed.) -- Advocacy Coalition Framework. Westview.</w:t>
      </w:r>
    </w:p>
    <w:p>
      <w:pPr>
        <w:spacing w:after="200" w:line="360"/>
        <w:ind w:firstLine="431"/>
        <w:jc w:val="both"/>
      </w:pPr>
      <w:r>
        <w:rPr>
          <w:rFonts w:ascii="微軟正黑體" w:cs="微軟正黑體" w:eastAsia="微軟正黑體" w:hAnsi="微軟正黑體"/>
          <w:sz w:val="22"/>
          <w:szCs w:val="22"/>
        </w:rPr>
        <w:t xml:space="preserve">Brown, J., &amp; Isaacs, D. (2005). The World Café: Shaping Our Futures Through Conversations That Matter. Berrett-Koehler.</w:t>
      </w:r>
    </w:p>
    <w:p>
      <w:pPr>
        <w:spacing w:after="200" w:line="360"/>
        <w:ind w:firstLine="431"/>
        <w:jc w:val="both"/>
      </w:pPr>
      <w:r>
        <w:rPr>
          <w:rFonts w:ascii="微軟正黑體" w:cs="微軟正黑體" w:eastAsia="微軟正黑體" w:hAnsi="微軟正黑體"/>
          <w:sz w:val="22"/>
          <w:szCs w:val="22"/>
        </w:rPr>
        <w:t xml:space="preserve">Behn, R. D. (2003). Why measure performance? Different purposes require different measures. Public Administration Review, 63(5), 586-606.</w:t>
      </w:r>
    </w:p>
    <w:p>
      <w:pPr>
        <w:spacing w:after="200" w:line="360"/>
        <w:ind w:firstLine="431"/>
        <w:jc w:val="both"/>
      </w:pPr>
      <w:r>
        <w:rPr>
          <w:rFonts w:ascii="微軟正黑體" w:cs="微軟正黑體" w:eastAsia="微軟正黑體" w:hAnsi="微軟正黑體"/>
          <w:sz w:val="22"/>
          <w:szCs w:val="22"/>
        </w:rPr>
        <w:t xml:space="preserve">Rossi, P. H., Lipsey, M. W., &amp; Freeman, H. E. (2004). Evaluation: A Systematic Approach (7th ed.). Sage Publications.</w:t>
      </w:r>
    </w:p>
    <w:p>
      <w:pPr>
        <w:spacing w:after="200" w:line="360"/>
        <w:ind w:firstLine="431"/>
        <w:jc w:val="both"/>
      </w:pPr>
      <w:r>
        <w:rPr>
          <w:rFonts w:ascii="微軟正黑體" w:cs="微軟正黑體" w:eastAsia="微軟正黑體" w:hAnsi="微軟正黑體"/>
          <w:sz w:val="22"/>
          <w:szCs w:val="22"/>
        </w:rPr>
        <w:t xml:space="preserve">Osborne, D., &amp; Gaebler, T. (1992). Reinventing Government: How the Entrepreneurial Spirit Is Transforming the Public Sector. Plume/Addison-Wesley.</w:t>
      </w:r>
    </w:p>
    <w:p>
      <w:pPr>
        <w:spacing w:after="200" w:line="360"/>
        <w:ind w:firstLine="431"/>
        <w:jc w:val="both"/>
      </w:pPr>
      <w:r>
        <w:rPr>
          <w:rFonts w:ascii="微軟正黑體" w:cs="微軟正黑體" w:eastAsia="微軟正黑體" w:hAnsi="微軟正黑體"/>
          <w:sz w:val="22"/>
          <w:szCs w:val="22"/>
        </w:rPr>
        <w:t xml:space="preserve">Gebru, T., et al. (2021). Datasheets for Datasets. Communications of the ACM, 64(12), 86-92.</w:t>
      </w:r>
    </w:p>
    <w:p>
      <w:pPr>
        <w:spacing w:after="200" w:line="360"/>
        <w:ind w:firstLine="431"/>
        <w:jc w:val="both"/>
      </w:pPr>
      <w:r>
        <w:rPr>
          <w:rFonts w:ascii="微軟正黑體" w:cs="微軟正黑體" w:eastAsia="微軟正黑體" w:hAnsi="微軟正黑體"/>
          <w:sz w:val="22"/>
          <w:szCs w:val="22"/>
        </w:rPr>
        <w:t xml:space="preserve">Mitchell, M., et al. (2019). Model Cards for Model Reporting. Proceedings of FAT* 2019.</w:t>
      </w:r>
    </w:p>
    <w:p>
      <w:pPr>
        <w:spacing w:after="200" w:line="360"/>
        <w:ind w:firstLine="431"/>
        <w:jc w:val="both"/>
      </w:pPr>
      <w:r>
        <w:rPr>
          <w:rFonts w:ascii="微軟正黑體" w:cs="微軟正黑體" w:eastAsia="微軟正黑體" w:hAnsi="微軟正黑體"/>
          <w:sz w:val="22"/>
          <w:szCs w:val="22"/>
        </w:rPr>
        <w:t xml:space="preserve">Raji, I. D., et al. (2020). Closing the AI Accountability Gap: Defining an End-to-End Framework for Internal Algorithmic Auditing. Proceedings of FAccT 2020.</w:t>
      </w:r>
    </w:p>
    <w:p>
      <w:pPr>
        <w:spacing w:after="200" w:line="360"/>
        <w:ind w:firstLine="431"/>
        <w:jc w:val="both"/>
      </w:pPr>
      <w:r>
        <w:rPr>
          <w:rFonts w:ascii="微軟正黑體" w:cs="微軟正黑體" w:eastAsia="微軟正黑體" w:hAnsi="微軟正黑體"/>
          <w:sz w:val="22"/>
          <w:szCs w:val="22"/>
        </w:rPr>
        <w:t xml:space="preserve">Brown, S., Davidovic, J., &amp; Hasan, A. (2021). The algorithm audit: Scoring the algorithms that score us. Big Data &amp; Society, 8(1).</w:t>
      </w:r>
    </w:p>
    <w:p>
      <w:pPr>
        <w:spacing w:after="200" w:line="360"/>
        <w:ind w:firstLine="431"/>
        <w:jc w:val="both"/>
      </w:pPr>
      <w:r>
        <w:rPr>
          <w:rFonts w:ascii="微軟正黑體" w:cs="微軟正黑體" w:eastAsia="微軟正黑體" w:hAnsi="微軟正黑體"/>
          <w:sz w:val="22"/>
          <w:szCs w:val="22"/>
        </w:rPr>
        <w:t xml:space="preserve">Criado, J. I., &amp; Guevara-Gómez, A. (2024). Who evaluates the algorithms? An overview of the algorithmic accountability ecosystem. Proceedings of dg.o 2024, 19-28.</w:t>
      </w:r>
    </w:p>
    <w:p>
      <w:pPr>
        <w:spacing w:after="200" w:line="360"/>
        <w:ind w:firstLine="431"/>
        <w:jc w:val="both"/>
      </w:pPr>
      <w:r>
        <w:rPr>
          <w:rFonts w:ascii="微軟正黑體" w:cs="微軟正黑體" w:eastAsia="微軟正黑體" w:hAnsi="微軟正黑體"/>
          <w:sz w:val="22"/>
          <w:szCs w:val="22"/>
        </w:rPr>
        <w:t xml:space="preserve">Reisman, D., et al. (2018). Algorithmic Impact Assessment. AI Now Institute.</w:t>
      </w:r>
    </w:p>
    <w:p>
      <w:pPr>
        <w:spacing w:after="200" w:line="360"/>
        <w:ind w:firstLine="431"/>
        <w:jc w:val="both"/>
      </w:pPr>
      <w:r>
        <w:rPr>
          <w:rFonts w:ascii="微軟正黑體" w:cs="微軟正黑體" w:eastAsia="微軟正黑體" w:hAnsi="微軟正黑體"/>
          <w:sz w:val="22"/>
          <w:szCs w:val="22"/>
        </w:rPr>
        <w:t xml:space="preserve">Government of Canada (2023). Directive on Automated Decision-Making and Algorithmic Impact Assessment (v2023). Treasury Board Secretariat.</w:t>
      </w:r>
    </w:p>
    <w:p>
      <w:pPr>
        <w:spacing w:after="200" w:line="360"/>
        <w:ind w:firstLine="431"/>
        <w:jc w:val="both"/>
      </w:pPr>
      <w:r>
        <w:rPr>
          <w:rFonts w:ascii="微軟正黑體" w:cs="微軟正黑體" w:eastAsia="微軟正黑體" w:hAnsi="微軟正黑體"/>
          <w:sz w:val="22"/>
          <w:szCs w:val="22"/>
        </w:rPr>
        <w:t xml:space="preserve">European Union (2024). Regulation Laying Down Harmonised Rules on Artificial Intelligence (AI Act), Article 27 Fundamental Rights Impact Assessment.</w:t>
      </w:r>
    </w:p>
    <w:p>
      <w:pPr>
        <w:spacing w:after="200" w:line="360"/>
        <w:ind w:firstLine="431"/>
        <w:jc w:val="both"/>
      </w:pPr>
      <w:r>
        <w:rPr>
          <w:rFonts w:ascii="微軟正黑體" w:cs="微軟正黑體" w:eastAsia="微軟正黑體" w:hAnsi="微軟正黑體"/>
          <w:sz w:val="22"/>
          <w:szCs w:val="22"/>
        </w:rPr>
        <w:t xml:space="preserve">Office of Management and Budget (2024). M-24-10: Advancing Governance, Innovation, and Risk Management for Agency Use of Artificial Intelligence. Executive Office of the President, USA.</w:t>
      </w:r>
    </w:p>
    <w:p>
      <w:pPr>
        <w:spacing w:after="200" w:line="360"/>
        <w:ind w:firstLine="431"/>
        <w:jc w:val="both"/>
      </w:pPr>
      <w:r>
        <w:rPr>
          <w:rFonts w:ascii="微軟正黑體" w:cs="微軟正黑體" w:eastAsia="微軟正黑體" w:hAnsi="微軟正黑體"/>
          <w:sz w:val="22"/>
          <w:szCs w:val="22"/>
        </w:rPr>
        <w:t xml:space="preserve">Office of Management and Budget (2025). M-25-21: Accelerating Federal Use of AI through Innovation, Governance, and Public Trust; M-25-22: Driving Efficient Acquisition of Artificial Intelligence in Government. Executive Office of the President, USA.</w:t>
      </w:r>
    </w:p>
    <w:p>
      <w:pPr>
        <w:spacing w:after="200" w:line="360"/>
        <w:ind w:firstLine="431"/>
        <w:jc w:val="both"/>
      </w:pPr>
      <w:r>
        <w:rPr>
          <w:rFonts w:ascii="微軟正黑體" w:cs="微軟正黑體" w:eastAsia="微軟正黑體" w:hAnsi="微軟正黑體"/>
          <w:sz w:val="22"/>
          <w:szCs w:val="22"/>
        </w:rPr>
        <w:t xml:space="preserve">Rechtbank Den Haag (2020). NJCM c.s./De Staat der Nederlanden (SyRI-vonnis), C/09/550982 / HA ZA 18-388, 5 February 2020.</w:t>
      </w:r>
    </w:p>
    <w:p>
      <w:pPr>
        <w:spacing w:after="200" w:line="360"/>
        <w:ind w:firstLine="431"/>
        <w:jc w:val="both"/>
      </w:pPr>
      <w:r>
        <w:rPr>
          <w:rFonts w:ascii="微軟正黑體" w:cs="微軟正黑體" w:eastAsia="微軟正黑體" w:hAnsi="微軟正黑體"/>
          <w:sz w:val="22"/>
          <w:szCs w:val="22"/>
        </w:rPr>
        <w:t xml:space="preserve">Tijdelijke Commissie Uitvoeringsorganisaties (2020). Ongekend Onrecht (Unprecedented Injustice): Report of the Parliamentary Committee of Inquiry into the Childcare Benefits Scandal. Dutch House of Representatives.</w:t>
      </w:r>
    </w:p>
    <w:p>
      <w:pPr>
        <w:spacing w:after="200" w:line="360"/>
        <w:ind w:firstLine="431"/>
        <w:jc w:val="both"/>
      </w:pPr>
      <w:r>
        <w:rPr>
          <w:rFonts w:ascii="微軟正黑體" w:cs="微軟正黑體" w:eastAsia="微軟正黑體" w:hAnsi="微軟正黑體"/>
          <w:sz w:val="22"/>
          <w:szCs w:val="22"/>
        </w:rPr>
        <w:t xml:space="preserve">Autoriteit Persoonsgegevens (2020). Onderzoek naar de verwerking van persoonsgegevens door de Belastingdienst/Toeslagen (Investigation into the processing of personal data by the Dutch Tax and Customs Administration/Benefits).</w:t>
      </w:r>
    </w:p>
    <w:p>
      <w:pPr>
        <w:spacing w:after="200" w:line="360"/>
        <w:ind w:firstLine="431"/>
        <w:jc w:val="both"/>
      </w:pPr>
      <w:r>
        <w:rPr>
          <w:rFonts w:ascii="微軟正黑體" w:cs="微軟正黑體" w:eastAsia="微軟正黑體" w:hAnsi="微軟正黑體"/>
          <w:sz w:val="22"/>
          <w:szCs w:val="22"/>
        </w:rPr>
        <w:t>OECD. (2012). Recommendation of the Council on Regulatory Policy and Governance.</w:t>
      </w:r>
    </w:p>
    <w:p>
      <w:pPr>
        <w:spacing w:after="200" w:line="360"/>
        <w:ind w:firstLine="431"/>
        <w:jc w:val="both"/>
      </w:pPr>
      <w:r>
        <w:rPr>
          <w:rFonts w:ascii="微軟正黑體" w:cs="微軟正黑體" w:eastAsia="微軟正黑體" w:hAnsi="微軟正黑體"/>
          <w:sz w:val="22"/>
          <w:szCs w:val="22"/>
        </w:rPr>
        <w:t>OECD. (2022). OECD Framework for the Classification of AI Systems (OECD Digital Economy Papers).</w:t>
      </w:r>
    </w:p>
    <w:p>
      <w:pPr>
        <w:spacing w:after="200" w:line="360"/>
        <w:ind w:firstLine="431"/>
        <w:jc w:val="both"/>
      </w:pPr>
      <w:r>
        <w:rPr>
          <w:rFonts w:ascii="微軟正黑體" w:cs="微軟正黑體" w:eastAsia="微軟正黑體" w:hAnsi="微軟正黑體"/>
          <w:sz w:val="22"/>
          <w:szCs w:val="22"/>
        </w:rPr>
        <w:t>OECD. (2024). OECD AI Principles (updated 2 May 2024).</w:t>
      </w:r>
    </w:p>
    <w:p>
      <w:pPr>
        <w:spacing w:after="200" w:line="360"/>
        <w:ind w:firstLine="431"/>
        <w:jc w:val="both"/>
      </w:pPr>
      <w:r>
        <w:rPr>
          <w:rFonts w:ascii="微軟正黑體" w:cs="微軟正黑體" w:eastAsia="微軟正黑體" w:hAnsi="微軟正黑體"/>
          <w:sz w:val="22"/>
          <w:szCs w:val="22"/>
        </w:rPr>
        <w:t>Raiffa, H. (1968). Decision Analysis: Introductory Lectures on Choices under Uncertainty. Addison-Wesley.</w:t>
      </w:r>
    </w:p>
    <w:p>
      <w:pPr>
        <w:spacing w:after="200" w:line="360"/>
        <w:ind w:firstLine="431"/>
        <w:jc w:val="both"/>
      </w:pPr>
      <w:r>
        <w:rPr>
          <w:rFonts w:ascii="微軟正黑體" w:cs="微軟正黑體" w:eastAsia="微軟正黑體" w:hAnsi="微軟正黑體"/>
          <w:sz w:val="22"/>
          <w:szCs w:val="22"/>
        </w:rPr>
        <w:t>DeLeon, P. (1978). Public policy termination: An end and a beginning. Policy Analysis, 4(3), 369-392.</w:t>
      </w:r>
    </w:p>
    <w:p>
      <w:pPr>
        <w:spacing w:after="200" w:line="360"/>
        <w:ind w:firstLine="431"/>
        <w:jc w:val="both"/>
      </w:pPr>
      <w:r>
        <w:rPr>
          <w:rFonts w:ascii="微軟正黑體" w:cs="微軟正黑體" w:eastAsia="微軟正黑體" w:hAnsi="微軟正黑體"/>
          <w:sz w:val="22"/>
          <w:szCs w:val="22"/>
        </w:rPr>
        <w:t>Fishkin, J. S. (1991). Democracy and Deliberation: New Directions for Democratic Reform. Yale University Press.</w:t>
      </w:r>
    </w:p>
    <w:p>
      <w:pPr>
        <w:spacing w:after="200" w:line="360"/>
        <w:ind w:firstLine="431"/>
        <w:jc w:val="both"/>
      </w:pPr>
      <w:r>
        <w:rPr>
          <w:rFonts w:ascii="微軟正黑體" w:cs="微軟正黑體" w:eastAsia="微軟正黑體" w:hAnsi="微軟正黑體"/>
          <w:sz w:val="22"/>
          <w:szCs w:val="22"/>
        </w:rPr>
        <w:t>Easton, D. (1965). A Systems Analysis of Political Life. Wiley.</w:t>
      </w:r>
    </w:p>
    <w:p>
      <w:pPr>
        <w:spacing w:after="200" w:line="360"/>
        <w:ind w:firstLine="431"/>
        <w:jc w:val="both"/>
      </w:pPr>
      <w:r>
        <w:rPr>
          <w:rFonts w:ascii="微軟正黑體" w:cs="微軟正黑體" w:eastAsia="微軟正黑體" w:hAnsi="微軟正黑體"/>
          <w:sz w:val="22"/>
          <w:szCs w:val="22"/>
        </w:rPr>
        <w:t>Robbins, S. P., &amp; Judge, T. A. (2024). Organizational Behavior (20th ed.). Pearson.</w:t>
      </w:r>
    </w:p>
    <w:p>
      <w:pPr>
        <w:spacing w:after="200" w:line="360"/>
        <w:ind w:firstLine="431"/>
        <w:jc w:val="both"/>
      </w:pPr>
      <w:r>
        <w:rPr>
          <w:rFonts w:ascii="微軟正黑體" w:cs="微軟正黑體" w:eastAsia="微軟正黑體" w:hAnsi="微軟正黑體"/>
          <w:sz w:val="22"/>
          <w:szCs w:val="22"/>
        </w:rPr>
        <w:t xml:space="preserve">國家發展委員會。法規影響評估作業指引(最新修正版)。臺北:國家發展委員會。</w:t>
      </w:r>
    </w:p>
    <w:p>
      <w:pPr>
        <w:spacing w:after="200" w:line="360"/>
        <w:ind w:firstLine="431"/>
        <w:jc w:val="both"/>
      </w:pPr>
      <w:r>
        <w:rPr>
          <w:rFonts w:ascii="微軟正黑體" w:cs="微軟正黑體" w:eastAsia="微軟正黑體" w:hAnsi="微軟正黑體"/>
          <w:sz w:val="22"/>
          <w:szCs w:val="22"/>
        </w:rPr>
        <w:t xml:space="preserve">國家發展委員會。行政院所屬各機關施政績效管理要點。</w:t>
      </w:r>
    </w:p>
    <w:p>
      <w:pPr>
        <w:spacing w:after="200" w:line="360"/>
        <w:ind w:firstLine="431"/>
        <w:jc w:val="both"/>
      </w:pPr>
      <w:r>
        <w:rPr>
          <w:rFonts w:ascii="微軟正黑體" w:cs="微軟正黑體" w:eastAsia="微軟正黑體" w:hAnsi="微軟正黑體"/>
          <w:sz w:val="22"/>
          <w:szCs w:val="22"/>
        </w:rPr>
        <w:t xml:space="preserve">行政院所屬各機關年度施政計畫編審辦法。全國法規資料庫。</w:t>
      </w:r>
    </w:p>
    <w:p>
      <w:pPr>
        <w:spacing w:after="200" w:line="360"/>
        <w:ind w:firstLine="431"/>
        <w:jc w:val="both"/>
      </w:pPr>
      <w:r>
        <w:rPr>
          <w:rFonts w:ascii="微軟正黑體" w:cs="微軟正黑體" w:eastAsia="微軟正黑體" w:hAnsi="微軟正黑體"/>
          <w:sz w:val="22"/>
          <w:szCs w:val="22"/>
        </w:rPr>
        <w:t xml:space="preserve">數位發展部(2026)。人工智慧風險分類框架v1.0(115年7月7日)。臺北:數位發展部。</w:t>
      </w:r>
    </w:p>
    <w:p>
      <w:pPr>
        <w:spacing w:after="200" w:line="360"/>
        <w:ind w:firstLine="431"/>
        <w:jc w:val="both"/>
      </w:pPr>
      <w:r>
        <w:rPr>
          <w:rFonts w:ascii="微軟正黑體" w:cs="微軟正黑體" w:eastAsia="微軟正黑體" w:hAnsi="微軟正黑體"/>
          <w:sz w:val="22"/>
          <w:szCs w:val="22"/>
        </w:rPr>
        <w:t xml:space="preserve">人工智慧基本法(中華民國115年1月14日公布施行)。總統府公報。</w:t>
      </w:r>
    </w:p>
    <w:p>
      <w:pPr>
        <w:spacing w:after="200" w:line="360"/>
        <w:ind w:firstLine="431"/>
        <w:jc w:val="both"/>
      </w:pPr>
      <w:r>
        <w:rPr>
          <w:rFonts w:ascii="微軟正黑體" w:cs="微軟正黑體" w:eastAsia="微軟正黑體" w:hAnsi="微軟正黑體"/>
          <w:sz w:val="22"/>
          <w:szCs w:val="22"/>
        </w:rPr>
        <w:t xml:space="preserve">丘昌泰(2021)。公共政策:基礎篇(六版)。臺北:巨流。</w:t>
      </w:r>
    </w:p>
    <w:p>
      <w:pPr>
        <w:spacing w:after="200" w:line="360"/>
        <w:ind w:firstLine="431"/>
        <w:jc w:val="both"/>
      </w:pPr>
      <w:r>
        <w:rPr>
          <w:rFonts w:ascii="微軟正黑體" w:cs="微軟正黑體" w:eastAsia="微軟正黑體" w:hAnsi="微軟正黑體"/>
          <w:sz w:val="22"/>
          <w:szCs w:val="22"/>
        </w:rPr>
        <w:t xml:space="preserve">呂育誠(2022)。審議民主與數位治理:vTaiwan的經驗。公共行政學報,62,45-82。</w:t>
      </w:r>
    </w:p>
    <w:p>
      <w:pPr>
        <w:spacing w:after="200" w:line="360"/>
        <w:ind w:firstLine="431"/>
        <w:jc w:val="both"/>
      </w:pPr>
      <w:r>
        <w:rPr>
          <w:rFonts w:ascii="微軟正黑體" w:cs="微軟正黑體" w:eastAsia="微軟正黑體" w:hAnsi="微軟正黑體"/>
          <w:sz w:val="22"/>
          <w:szCs w:val="22"/>
        </w:rPr>
        <w:t xml:space="preserve">李翠萍、黃東益(2023)。演算法決策的公平性與課責:我國政府AI治理之挑戰。行政暨政策學報,76,1-42。</w:t>
      </w:r>
    </w:p>
    <w:p>
      <w:pPr>
        <w:spacing w:after="200" w:line="360"/>
        <w:ind w:firstLine="431"/>
        <w:jc w:val="both"/>
      </w:pPr>
      <w:r>
        <w:rPr>
          <w:rFonts w:ascii="微軟正黑體" w:cs="微軟正黑體" w:eastAsia="微軟正黑體" w:hAnsi="微軟正黑體"/>
          <w:sz w:val="22"/>
          <w:szCs w:val="22"/>
        </w:rPr>
        <w:t xml:space="preserve">林國明(2022)。審議民主的理論與實務:臺灣經驗。臺北:臺大出版中心。</w:t>
      </w:r>
    </w:p>
    <w:p>
      <w:pPr>
        <w:spacing w:after="200" w:line="360"/>
        <w:ind w:firstLine="431"/>
        <w:jc w:val="both"/>
      </w:pPr>
      <w:r>
        <w:rPr>
          <w:rFonts w:ascii="微軟正黑體" w:cs="微軟正黑體" w:eastAsia="微軟正黑體" w:hAnsi="微軟正黑體"/>
          <w:sz w:val="22"/>
          <w:szCs w:val="22"/>
        </w:rPr>
        <w:t xml:space="preserve">張四明、李仲庭(2023)。從RIA到AIA:我國法規影響評估納入AI風險之制度分析。法制論叢,15,123-162。</w:t>
      </w:r>
    </w:p>
    <w:p>
      <w:pPr>
        <w:spacing w:after="200" w:line="360"/>
        <w:ind w:firstLine="431"/>
        <w:jc w:val="both"/>
      </w:pPr>
      <w:r>
        <w:rPr>
          <w:rFonts w:ascii="微軟正黑體" w:cs="微軟正黑體" w:eastAsia="微軟正黑體" w:hAnsi="微軟正黑體"/>
          <w:sz w:val="22"/>
          <w:szCs w:val="22"/>
        </w:rPr>
        <w:t xml:space="preserve">陳敦源、廖洲棚(2021)。公共政策網路參與平台之參與品質研究。公共行政學報,60,1-38。</w:t>
      </w:r>
    </w:p>
    <w:p>
      <w:pPr>
        <w:spacing w:after="200" w:line="360"/>
        <w:ind w:firstLine="431"/>
        <w:jc w:val="both"/>
      </w:pPr>
      <w:r>
        <w:rPr>
          <w:rFonts w:ascii="微軟正黑體" w:cs="微軟正黑體" w:eastAsia="微軟正黑體" w:hAnsi="微軟正黑體"/>
          <w:sz w:val="22"/>
          <w:szCs w:val="22"/>
        </w:rPr>
        <w:t xml:space="preserve">黃東益、陳敦源(2022)。數位治理與民主回應:Polis與vTaiwan之整合分析。政治科學論叢,74,33-72。</w:t>
      </w:r>
    </w:p>
    <w:p>
      <w:pPr>
        <w:spacing w:after="200" w:line="360"/>
        <w:ind w:firstLine="431"/>
        <w:jc w:val="both"/>
      </w:pPr>
      <w:r>
        <w:rPr>
          <w:rFonts w:ascii="微軟正黑體" w:cs="微軟正黑體" w:eastAsia="微軟正黑體" w:hAnsi="微軟正黑體"/>
          <w:sz w:val="22"/>
          <w:szCs w:val="22"/>
        </w:rPr>
        <w:t xml:space="preserve">廖洲棚(2023)。生成式AI在公共部門之應用與風險。研考雙月刊,47卷5期,12-28。</w:t>
      </w:r>
    </w:p>
    <w:p>
      <w:pPr>
        <w:spacing w:after="200" w:line="360"/>
        <w:ind w:firstLine="431"/>
        <w:jc w:val="both"/>
      </w:pPr>
      <w:r>
        <w:rPr>
          <w:rFonts w:ascii="微軟正黑體" w:cs="微軟正黑體" w:eastAsia="微軟正黑體" w:hAnsi="微軟正黑體"/>
          <w:sz w:val="22"/>
          <w:szCs w:val="22"/>
        </w:rPr>
        <w:t xml:space="preserve">鄭麗君等(2021)。開放政府與公民參與。臺北:時報出版。</w:t>
      </w:r>
    </w:p>
    <w:p>
      <w:pPr>
        <w:spacing w:after="20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60"/>
              <w:left w:type="dxa" w:w="220"/>
              <w:bottom w:type="dxa" w:w="160"/>
              <w:right w:type="dxa" w:w="220"/>
            </w:tcMar>
          </w:tcPr>
          <w:p>
            <w:pPr>
              <w:spacing w:after="100"/>
            </w:pPr>
            <w:r>
              <w:rPr>
                <w:rFonts w:ascii="微軟正黑體" w:cs="微軟正黑體" w:eastAsia="微軟正黑體" w:hAnsi="微軟正黑體"/>
                <w:b/>
                <w:bCs/>
                <w:color w:val="1F4E79"/>
                <w:sz w:val="22"/>
                <w:szCs w:val="22"/>
              </w:rPr>
              <w:t xml:space="preserve">前瞻:通往第十五章</w:t>
            </w:r>
          </w:p>
          <w:p>
            <w:pPr>
              <w:spacing w:line="340"/>
              <w:jc w:val="both"/>
            </w:pPr>
            <w:r>
              <w:rPr>
                <w:rFonts w:ascii="微軟正黑體" w:cs="微軟正黑體" w:eastAsia="微軟正黑體" w:hAnsi="微軟正黑體"/>
                <w:sz w:val="21"/>
                <w:szCs w:val="21"/>
              </w:rPr>
              <w:t xml:space="preserve">本章完成了政策體系層(第三層)自政策概念、分析規劃、合法化執行到評估回饋的完整閉環,並指出AI鑲嵌後,評估工具本身可能因「自我驗證迴路」與「課責赤字」而喪失其打開黑箱的初衷。下一部分將從政策體系層轉向組織層與制度結構層,以第十五章「公共組織的特性與本質」為起點,探討公共組織之公共性、類型學與AI時代下組織本質之重構——當演算法與AI代理人開始作為組織的一部分,「誰是組織的成員」「誰對組織的決定負責」等問題,將以新的形式重新浮現。</w:t>
            </w:r>
          </w:p>
        </w:tc>
      </w:tr>
    </w:tbl>
    <w:sectPr>
      <w:pgSz w:w="11906" w:h="16838" w:orient="portrait"/>
      <w:pgMar w:top="1440" w:right="1440" w:bottom="1440" w:left="1440" w:header="708" w:footer="708" w:gutter="0"/>
      <w:pgNumTyp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648" w:hanging="288"/>
      </w:pPr>
    </w:lvl>
    <w:lvl w:ilvl="1" w15:tentative="1">
      <w:start w:val="1"/>
      <w:numFmt w:val="bullet"/>
      <w:lvlText w:val="◦"/>
      <w:lvlJc w:val="left"/>
      <w:pPr>
        <w:ind w:left="1080" w:hanging="288"/>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微軟正黑體" w:cs="微軟正黑體" w:eastAsia="微軟正黑體" w:hAnsi="微軟正黑體"/>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7" Type="http://schemas.openxmlformats.org/officeDocument/2006/relationships/fontTable" Target="fontTable.xml"/><Relationship Id="rId6" Type="http://schemas.openxmlformats.org/officeDocument/2006/relationships/image" Target="media/image1.png"/><Relationship Id="rId8" Type="http://schemas.openxmlformats.org/officeDocument/2006/relationships/image" Target="media/image2.png"/><Relationship Id="rId9" Type="http://schemas.openxmlformats.org/officeDocument/2006/relationships/image" Target="media/image3.png"/><Relationship Id="rId10" Type="http://schemas.openxmlformats.org/officeDocument/2006/relationships/image" Target="media/image4.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2026-08-31T06:21:32.852Z</dcterms:created>
  <dcterms:modified xsi:type="dcterms:W3CDTF">2026-08-31T06:21:32.852Z</dcterms:modified>
  <dc:title>行政學第十四章 政策評估與回饋｜台灣與全球文獻、最新評估理論與案例加強版</dc:title>
</cp:coreProperties>
</file>

<file path=docProps/custom.xml><?xml version="1.0" encoding="utf-8"?>
<Properties xmlns="http://schemas.openxmlformats.org/officeDocument/2006/custom-properties" xmlns:vt="http://schemas.openxmlformats.org/officeDocument/2006/docPropsVTypes"/>
</file>