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第十三章　政策執行</w:t>
      </w:r>
    </w:p>
    <w:p>
      <w:pPr>
        <w:spacing w:after="400"/>
        <w:jc w:val="center"/>
      </w:pPr>
      <w:r>
        <w:rPr>
          <w:rFonts w:ascii="微軟正黑體" w:cs="微軟正黑體" w:eastAsia="微軟正黑體" w:hAnsi="微軟正黑體"/>
          <w:i/>
          <w:iCs/>
          <w:color w:val="777777"/>
          <w:sz w:val="22"/>
          <w:szCs w:val="22"/>
        </w:rPr>
        <w:t xml:space="preserve">——從官僚執行到人機協作:政策體系層次的落地與課責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本章由第十二章「政策制訂」推進至政策循環第四階段「政策執行」,座標定位於「政策體系 × 組織╱社會」單位。政策執行將正式規則轉化為資格認定、資源配置、管制、執法與服務提供,是P3公權力決定之實質影響力移轉落地的關鍵節點;AI若以風險分數、資格模型或自動閾值嵌入工作流程,形式決定者、系統設計者、資料供應者與承包商之責任可能分散,形成責任鏈之「課責赤字」(accountability deficit)。對應治理審計為責任歸屬審計、裁量邊界審計、理由說明審計、隱私與資安審計及有效救濟機制。承接第十二章取得正式地位之政策,本章聚焦政策如何在官僚體系與人機協作中被具體落實,以及執行落差如何在AI與系統層官僚的協作下,呈現新的樣貌。</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能闡釋政策執行之定義與里程碑(Pressman &amp; Wildavsky),比較由上而下與由下而上模式,掌握三代研究演進與多手問題對課責之挑戰。</w:t>
      </w:r>
    </w:p>
    <w:p>
      <w:pPr>
        <w:pStyle w:val="ListParagraph"/>
        <w:numPr>
          <w:ilvl w:val="0"/>
          <w:numId w:val="2"/>
        </w:numPr>
        <w:spacing w:after="120" w:line="340"/>
      </w:pPr>
      <w:r>
        <w:rPr>
          <w:rFonts w:ascii="微軟正黑體" w:cs="微軟正黑體" w:eastAsia="微軟正黑體" w:hAnsi="微軟正黑體"/>
          <w:sz w:val="22"/>
          <w:szCs w:val="22"/>
        </w:rPr>
        <w:t xml:space="preserve">能運用Van Meter與Van Horn執行力模式與政策制定—執行互動四類型,辨識執行落差之結構與行為成因。</w:t>
      </w:r>
    </w:p>
    <w:p>
      <w:pPr>
        <w:pStyle w:val="ListParagraph"/>
        <w:numPr>
          <w:ilvl w:val="0"/>
          <w:numId w:val="2"/>
        </w:numPr>
        <w:spacing w:after="120" w:line="340"/>
      </w:pPr>
      <w:r>
        <w:rPr>
          <w:rFonts w:ascii="微軟正黑體" w:cs="微軟正黑體" w:eastAsia="微軟正黑體" w:hAnsi="微軟正黑體"/>
          <w:sz w:val="22"/>
          <w:szCs w:val="22"/>
        </w:rPr>
        <w:t xml:space="preserve">能系統比較Weimer &amp; Vining、Schneider &amp; Ingram、Howlett &amp; Ramesh之政策工具分類,並說明演算法作為第四類工具與RegTech之特性。</w:t>
      </w:r>
    </w:p>
    <w:p>
      <w:pPr>
        <w:pStyle w:val="ListParagraph"/>
        <w:numPr>
          <w:ilvl w:val="0"/>
          <w:numId w:val="2"/>
        </w:numPr>
        <w:spacing w:after="120" w:line="340"/>
      </w:pPr>
      <w:r>
        <w:rPr>
          <w:rFonts w:ascii="微軟正黑體" w:cs="微軟正黑體" w:eastAsia="微軟正黑體" w:hAnsi="微軟正黑體"/>
          <w:sz w:val="22"/>
          <w:szCs w:val="22"/>
        </w:rPr>
        <w:t xml:space="preserve">能掌握政策論證八方式、政策監測四功能與政策行銷6P及社會行銷之內涵。</w:t>
      </w:r>
    </w:p>
    <w:p>
      <w:pPr>
        <w:pStyle w:val="ListParagraph"/>
        <w:numPr>
          <w:ilvl w:val="0"/>
          <w:numId w:val="2"/>
        </w:numPr>
        <w:spacing w:after="120" w:line="340"/>
      </w:pPr>
      <w:r>
        <w:rPr>
          <w:rFonts w:ascii="微軟正黑體" w:cs="微軟正黑體" w:eastAsia="微軟正黑體" w:hAnsi="微軟正黑體"/>
          <w:sz w:val="22"/>
          <w:szCs w:val="22"/>
        </w:rPr>
        <w:t xml:space="preserve">能分析政策網路中鐵三角、議題網絡與政策社群之差異,並運用沉默輸家、俘虜與競租解釋民主課責挑戰。</w:t>
      </w:r>
    </w:p>
    <w:p>
      <w:pPr>
        <w:pStyle w:val="ListParagraph"/>
        <w:numPr>
          <w:ilvl w:val="0"/>
          <w:numId w:val="2"/>
        </w:numPr>
        <w:spacing w:after="120" w:line="340"/>
      </w:pPr>
      <w:r>
        <w:rPr>
          <w:rFonts w:ascii="微軟正黑體" w:cs="微軟正黑體" w:eastAsia="微軟正黑體" w:hAnsi="微軟正黑體"/>
          <w:sz w:val="22"/>
          <w:szCs w:val="22"/>
        </w:rPr>
        <w:t xml:space="preserve">能透過AI治理專節,分析演算法治理對傳統工具論之挑戰,運用監管沙盒、演算法影響評估(AIA)與演算法登記簿評估台灣案例。</w:t>
      </w:r>
    </w:p>
    <w:p>
      <w:pPr>
        <w:pStyle w:val="ListParagraph"/>
        <w:numPr>
          <w:ilvl w:val="0"/>
          <w:numId w:val="2"/>
        </w:numPr>
        <w:spacing w:after="120" w:line="340"/>
      </w:pPr>
      <w:r>
        <w:rPr>
          <w:rFonts w:ascii="微軟正黑體" w:cs="微軟正黑體" w:eastAsia="微軟正黑體" w:hAnsi="微軟正黑體"/>
          <w:sz w:val="22"/>
          <w:szCs w:val="22"/>
        </w:rPr>
        <w:t xml:space="preserve">能運用25-3-3-4-7框架,辨識政策執行階段AI鑲嵌後之P3公權力影響力落地、責任鏈「課責赤字」,並設計四鏈七審之因應機制。</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「徒善不足以為政,徒法不足以自行。」——《孟子·離婁上》</w:t>
      </w:r>
    </w:p>
    <w:p>
      <w:pPr>
        <w:spacing w:after="200" w:line="360"/>
        <w:ind w:firstLine="431"/>
        <w:jc w:val="both"/>
      </w:pPr>
      <w:r>
        <w:rPr>
          <w:rFonts w:ascii="微軟正黑體" w:cs="微軟正黑體" w:eastAsia="微軟正黑體" w:hAnsi="微軟正黑體"/>
          <w:sz w:val="22"/>
          <w:szCs w:val="22"/>
        </w:rPr>
        <w:t xml:space="preserve">承第十二章「政策制訂」之討論——當政策已取得正式地位、完成合法化程序,行政機關面對的下一個關卡是:「這個政策要如何被真正落實?」政策執行(policy implementation)正是將選定之政策方案付諸實行的過程。孟子兩千多年前的洞見至今仍然成立:再良善的政策意圖,若無法轉化為具體的執行行動,終究只是一紙空文;再周延的法律條文,若無人願意、無人能夠將其付諸實踐,也無法自動運作。Pressman與Wildavsky於1973年的經典研究更進一步指出,執行從來不是政策的自動延伸,而是充滿決策點與共同行動困境的政治過程。</w:t>
      </w:r>
    </w:p>
    <w:p>
      <w:pPr>
        <w:spacing w:after="200" w:line="360"/>
        <w:ind w:firstLine="431"/>
        <w:jc w:val="both"/>
      </w:pPr>
      <w:r>
        <w:rPr>
          <w:rFonts w:ascii="微軟正黑體" w:cs="微軟正黑體" w:eastAsia="微軟正黑體" w:hAnsi="微軟正黑體"/>
          <w:sz w:val="22"/>
          <w:szCs w:val="22"/>
        </w:rPr>
        <w:t xml:space="preserve">本章從政策執行的定義與理論演進出發,經政策工具的分類與AI時代新增的演算法第四類,進入政策論證、監測與行銷的實務操作,再到政策網路與民主課責的結構性挑戰,最後以AI治理專節深入辨證:當風險分數、資格模型與自動閾值嵌入執行工作流程,「誰在執行」與「誰該負責」之間,是否正在出現一道難以彌合的「課責赤字」?</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政策執行的理論基礎:執行之定義與里程碑(Pressman &amp; Wildavsky);由上而下與由下而上;多手問題與課責困境;Van Meter與Van Horn執行力模式。</w:t>
      </w:r>
    </w:p>
    <w:p>
      <w:pPr>
        <w:pStyle w:val="ListParagraph"/>
        <w:numPr>
          <w:ilvl w:val="0"/>
          <w:numId w:val="2"/>
        </w:numPr>
        <w:spacing w:after="120" w:line="340"/>
      </w:pPr>
      <w:r>
        <w:rPr>
          <w:rFonts w:ascii="微軟正黑體" w:cs="微軟正黑體" w:eastAsia="微軟正黑體" w:hAnsi="微軟正黑體"/>
          <w:sz w:val="22"/>
          <w:szCs w:val="22"/>
        </w:rPr>
        <w:t xml:space="preserve">政策工具與傳播:三大工具分類(Weimer &amp; Vining、Schneider &amp; Ingram、Howlett &amp; Ramesh)及演算法第四類與RegTech;政策論證、監測與行銷。</w:t>
      </w:r>
    </w:p>
    <w:p>
      <w:pPr>
        <w:pStyle w:val="ListParagraph"/>
        <w:numPr>
          <w:ilvl w:val="0"/>
          <w:numId w:val="2"/>
        </w:numPr>
        <w:spacing w:after="120" w:line="340"/>
      </w:pPr>
      <w:r>
        <w:rPr>
          <w:rFonts w:ascii="微軟正黑體" w:cs="微軟正黑體" w:eastAsia="微軟正黑體" w:hAnsi="微軟正黑體"/>
          <w:sz w:val="22"/>
          <w:szCs w:val="22"/>
        </w:rPr>
        <w:t xml:space="preserve">網路治理與AI課責:政策網路、鐵三角、沉默輸家與競租;AI治理專節之治理挑戰、理論回應、台灣案例與工具箱(監管沙盒、AIA、演算法登記簿)。</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政策已合法化(承第十二章)　→　轉化為資格認定╱資源配置╱管制╱服務提供　→　選擇政策工具(含演算法第四類)　→　論證、監測與行銷　→　政策網路互動與課責　→　銜接政策評估(第十四章)</w:t>
            </w:r>
          </w:p>
        </w:tc>
      </w:tr>
    </w:tbl>
    <w:p>
      <w:pPr>
        <w:spacing w:after="200" w:line="360"/>
        <w:ind w:firstLine="431"/>
        <w:jc w:val="both"/>
      </w:pPr>
      <w:r>
        <w:rPr>
          <w:rFonts w:ascii="微軟正黑體" w:cs="微軟正黑體" w:eastAsia="微軟正黑體" w:hAnsi="微軟正黑體"/>
          <w:sz w:val="22"/>
          <w:szCs w:val="22"/>
        </w:rPr>
        <w:t xml:space="preserve">這個架構顯示,政策執行不是政策制訂後的自動延伸,而是充滿決策點、裁量空間與課責挑戰的再政治化過程——而AI與系統層官僚的協作,正在為這個過程帶來新的效率,也帶來新的課責赤字風險。</w:t>
      </w:r>
    </w:p>
    <w:p>
      <w:pPr>
        <w:spacing w:after="180" w:before="360"/>
      </w:pPr>
      <w:r>
        <w:rPr>
          <w:rFonts w:ascii="微軟正黑體" w:cs="微軟正黑體" w:eastAsia="微軟正黑體" w:hAnsi="微軟正黑體"/>
          <w:b/>
          <w:bCs/>
          <w:color w:val="1F4E79"/>
          <w:sz w:val="26"/>
          <w:szCs w:val="26"/>
        </w:rPr>
        <w:t xml:space="preserve">第一節　政策執行:定義、里程碑與理論演進</w:t>
      </w:r>
    </w:p>
    <w:p>
      <w:pPr>
        <w:spacing w:after="140" w:before="260"/>
      </w:pPr>
      <w:r>
        <w:rPr>
          <w:rFonts w:ascii="微軟正黑體" w:cs="微軟正黑體" w:eastAsia="微軟正黑體" w:hAnsi="微軟正黑體"/>
          <w:b/>
          <w:bCs/>
          <w:color w:val="2E5C8A"/>
          <w:sz w:val="23"/>
          <w:szCs w:val="23"/>
        </w:rPr>
        <w:t xml:space="preserve">一、政策執行的定義與重要性</w:t>
      </w:r>
    </w:p>
    <w:p>
      <w:pPr>
        <w:spacing w:after="200" w:line="360"/>
        <w:ind w:firstLine="431"/>
        <w:jc w:val="both"/>
      </w:pPr>
      <w:r>
        <w:rPr>
          <w:rFonts w:ascii="微軟正黑體" w:cs="微軟正黑體" w:eastAsia="微軟正黑體" w:hAnsi="微軟正黑體"/>
          <w:sz w:val="22"/>
          <w:szCs w:val="22"/>
        </w:rPr>
        <w:t xml:space="preserve">政策執行(policy implementation)指將選定之政策方案付諸實行的過程。執行不僅是技術性落實,更是政治性再決策過程,涉及資源配置、組織協調與標的團體順服。</w:t>
      </w:r>
    </w:p>
    <w:p>
      <w:pPr>
        <w:spacing w:after="140" w:before="260"/>
      </w:pPr>
      <w:r>
        <w:rPr>
          <w:rFonts w:ascii="微軟正黑體" w:cs="微軟正黑體" w:eastAsia="微軟正黑體" w:hAnsi="微軟正黑體"/>
          <w:b/>
          <w:bCs/>
          <w:color w:val="2E5C8A"/>
          <w:sz w:val="23"/>
          <w:szCs w:val="23"/>
        </w:rPr>
        <w:t xml:space="preserve">二、里程碑:Pressman &amp; Wildavsky的發現</w:t>
      </w:r>
    </w:p>
    <w:p>
      <w:pPr>
        <w:spacing w:after="200" w:line="360"/>
        <w:ind w:firstLine="431"/>
        <w:jc w:val="both"/>
      </w:pPr>
      <w:r>
        <w:rPr>
          <w:rFonts w:ascii="微軟正黑體" w:cs="微軟正黑體" w:eastAsia="微軟正黑體" w:hAnsi="微軟正黑體"/>
          <w:sz w:val="22"/>
          <w:szCs w:val="22"/>
        </w:rPr>
        <w:t xml:space="preserve">Pressman與Wildavsky 1973年《執行》為里程碑。研究奧克蘭就業計畫,發現聯邦政策經過多個決策點層層轉譯,每一參與者同意機率若低於1,則整體成功率為連乘效果,如30個環節各0.98,成功率僅剩0.54,揭示執行落差普遍性與複雜的共同行動困境,開啟第一代研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42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世代</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核心關懷</w:t>
            </w:r>
          </w:p>
        </w:tc>
        <w:tc>
          <w:tcPr>
            <w:tcW w:type="dxa" w:w="4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方法與代表</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第一代(1970s)</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個案實務與失敗探索</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偏重個案描述,由上而下,視執行為技術性,強調層級服從。代表:Pressman &amp; Wildavsky</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第二代(1980s)</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理論架構與模式建立</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建立分析架構,辯論由上而下vs由下而上,重視計畫理性與組織理性互動。代表:Van Meter &amp; Van Horn, Mazmanian &amp; Sabatier, Lipsky</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第三代(1990s後)</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解釋變項與預測類型</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整合途徑,提出綜合模型,關注變項解釋與類型預測,引入網絡治理。代表:Goggin, Matland</w:t>
            </w:r>
          </w:p>
        </w:tc>
      </w:tr>
    </w:tbl>
    <w:p>
      <w:pPr>
        <w:spacing w:after="280" w:before="120"/>
        <w:jc w:val="center"/>
      </w:pPr>
      <w:r>
        <w:rPr>
          <w:rFonts w:ascii="微軟正黑體" w:cs="微軟正黑體" w:eastAsia="微軟正黑體" w:hAnsi="微軟正黑體"/>
          <w:i/>
          <w:iCs/>
          <w:color w:val="555555"/>
          <w:sz w:val="18"/>
          <w:szCs w:val="18"/>
        </w:rPr>
        <w:t xml:space="preserve">表13-1　政策執行研究三代演進</w:t>
      </w:r>
    </w:p>
    <w:p>
      <w:pPr>
        <w:spacing w:after="140" w:before="260"/>
      </w:pPr>
      <w:r>
        <w:rPr>
          <w:rFonts w:ascii="微軟正黑體" w:cs="微軟正黑體" w:eastAsia="微軟正黑體" w:hAnsi="微軟正黑體"/>
          <w:b/>
          <w:bCs/>
          <w:color w:val="2E5C8A"/>
          <w:sz w:val="23"/>
          <w:szCs w:val="23"/>
        </w:rPr>
        <w:t xml:space="preserve">三、由上而下與由下而上</w:t>
      </w:r>
    </w:p>
    <w:p>
      <w:pPr>
        <w:spacing w:after="200" w:line="360"/>
        <w:ind w:firstLine="431"/>
        <w:jc w:val="both"/>
      </w:pPr>
      <w:r>
        <w:rPr>
          <w:rFonts w:ascii="微軟正黑體" w:cs="微軟正黑體" w:eastAsia="微軟正黑體" w:hAnsi="微軟正黑體"/>
          <w:sz w:val="22"/>
          <w:szCs w:val="22"/>
        </w:rPr>
        <w:t xml:space="preserve">Sabatier區分:由上而下模式主張政策制定與執行分立,政策規劃在先、執行在後,執行主導權在上級,制定者設定目標,執行者達成目標,重視法規制約與層級監督;由下而上模式主張制定與執行互動,執行主導權在基層機關與街頭官僚,決策者與執行者共同協商,強調基層裁量與實地適應。台灣長照2.0兼具兩者:中央規劃,地方與非營利組織協作落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2200"/>
        <w:gridCol w:w="35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目標陳述</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手段決定</w:t>
            </w:r>
          </w:p>
        </w:tc>
        <w:tc>
          <w:tcPr>
            <w:tcW w:type="dxa" w:w="35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權力關係</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傳統技匠</w:t>
            </w:r>
          </w:p>
        </w:tc>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詳細</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詳細</w:t>
            </w:r>
          </w:p>
        </w:tc>
        <w:tc>
          <w:tcPr>
            <w:tcW w:type="dxa" w:w="3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制定者全權,執行者僅為技術工匠</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指導性授權</w:t>
            </w:r>
          </w:p>
        </w:tc>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詳細</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留部分裁量給執行者</w:t>
            </w:r>
          </w:p>
        </w:tc>
        <w:tc>
          <w:tcPr>
            <w:tcW w:type="dxa" w:w="3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常見於授權立法,最符合當代行政立法關係</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協商者模式</w:t>
            </w:r>
          </w:p>
        </w:tc>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模糊</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模糊但共同協商</w:t>
            </w:r>
          </w:p>
        </w:tc>
        <w:tc>
          <w:tcPr>
            <w:tcW w:type="dxa" w:w="3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制定與執行者互動協商</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官僚企業家</w:t>
            </w:r>
          </w:p>
        </w:tc>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模糊</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執行者主導</w:t>
            </w:r>
          </w:p>
        </w:tc>
        <w:tc>
          <w:tcPr>
            <w:tcW w:type="dxa" w:w="3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執行者實質塑造政策,街頭官僚典型</w:t>
            </w:r>
          </w:p>
        </w:tc>
      </w:tr>
    </w:tbl>
    <w:p>
      <w:pPr>
        <w:spacing w:after="280" w:before="120"/>
        <w:jc w:val="center"/>
      </w:pPr>
      <w:r>
        <w:rPr>
          <w:rFonts w:ascii="微軟正黑體" w:cs="微軟正黑體" w:eastAsia="微軟正黑體" w:hAnsi="微軟正黑體"/>
          <w:i/>
          <w:iCs/>
          <w:color w:val="555555"/>
          <w:sz w:val="18"/>
          <w:szCs w:val="18"/>
        </w:rPr>
        <w:t xml:space="preserve">表13-2　政策制定與執行互動之四類型</w:t>
      </w:r>
    </w:p>
    <w:p>
      <w:pPr>
        <w:pStyle w:val="ListParagraph"/>
        <w:numPr>
          <w:ilvl w:val="0"/>
          <w:numId w:val="2"/>
        </w:numPr>
        <w:spacing w:after="120" w:line="340"/>
      </w:pPr>
      <w:r>
        <w:rPr>
          <w:rFonts w:ascii="微軟正黑體" w:cs="微軟正黑體" w:eastAsia="微軟正黑體" w:hAnsi="微軟正黑體"/>
          <w:sz w:val="22"/>
          <w:szCs w:val="22"/>
        </w:rPr>
        <w:t xml:space="preserve">政策工具分類是執行章最常命題的表。演算法若被寫成第四類，仍要指回授權對象、基層裁量與課責，不能只列技術名稱。</w:t>
      </w:r>
    </w:p>
    <w:p>
      <w:pPr>
        <w:spacing w:after="140" w:before="260"/>
      </w:pPr>
      <w:r>
        <w:rPr>
          <w:rFonts w:ascii="微軟正黑體" w:cs="微軟正黑體" w:eastAsia="微軟正黑體" w:hAnsi="微軟正黑體"/>
          <w:b/>
          <w:bCs/>
          <w:color w:val="2E5C8A"/>
          <w:sz w:val="23"/>
          <w:szCs w:val="23"/>
        </w:rPr>
        <w:t xml:space="preserve">四、多手問題與課責困境</w:t>
      </w:r>
    </w:p>
    <w:p>
      <w:pPr>
        <w:spacing w:after="200" w:line="360"/>
        <w:ind w:firstLine="431"/>
        <w:jc w:val="both"/>
      </w:pPr>
      <w:r>
        <w:rPr>
          <w:rFonts w:ascii="微軟正黑體" w:cs="微軟正黑體" w:eastAsia="微軟正黑體" w:hAnsi="微軟正黑體"/>
          <w:sz w:val="22"/>
          <w:szCs w:val="22"/>
        </w:rPr>
        <w:t xml:space="preserve">Thompson提出多手問題(many hands problem):政府決策與執行由許多機關與官員以不同方式實現,導致最終由誰負起責任難以確認,形成課責不明。此與政策網路、府際關係交織,增加民主課責困難。疫情期間實聯制、隔離政策出現黑數爭議,即涉及多機關協調與監測落差。進入AI時代,多手問題進一步延伸為「多手＋多機器」問題:形式決定者、系統設計者、資料供應者、模型訓練者與承包商共同參與,責任鏈更為分散。</w:t>
      </w:r>
    </w:p>
    <w:p>
      <w:pPr>
        <w:spacing w:after="140" w:before="260"/>
      </w:pPr>
      <w:r>
        <w:rPr>
          <w:rFonts w:ascii="微軟正黑體" w:cs="微軟正黑體" w:eastAsia="微軟正黑體" w:hAnsi="微軟正黑體"/>
          <w:b/>
          <w:bCs/>
          <w:color w:val="2E5C8A"/>
          <w:sz w:val="23"/>
          <w:szCs w:val="23"/>
        </w:rPr>
        <w:t xml:space="preserve">五、政策執行力模式</w:t>
      </w:r>
    </w:p>
    <w:p>
      <w:pPr>
        <w:spacing w:after="200" w:line="360"/>
        <w:ind w:firstLine="431"/>
        <w:jc w:val="both"/>
      </w:pPr>
      <w:r>
        <w:rPr>
          <w:rFonts w:ascii="微軟正黑體" w:cs="微軟正黑體" w:eastAsia="微軟正黑體" w:hAnsi="微軟正黑體"/>
          <w:sz w:val="22"/>
          <w:szCs w:val="22"/>
        </w:rPr>
        <w:t xml:space="preserve">Van Meter與Van Horn提出六變項:政策目標與資源、執行機關特性(含資源配置、人員意願、組織氣候)、機關間溝通與活動、執行人員裁量、社會經濟政治環境、執行績效。Edwards提出4D:溝通、資源、意向、官僚結構。Mazmanian與Sabatier則強調法令明確性、因果理論與非法律變項。這些模式至今仍是診斷執行落差的重要工具,惟在演算法嵌入後,需額外檢視「系統建議接受率」與「覆核實質性」等新變項。</w:t>
      </w:r>
    </w:p>
    <w:p>
      <w:pPr>
        <w:spacing w:after="140" w:before="260"/>
      </w:pPr>
      <w:r>
        <w:rPr>
          <w:rFonts w:ascii="微軟正黑體" w:cs="微軟正黑體" w:eastAsia="微軟正黑體" w:hAnsi="微軟正黑體"/>
          <w:b/>
          <w:bCs/>
          <w:color w:val="2E5C8A"/>
          <w:sz w:val="23"/>
          <w:szCs w:val="23"/>
        </w:rPr>
        <w:t>六、第三代綜合框架深化：Matland模糊—衝突模型（Ambiguity-Conflict Model, 1995）</w:t>
      </w:r>
    </w:p>
    <w:p>
      <w:pPr>
        <w:spacing w:after="200" w:line="360"/>
        <w:ind w:firstLine="431"/>
        <w:jc w:val="both"/>
      </w:pPr>
      <w:r>
        <w:rPr>
          <w:rFonts w:ascii="微軟正黑體" w:cs="微軟正黑體" w:eastAsia="微軟正黑體" w:hAnsi="微軟正黑體"/>
          <w:sz w:val="22"/>
          <w:szCs w:val="22"/>
        </w:rPr>
        <w:t>表13-1僅以「Goggin, Matland」代表第三代研究，此處補充完整原始模型。Matland（1995）指出，執行結果取決於政策本身的「模糊程度」（目標與手段是否清楚）與「衝突程度」（利害關係人立場是否對立）兩個維度交織而成的四種執行風格，是第三代研究中最重要的綜合框架之一，也是診斷「政策為何推得動或卡關」的實用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Look w:firstColumn="1" w:firstRow="1" w:lastColumn="0" w:lastRow="0" w:noHBand="0" w:noVBand="1" w:val="04A0"/>
      </w:tblPr>
      <w:tblGrid>
        <w:gridCol w:w="1600"/>
        <w:gridCol w:w="2900"/>
        <w:gridCol w:w="2900"/>
        <w:gridCol w:w="1626"/>
      </w:tblGrid>
      <w:tr>
        <w:tc>
          <w:tcPr>
            <w:tcW w:type="dxa" w:w="16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衝突程度＼模糊程度</w:t>
            </w:r>
          </w:p>
        </w:tc>
        <w:tc>
          <w:tcPr>
            <w:tcW w:type="dxa" w:w="29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低模糊（目標與手段清楚）</w:t>
            </w:r>
          </w:p>
        </w:tc>
        <w:tc>
          <w:tcPr>
            <w:tcW w:type="dxa" w:w="29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高模糊（目標或手段不明）</w:t>
            </w:r>
          </w:p>
        </w:tc>
        <w:tc>
          <w:tcPr>
            <w:tcW w:type="dxa" w:w="1626"/>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執行風格</w:t>
            </w:r>
          </w:p>
        </w:tc>
      </w:tr>
      <w:tr>
        <w:tc>
          <w:tcPr>
            <w:tcW w:type="dxa" w:w="1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低衝突</w:t>
            </w:r>
          </w:p>
        </w:tc>
        <w:tc>
          <w:tcPr>
            <w:tcW w:type="dxa" w:w="29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行政式執行（Administrative）</w:t>
              <w:br/>
            </w:r>
            <w:r>
              <w:rPr>
                <w:rFonts w:ascii="微軟正黑體" w:hAnsi="微軟正黑體" w:eastAsia="微軟正黑體" w:cs="微軟正黑體"/>
                <w:sz w:val="18"/>
              </w:rPr>
              <w:t>由上而下、資源與標準作業程序主導</w:t>
            </w:r>
          </w:p>
        </w:tc>
        <w:tc>
          <w:tcPr>
            <w:tcW w:type="dxa" w:w="29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實驗式執行（Experimental）</w:t>
              <w:br/>
            </w:r>
            <w:r>
              <w:rPr>
                <w:rFonts w:ascii="微軟正黑體" w:hAnsi="微軟正黑體" w:eastAsia="微軟正黑體" w:cs="微軟正黑體"/>
                <w:sz w:val="18"/>
              </w:rPr>
              <w:t>地方試驗、情境學習、容許變異</w:t>
            </w:r>
          </w:p>
        </w:tc>
        <w:tc>
          <w:tcPr>
            <w:tcW w:type="dxa" w:w="16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行政／實驗</w:t>
            </w:r>
          </w:p>
        </w:tc>
      </w:tr>
      <w:tr>
        <w:tc>
          <w:tcPr>
            <w:tcW w:type="dxa" w:w="1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高衝突</w:t>
            </w:r>
          </w:p>
        </w:tc>
        <w:tc>
          <w:tcPr>
            <w:tcW w:type="dxa" w:w="29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政治式執行（Political）</w:t>
              <w:br/>
            </w:r>
            <w:r>
              <w:rPr>
                <w:rFonts w:ascii="微軟正黑體" w:hAnsi="微軟正黑體" w:eastAsia="微軟正黑體" w:cs="微軟正黑體"/>
                <w:sz w:val="18"/>
              </w:rPr>
              <w:t>權力、聯盟與談判決定結果</w:t>
            </w:r>
          </w:p>
        </w:tc>
        <w:tc>
          <w:tcPr>
            <w:tcW w:type="dxa" w:w="29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象徵式執行（Symbolic）</w:t>
              <w:br/>
            </w:r>
            <w:r>
              <w:rPr>
                <w:rFonts w:ascii="微軟正黑體" w:hAnsi="微軟正黑體" w:eastAsia="微軟正黑體" w:cs="微軟正黑體"/>
                <w:sz w:val="18"/>
              </w:rPr>
              <w:t>符號意義大於實質落實、象徵性順服</w:t>
            </w:r>
          </w:p>
        </w:tc>
        <w:tc>
          <w:tcPr>
            <w:tcW w:type="dxa" w:w="16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政治／象徵</w:t>
            </w:r>
          </w:p>
        </w:tc>
      </w:tr>
    </w:tbl>
    <w:p>
      <w:pPr>
        <w:spacing w:after="280" w:before="120"/>
        <w:jc w:val="center"/>
      </w:pPr>
      <w:r>
        <w:rPr>
          <w:rFonts w:ascii="微軟正黑體" w:cs="微軟正黑體" w:eastAsia="微軟正黑體" w:hAnsi="微軟正黑體"/>
          <w:i/>
          <w:iCs/>
          <w:color w:val="555555"/>
          <w:sz w:val="18"/>
          <w:szCs w:val="18"/>
        </w:rPr>
        <w:t>表13-13　Matland模糊—衝突模型四類型</w:t>
      </w:r>
    </w:p>
    <w:p>
      <w:pPr>
        <w:spacing w:after="200" w:line="360"/>
        <w:ind w:firstLine="431"/>
        <w:jc w:val="both"/>
      </w:pPr>
      <w:r>
        <w:rPr>
          <w:rFonts w:ascii="微軟正黑體" w:cs="微軟正黑體" w:eastAsia="微軟正黑體" w:hAnsi="微軟正黑體"/>
          <w:sz w:val="22"/>
          <w:szCs w:val="22"/>
        </w:rPr>
        <w:t>行政式執行常見於標準化服務，如長照2.0部分給付項目、口罩實名制之配額計算，特徵是由上而下、依資源與標準作業程序主導；政治式執行常見於利害衝突明顯之議題，如空污排放標準、土地開發許可，結果取決於權力、聯盟與談判；實驗式執行常見於監管沙盒、AI試點計畫、地方長照創新方案，容許地方試驗與情境學習；象徵式執行則常見於部分宣示性淨零目標或口號式政策，若缺乏具體資源與監督機制，便容易流於符號意義大於實質落實。教學上可用此模型診斷特定政策屬於哪一象限，並對應不同的支持策略：行政式需要SOP與績效管理，政治式需要協商與聯盟建立，實驗式需要保留地方裁量與學習機制，象徵式則須留意資源與監督是否真正到位。</w:t>
      </w:r>
    </w:p>
    <w:p>
      <w:pPr>
        <w:spacing w:after="140" w:before="260"/>
      </w:pPr>
      <w:r>
        <w:rPr>
          <w:rFonts w:ascii="微軟正黑體" w:cs="微軟正黑體" w:eastAsia="微軟正黑體" w:hAnsi="微軟正黑體"/>
          <w:b/>
          <w:bCs/>
          <w:color w:val="2E5C8A"/>
          <w:sz w:val="23"/>
          <w:szCs w:val="23"/>
        </w:rPr>
        <w:t>七、第四代研究趨勢與國際文獻脈絡</w:t>
      </w:r>
    </w:p>
    <w:p>
      <w:pPr>
        <w:spacing w:after="200" w:line="360"/>
        <w:ind w:firstLine="431"/>
        <w:jc w:val="both"/>
      </w:pPr>
      <w:r>
        <w:rPr>
          <w:rFonts w:ascii="微軟正黑體" w:cs="微軟正黑體" w:eastAsia="微軟正黑體" w:hAnsi="微軟正黑體"/>
          <w:sz w:val="22"/>
          <w:szCs w:val="22"/>
        </w:rPr>
        <w:t>Sætren（2014）以書目計量法系統回顧執行研究史，指出第三代研究後續逐漸浮現「整合性綜合過程理論」之趨勢，晚近更主張執行研究應與多源流架構等政策過程理論進一步綜合，邁向「第四代」（Sætren, Policy Studies Journal，線上先行版）。Hill與Hupe（2014）則強調執行本質上是一種「治理」而非單純「控制」，主張以multi-level governance視角取代傳統由上而下模式的過度簡化；O’Toole（2000）系統評估執行研究之發展前景，主張網絡與組織間關係應成為核心解釋變項；Winter（2012）進一步整合「由上而下」與「由下而上」兩條路線的分析焦點，主張應同時掌握中央目標設定與基層實務落實兩端。這些文獻共同指向的方向，與本章第二節新增之「演算法第四類工具」及第五節之系統層官僚討論高度呼應：工具組合、行為洞察與系統層官僚的協作，正是政策執行研究「第四代」關注的核心課題。</w:t>
      </w:r>
    </w:p>
    <w:p>
      <w:pPr>
        <w:spacing w:after="180" w:before="360"/>
      </w:pPr>
      <w:r>
        <w:rPr>
          <w:rFonts w:ascii="微軟正黑體" w:cs="微軟正黑體" w:eastAsia="微軟正黑體" w:hAnsi="微軟正黑體"/>
          <w:b/>
          <w:bCs/>
          <w:color w:val="1F4E79"/>
          <w:sz w:val="26"/>
          <w:szCs w:val="26"/>
        </w:rPr>
        <w:t xml:space="preserve">第二節　政策工具:從三元分類到演算法第四類</w:t>
      </w:r>
    </w:p>
    <w:p>
      <w:pPr>
        <w:spacing w:after="140" w:before="260"/>
      </w:pPr>
      <w:r>
        <w:rPr>
          <w:rFonts w:ascii="微軟正黑體" w:cs="微軟正黑體" w:eastAsia="微軟正黑體" w:hAnsi="微軟正黑體"/>
          <w:b/>
          <w:bCs/>
          <w:color w:val="2E5C8A"/>
          <w:sz w:val="23"/>
          <w:szCs w:val="23"/>
        </w:rPr>
        <w:t xml:space="preserve">一、政策工具之定義與特性</w:t>
      </w:r>
    </w:p>
    <w:p>
      <w:pPr>
        <w:spacing w:after="200" w:line="360"/>
        <w:ind w:firstLine="431"/>
        <w:jc w:val="both"/>
      </w:pPr>
      <w:r>
        <w:rPr>
          <w:rFonts w:ascii="微軟正黑體" w:cs="微軟正黑體" w:eastAsia="微軟正黑體" w:hAnsi="微軟正黑體"/>
          <w:sz w:val="22"/>
          <w:szCs w:val="22"/>
        </w:rPr>
        <w:t xml:space="preserve">政策工具指公共政策執行過程中,為達成政策目標而採取之手段或方法,又稱治理工具。具四特性:為設計與執行間之連鎖,重心在落實;必須透過標的團體完成,標的團體態度為關鍵;非嘗試錯誤,而是系統思考之目的性行動;當代政府多為工具組合運用。</w:t>
      </w:r>
    </w:p>
    <w:p>
      <w:pPr>
        <w:spacing w:after="140" w:before="260"/>
      </w:pPr>
      <w:r>
        <w:rPr>
          <w:rFonts w:ascii="微軟正黑體" w:cs="微軟正黑體" w:eastAsia="微軟正黑體" w:hAnsi="微軟正黑體"/>
          <w:b/>
          <w:bCs/>
          <w:color w:val="2E5C8A"/>
          <w:sz w:val="23"/>
          <w:szCs w:val="23"/>
        </w:rPr>
        <w:t xml:space="preserve">二、主要分類</w:t>
      </w:r>
    </w:p>
    <w:p>
      <w:pPr>
        <w:pStyle w:val="ListParagraph"/>
        <w:numPr>
          <w:ilvl w:val="0"/>
          <w:numId w:val="2"/>
        </w:numPr>
        <w:spacing w:after="120" w:line="340"/>
      </w:pPr>
      <w:r>
        <w:rPr>
          <w:rFonts w:ascii="微軟正黑體" w:cs="微軟正黑體" w:eastAsia="微軟正黑體" w:hAnsi="微軟正黑體"/>
          <w:sz w:val="22"/>
          <w:szCs w:val="22"/>
        </w:rPr>
        <w:t xml:space="preserve">Weimer &amp; Vining(福利經濟學角度):市場自由化(解除管制、行為合法化、民營化)、市場便利化(政府分配既有財貨或創造新財貨)、市場模擬化(以拍賣引入競爭)、利用補貼與租稅改變誘因(供給面補貼、需求面補貼、供給面租稅、需求面租稅)、設定規則、經由非市場機制提供財貨、提供保險與保障。</w:t>
      </w:r>
    </w:p>
    <w:p>
      <w:pPr>
        <w:pStyle w:val="ListParagraph"/>
        <w:numPr>
          <w:ilvl w:val="0"/>
          <w:numId w:val="2"/>
        </w:numPr>
        <w:spacing w:after="120" w:line="340"/>
      </w:pPr>
      <w:r>
        <w:rPr>
          <w:rFonts w:ascii="微軟正黑體" w:cs="微軟正黑體" w:eastAsia="微軟正黑體" w:hAnsi="微軟正黑體"/>
          <w:sz w:val="22"/>
          <w:szCs w:val="22"/>
        </w:rPr>
        <w:t xml:space="preserve">Schneider &amp; Ingram(標的團體建構)五類:權威式工具(合法強制力使標的人口順服,如禁止塑膠吸管);誘因式工具(激勵、付費、制裁);能力建立型工具(提供資訊、訓練、教育與資源,如職業訓練);象徵勸勉型工具(符號、公關改變認知);學習型工具(促進學習、提供基層更大裁量)。</w:t>
      </w:r>
    </w:p>
    <w:p>
      <w:pPr>
        <w:pStyle w:val="ListParagraph"/>
        <w:numPr>
          <w:ilvl w:val="0"/>
          <w:numId w:val="2"/>
        </w:numPr>
        <w:spacing w:after="120" w:line="340"/>
      </w:pPr>
      <w:r>
        <w:rPr>
          <w:rFonts w:ascii="微軟正黑體" w:cs="微軟正黑體" w:eastAsia="微軟正黑體" w:hAnsi="微軟正黑體"/>
          <w:sz w:val="22"/>
          <w:szCs w:val="22"/>
        </w:rPr>
        <w:t xml:space="preserve">Howlett &amp; Ramesh(公權力介入程度)三類,為本書基礎分類: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56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政府介入</w:t>
            </w:r>
          </w:p>
        </w:tc>
        <w:tc>
          <w:tcPr>
            <w:tcW w:type="dxa" w:w="5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內涵與實例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自願性 voluntary</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幾乎不介入</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家庭與社區:成本最低,如社區守望相助;自願性組織:志工與慈善,如慈濟資源回收;市場:民營化、解除管制。</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混合性 mixed</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中度介入</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資訊與勸誡:提供資訊民眾自決;補助:對順服者財務獎勵,如電動機車補助;財產權銷售:設定並拍賣,如污染排放權交易;徵稅與使用者付費:收費達成有效分配。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強制性 compulsory</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高度介入</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管制:法令被動遵守,含經濟與社會管制;公營企業:透過擁有管理權企業提供付費公共財;直接提供:預算直接提供,如國防、教育。</w:t>
            </w:r>
          </w:p>
        </w:tc>
      </w:tr>
    </w:tbl>
    <w:p>
      <w:pPr>
        <w:spacing w:after="280" w:before="120"/>
        <w:jc w:val="center"/>
      </w:pPr>
      <w:r>
        <w:rPr>
          <w:rFonts w:ascii="微軟正黑體" w:cs="微軟正黑體" w:eastAsia="微軟正黑體" w:hAnsi="微軟正黑體"/>
          <w:i/>
          <w:iCs/>
          <w:color w:val="555555"/>
          <w:sz w:val="18"/>
          <w:szCs w:val="18"/>
        </w:rPr>
        <w:t xml:space="preserve">表13-3　Howlett &amp; Ramesh三類工具及其內涵</w:t>
      </w:r>
    </w:p>
    <w:p>
      <w:pPr>
        <w:spacing w:after="140" w:before="260"/>
      </w:pPr>
      <w:r>
        <w:rPr>
          <w:rFonts w:ascii="微軟正黑體" w:cs="微軟正黑體" w:eastAsia="微軟正黑體" w:hAnsi="微軟正黑體"/>
          <w:b/>
          <w:bCs/>
          <w:color w:val="2E5C8A"/>
          <w:sz w:val="23"/>
          <w:szCs w:val="23"/>
        </w:rPr>
        <w:t xml:space="preserve">三、市場失靈與政府失靈脈絡化論述</w:t>
      </w:r>
    </w:p>
    <w:p>
      <w:pPr>
        <w:spacing w:after="200" w:line="360"/>
        <w:ind w:firstLine="431"/>
        <w:jc w:val="both"/>
      </w:pPr>
      <w:r>
        <w:rPr>
          <w:rFonts w:ascii="微軟正黑體" w:cs="微軟正黑體" w:eastAsia="微軟正黑體" w:hAnsi="微軟正黑體"/>
          <w:sz w:val="22"/>
          <w:szCs w:val="22"/>
        </w:rPr>
        <w:t xml:space="preserve">市場失靈包括公共財、外部性、自然獨佔與資訊不對稱。政府失靈源於無知選民、滾木立法(議員交換投票形成包裹立法)、肉桶立法(全國資源分配至選區特定建設)、本位主義、競租與多手問題。滾木與肉桶並非選擇題,而為分配性政策常見之立法交換行為,導致偏離效率。NIMBY(鄰避症候群)為民眾支持公共設施價值卻反對設於鄰近,屬集體行動與外部性問題,須以能力建立與象徵勸勉化解。</w:t>
      </w:r>
    </w:p>
    <w:p>
      <w:pPr>
        <w:spacing w:after="140" w:before="260"/>
      </w:pPr>
      <w:r>
        <w:rPr>
          <w:rFonts w:ascii="微軟正黑體" w:cs="微軟正黑體" w:eastAsia="微軟正黑體" w:hAnsi="微軟正黑體"/>
          <w:b/>
          <w:bCs/>
          <w:color w:val="2E5C8A"/>
          <w:sz w:val="23"/>
          <w:szCs w:val="23"/>
        </w:rPr>
        <w:t xml:space="preserve">四、COVID-19工具組合案例</w:t>
      </w:r>
    </w:p>
    <w:p>
      <w:pPr>
        <w:spacing w:after="200" w:line="360"/>
        <w:ind w:firstLine="431"/>
        <w:jc w:val="both"/>
      </w:pPr>
      <w:r>
        <w:rPr>
          <w:rFonts w:ascii="微軟正黑體" w:cs="微軟正黑體" w:eastAsia="微軟正黑體" w:hAnsi="微軟正黑體"/>
          <w:sz w:val="22"/>
          <w:szCs w:val="22"/>
        </w:rPr>
        <w:t xml:space="preserve">防疫為工具組合典型:權威工具為徵用口罩、禁止出口與價格管制;誘因工具為檢疫隔離經濟補償;能力建立為教導正確洗手戴口罩;社會學習為每日記者會;符號勸勉為旅遊警示與標語。顯示政府極少單一工具,須通盤設計。</w:t>
      </w:r>
    </w:p>
    <w:p>
      <w:pPr>
        <w:spacing w:after="140" w:before="260"/>
      </w:pPr>
      <w:r>
        <w:rPr>
          <w:rFonts w:ascii="微軟正黑體" w:cs="微軟正黑體" w:eastAsia="微軟正黑體" w:hAnsi="微軟正黑體"/>
          <w:b/>
          <w:bCs/>
          <w:color w:val="2E5C8A"/>
          <w:sz w:val="23"/>
          <w:szCs w:val="23"/>
        </w:rPr>
        <w:t xml:space="preserve">五、新增:演算法作為第四類工具與RegTech</w:t>
      </w:r>
    </w:p>
    <w:p>
      <w:pPr>
        <w:spacing w:after="200" w:line="360"/>
        <w:ind w:firstLine="431"/>
        <w:jc w:val="both"/>
      </w:pPr>
      <w:r>
        <w:rPr>
          <w:rFonts w:ascii="微軟正黑體" w:cs="微軟正黑體" w:eastAsia="微軟正黑體" w:hAnsi="微軟正黑體"/>
          <w:sz w:val="22"/>
          <w:szCs w:val="22"/>
        </w:rPr>
        <w:t xml:space="preserve">傳統三分類無法涵蓋資料與演算法驅動治理。需增第四類演算法工具,特性為自動化決策、資料驅動、可擴展、即時回饋,但伴隨黑箱與偏見。如以演算法分配口罩、預測熱區、AI客服回應1999。監管科技RegTech為監理端,將規則寫入程式碼,實現法遵by design,如AI掃描申報偵測詐領、衛星AI監測污染。演算法工具以系統層官僚為中介,裁量從街頭轉至系統設計者,形成新型執行落差:自動化偏見與選擇性服從。</w:t>
      </w:r>
    </w:p>
    <w:p>
      <w:pPr>
        <w:spacing w:after="200" w:line="360"/>
        <w:ind w:firstLine="431"/>
        <w:jc w:val="both"/>
      </w:pPr>
      <w:r>
        <w:rPr>
          <w:rFonts w:ascii="微軟正黑體" w:cs="微軟正黑體" w:eastAsia="微軟正黑體" w:hAnsi="微軟正黑體"/>
          <w:sz w:val="22"/>
          <w:szCs w:val="22"/>
        </w:rPr>
        <w:t xml:space="preserve">擴充說明:Bovens與Zouridis(2002)早已指出從「街頭層官僚」(street-level bureaucracy)轉向「系統層官僚」(system-level bureaucracy)的趨勢。當演算法成為第四類工具,裁量不再只是第一線人員面對個案的即時判斷,而是預先寫入參數、閾值與訓練資料的「設計時裁量」。此一轉移若未伴隨可解釋性與覆核機制,便容易產生「形式決定者只剩簽核外觀」的課責赤字。</w:t>
      </w:r>
    </w:p>
    <w:p>
      <w:pPr>
        <w:spacing w:after="200" w:line="360"/>
        <w:ind w:firstLine="431"/>
        <w:jc w:val="both"/>
      </w:pPr>
      <w:r>
        <w:rPr>
          <w:rFonts w:ascii="微軟正黑體" w:cs="微軟正黑體" w:eastAsia="微軟正黑體" w:hAnsi="微軟正黑體"/>
          <w:sz w:val="22"/>
          <w:szCs w:val="22"/>
        </w:rPr>
        <w:t>此一文獻脈絡近年持續深化:Zouridis、van Eck與Bovens（2019/2020）進一步提出「自動化裁量」（automated discretion）概念，追問裁量寫入程式碼後之合法性與可問責性；Young等人（2023）將此推進為「人工智慧裁量」（artificial discretion）之理論化；Gordon等人（2024）則聚焦「螢幕層官僚」（screen-level bureaucrats）如何在市政決策中操作系統建議；Choi等人（2025）系統性回顧街頭裁量概念之前因後果，指出裁量雖可提升適應力與公平性，但也伴隨不一致風險——這條文獻鏈完整呈現了裁量從第一線人員手中，逐步移向系統設計者與資料供應者的制度化歷程。</w:t>
      </w:r>
    </w:p>
    <w:p>
      <w:pPr>
        <w:spacing w:after="180" w:before="360"/>
      </w:pPr>
      <w:r>
        <w:rPr>
          <w:rFonts w:ascii="微軟正黑體" w:cs="微軟正黑體" w:eastAsia="微軟正黑體" w:hAnsi="微軟正黑體"/>
          <w:b/>
          <w:bCs/>
          <w:color w:val="1F4E79"/>
          <w:sz w:val="26"/>
          <w:szCs w:val="26"/>
        </w:rPr>
        <w:t xml:space="preserve">第三節　政策論證、監測與行銷</w:t>
      </w:r>
    </w:p>
    <w:p>
      <w:pPr>
        <w:spacing w:after="140" w:before="260"/>
      </w:pPr>
      <w:r>
        <w:rPr>
          <w:rFonts w:ascii="微軟正黑體" w:cs="微軟正黑體" w:eastAsia="微軟正黑體" w:hAnsi="微軟正黑體"/>
          <w:b/>
          <w:bCs/>
          <w:color w:val="2E5C8A"/>
          <w:sz w:val="23"/>
          <w:szCs w:val="23"/>
        </w:rPr>
        <w:t xml:space="preserve">一、政策論證</w:t>
      </w:r>
    </w:p>
    <w:p>
      <w:pPr>
        <w:spacing w:after="200" w:line="360"/>
        <w:ind w:firstLine="431"/>
        <w:jc w:val="both"/>
      </w:pPr>
      <w:r>
        <w:rPr>
          <w:rFonts w:ascii="微軟正黑體" w:cs="微軟正黑體" w:eastAsia="微軟正黑體" w:hAnsi="微軟正黑體"/>
          <w:sz w:val="22"/>
          <w:szCs w:val="22"/>
        </w:rPr>
        <w:t xml:space="preserve">政策論證指政策運作過程中,參與者尋找有利資訊強化主張並提反證抗辯他方,以促使決策者接納或拒絕某方案之過程。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要素</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資訊、主張、理由、依據、駁斥理由、可信度</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權威式</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以特殊身分發言,依據為權威,如諾貝爾獎得主</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統計式</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樣本推論母體,如民意調查</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類別式</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成員關係為基礎,如泛藍泛綠</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直覺式</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洞察力為基礎,如政治人物經驗</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分析重心式</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數學、經濟模型為基礎</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解釋式</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因果關係為基礎</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實用式</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平行案例或類比</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價值批判式</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倫理道德為標準,即社會觀感</w:t>
            </w:r>
          </w:p>
        </w:tc>
      </w:tr>
    </w:tbl>
    <w:p>
      <w:pPr>
        <w:spacing w:after="280" w:before="120"/>
        <w:jc w:val="center"/>
      </w:pPr>
      <w:r>
        <w:rPr>
          <w:rFonts w:ascii="微軟正黑體" w:cs="微軟正黑體" w:eastAsia="微軟正黑體" w:hAnsi="微軟正黑體"/>
          <w:i/>
          <w:iCs/>
          <w:color w:val="555555"/>
          <w:sz w:val="18"/>
          <w:szCs w:val="18"/>
        </w:rPr>
        <w:t xml:space="preserve">表13-4　政策論證要素與方式</w:t>
      </w:r>
    </w:p>
    <w:p>
      <w:pPr>
        <w:spacing w:after="140" w:before="260"/>
      </w:pPr>
      <w:r>
        <w:rPr>
          <w:rFonts w:ascii="微軟正黑體" w:cs="微軟正黑體" w:eastAsia="微軟正黑體" w:hAnsi="微軟正黑體"/>
          <w:b/>
          <w:bCs/>
          <w:color w:val="2E5C8A"/>
          <w:sz w:val="23"/>
          <w:szCs w:val="23"/>
        </w:rPr>
        <w:t xml:space="preserve">二、政策監測</w:t>
      </w:r>
    </w:p>
    <w:p>
      <w:pPr>
        <w:spacing w:after="200" w:line="360"/>
        <w:ind w:firstLine="431"/>
        <w:jc w:val="both"/>
      </w:pPr>
      <w:r>
        <w:rPr>
          <w:rFonts w:ascii="微軟正黑體" w:cs="微軟正黑體" w:eastAsia="微軟正黑體" w:hAnsi="微軟正黑體"/>
          <w:sz w:val="22"/>
          <w:szCs w:val="22"/>
        </w:rPr>
        <w:t xml:space="preserve">政策監測指製造因果關係資訊以描述實施狀況與結果關係,解釋執行情況、評估效果、確保有效執行,並作為評估先決條件。含事前、事中、事後。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功能</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順服 compliance</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查核行政人員、標的團體是否遵守標準、程序與規定</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審計 auditing</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資源與服務是否真正到達被服務者</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會計 accounting</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是否因政策執行在政經社文產生改變及其程度</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解釋 explanation</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解釋為何不同方案執行後有不同結果</w:t>
            </w:r>
          </w:p>
        </w:tc>
      </w:tr>
    </w:tbl>
    <w:p>
      <w:pPr>
        <w:spacing w:after="280" w:before="120"/>
        <w:jc w:val="center"/>
      </w:pPr>
      <w:r>
        <w:rPr>
          <w:rFonts w:ascii="微軟正黑體" w:cs="微軟正黑體" w:eastAsia="微軟正黑體" w:hAnsi="微軟正黑體"/>
          <w:i/>
          <w:iCs/>
          <w:color w:val="555555"/>
          <w:sz w:val="18"/>
          <w:szCs w:val="18"/>
        </w:rPr>
        <w:t xml:space="preserve">表13-5　政策監測四功能</w:t>
      </w:r>
    </w:p>
    <w:p>
      <w:pPr>
        <w:spacing w:after="200" w:line="360"/>
        <w:ind w:firstLine="431"/>
        <w:jc w:val="both"/>
      </w:pPr>
      <w:r>
        <w:rPr>
          <w:rFonts w:ascii="微軟正黑體" w:cs="微軟正黑體" w:eastAsia="微軟正黑體" w:hAnsi="微軟正黑體"/>
          <w:sz w:val="22"/>
          <w:szCs w:val="22"/>
        </w:rPr>
        <w:t xml:space="preserve">政策順服指人員或機關行為態度與權力者命令一致之現象。標的團體可能為避免懲罰配合,亦可能受媒體影響不配合。提升順服以教育說服、溝通、誘因為佳,積極強制與消極懲罰易生抗拒。疫情黑數反映順服與監測缺口。</w:t>
      </w:r>
    </w:p>
    <w:p>
      <w:pPr>
        <w:spacing w:after="140" w:before="260"/>
      </w:pPr>
      <w:r>
        <w:rPr>
          <w:rFonts w:ascii="微軟正黑體" w:cs="微軟正黑體" w:eastAsia="微軟正黑體" w:hAnsi="微軟正黑體"/>
          <w:b/>
          <w:bCs/>
          <w:color w:val="2E5C8A"/>
          <w:sz w:val="23"/>
          <w:szCs w:val="23"/>
        </w:rPr>
        <w:t xml:space="preserve">三、政策行銷</w:t>
      </w:r>
    </w:p>
    <w:p>
      <w:pPr>
        <w:spacing w:after="200" w:line="360"/>
        <w:ind w:firstLine="431"/>
        <w:jc w:val="both"/>
      </w:pPr>
      <w:r>
        <w:rPr>
          <w:rFonts w:ascii="微軟正黑體" w:cs="微軟正黑體" w:eastAsia="微軟正黑體" w:hAnsi="微軟正黑體"/>
          <w:sz w:val="22"/>
          <w:szCs w:val="22"/>
        </w:rPr>
        <w:t xml:space="preserve">吳定定義:政府人員採有效行銷策略,促使內外部顧客對研議中或已形成政策產生共識之動態過程。短期促成共識,長期提高競爭力。核心在交換價值。與商品行銷差異六項:消費者不確定、生產者不確定(多手問題)、態度不明確、效果不明確、受法令道德限制(預算法禁置入性行銷)、多為無形理念。</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產品 Product</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無形觀念或政策本身說服性</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價格 Price</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民眾順服代價,以價制量、避免搭便車</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地點 Place</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行銷通路,考量接觸媒介,如超商還書</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促銷 Promotion</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推廣手段,如記者會、懶人包、短影音</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夥伴 Partnership</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與民間合夥推動,如NPO、平台</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政策 Policy</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非單一機關事,需整合相關機關</w:t>
            </w:r>
          </w:p>
        </w:tc>
      </w:tr>
    </w:tbl>
    <w:p>
      <w:pPr>
        <w:spacing w:after="280" w:before="120"/>
        <w:jc w:val="center"/>
      </w:pPr>
      <w:r>
        <w:rPr>
          <w:rFonts w:ascii="微軟正黑體" w:cs="微軟正黑體" w:eastAsia="微軟正黑體" w:hAnsi="微軟正黑體"/>
          <w:i/>
          <w:iCs/>
          <w:color w:val="555555"/>
          <w:sz w:val="18"/>
          <w:szCs w:val="18"/>
        </w:rPr>
        <w:t xml:space="preserve">表13-6　政策行銷6P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2000"/>
        <w:gridCol w:w="26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對象</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目的</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一般行銷</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產品與價值</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消費者</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滿足需求,市場占有率</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政策行銷</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研議中或已形成政策</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內部執行者與外部民眾</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增加執行成功率,民眾支持率</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社會行銷</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社會理念與行為改變(長期)</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全民或特定群體</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自願接受、拒絕、修正或放棄行為</w:t>
            </w:r>
          </w:p>
        </w:tc>
      </w:tr>
    </w:tbl>
    <w:p>
      <w:pPr>
        <w:spacing w:after="280" w:before="120"/>
        <w:jc w:val="center"/>
      </w:pPr>
      <w:r>
        <w:rPr>
          <w:rFonts w:ascii="微軟正黑體" w:cs="微軟正黑體" w:eastAsia="微軟正黑體" w:hAnsi="微軟正黑體"/>
          <w:i/>
          <w:iCs/>
          <w:color w:val="555555"/>
          <w:sz w:val="18"/>
          <w:szCs w:val="18"/>
        </w:rPr>
        <w:t xml:space="preserve">表13-7　一般行銷、政策行銷與社會行銷對照</w:t>
      </w:r>
    </w:p>
    <w:p>
      <w:pPr>
        <w:spacing w:after="140" w:before="260"/>
      </w:pPr>
      <w:r>
        <w:rPr>
          <w:rFonts w:ascii="微軟正黑體" w:cs="微軟正黑體" w:eastAsia="微軟正黑體" w:hAnsi="微軟正黑體"/>
          <w:b/>
          <w:bCs/>
          <w:color w:val="2E5C8A"/>
          <w:sz w:val="23"/>
          <w:szCs w:val="23"/>
        </w:rPr>
        <w:t xml:space="preserve">四、AI行銷倫理</w:t>
      </w:r>
    </w:p>
    <w:p>
      <w:pPr>
        <w:spacing w:after="200" w:line="360"/>
        <w:ind w:firstLine="431"/>
        <w:jc w:val="both"/>
      </w:pPr>
      <w:r>
        <w:rPr>
          <w:rFonts w:ascii="微軟正黑體" w:cs="微軟正黑體" w:eastAsia="微軟正黑體" w:hAnsi="微軟正黑體"/>
          <w:sz w:val="22"/>
          <w:szCs w:val="22"/>
        </w:rPr>
        <w:t xml:space="preserve">生成式AI提升效率卻衍生行政中立爭議。政府以AI製作懶人包、短影音、客製推播,若未揭露AI生成或精準投放特定立場群體,可能違反行政中立與真實義務。依預算法禁止置入性行銷,行銷須區分廣告與新聞,採購媒體不得買新聞報導,委託製播須揭示機關名稱。AI行銷倫理原則:透明揭露、資訊可驗證避免幻覺、避免演算法偏見。</w:t>
      </w:r>
    </w:p>
    <w:p>
      <w:pPr>
        <w:spacing w:after="180" w:before="360"/>
      </w:pPr>
      <w:r>
        <w:rPr>
          <w:rFonts w:ascii="微軟正黑體" w:cs="微軟正黑體" w:eastAsia="微軟正黑體" w:hAnsi="微軟正黑體"/>
          <w:b/>
          <w:bCs/>
          <w:color w:val="1F4E79"/>
          <w:sz w:val="26"/>
          <w:szCs w:val="26"/>
        </w:rPr>
        <w:t xml:space="preserve">第四節　政策網路、鐵三角與民主課責</w:t>
      </w:r>
    </w:p>
    <w:p>
      <w:pPr>
        <w:spacing w:after="140" w:before="260"/>
      </w:pPr>
      <w:r>
        <w:rPr>
          <w:rFonts w:ascii="微軟正黑體" w:cs="微軟正黑體" w:eastAsia="微軟正黑體" w:hAnsi="微軟正黑體"/>
          <w:b/>
          <w:bCs/>
          <w:color w:val="2E5C8A"/>
          <w:sz w:val="23"/>
          <w:szCs w:val="23"/>
        </w:rPr>
        <w:t xml:space="preserve">一、政策網路與鐵三角</w:t>
      </w:r>
    </w:p>
    <w:p>
      <w:pPr>
        <w:spacing w:after="200" w:line="360"/>
        <w:ind w:firstLine="431"/>
        <w:jc w:val="both"/>
      </w:pPr>
      <w:r>
        <w:rPr>
          <w:rFonts w:ascii="微軟正黑體" w:cs="微軟正黑體" w:eastAsia="微軟正黑體" w:hAnsi="微軟正黑體"/>
          <w:sz w:val="22"/>
          <w:szCs w:val="22"/>
        </w:rPr>
        <w:t xml:space="preserve">Lowi 1979年提出鐵三角理論,指強勢利益團體籠絡國會議員掌控行政機關,三者共生封閉形成次級政府。成員為國會常設委員會、行政官僚、特殊利益團體,司法與公民非典型成員。特質為互惠、封閉、穩定。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2800"/>
        <w:gridCol w:w="18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結構</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參與者</w:t>
            </w:r>
          </w:p>
        </w:tc>
        <w:tc>
          <w:tcPr>
            <w:tcW w:type="dxa" w:w="1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變動性</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鐵三角</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嚴密、穩定、封閉</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少數三者</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低</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議題網絡</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鬆散、開放</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眾多:學者媒體公民</w:t>
            </w:r>
          </w:p>
        </w:tc>
        <w:tc>
          <w:tcPr>
            <w:tcW w:type="dxa" w:w="1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高</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政策社群</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中度嚴密</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中度多元</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中度</w:t>
            </w:r>
          </w:p>
        </w:tc>
      </w:tr>
    </w:tbl>
    <w:p>
      <w:pPr>
        <w:spacing w:after="280" w:before="120"/>
        <w:jc w:val="center"/>
      </w:pPr>
      <w:r>
        <w:rPr>
          <w:rFonts w:ascii="微軟正黑體" w:cs="微軟正黑體" w:eastAsia="微軟正黑體" w:hAnsi="微軟正黑體"/>
          <w:i/>
          <w:iCs/>
          <w:color w:val="555555"/>
          <w:sz w:val="18"/>
          <w:szCs w:val="18"/>
        </w:rPr>
        <w:t xml:space="preserve">表13-8　鐵三角、議題網絡與政策社群比較</w:t>
      </w:r>
    </w:p>
    <w:p>
      <w:pPr>
        <w:spacing w:after="140" w:before="260"/>
      </w:pPr>
      <w:r>
        <w:rPr>
          <w:rFonts w:ascii="微軟正黑體" w:cs="微軟正黑體" w:eastAsia="微軟正黑體" w:hAnsi="微軟正黑體"/>
          <w:b/>
          <w:bCs/>
          <w:color w:val="2E5C8A"/>
          <w:sz w:val="23"/>
          <w:szCs w:val="23"/>
        </w:rPr>
        <w:t xml:space="preserve">二、規範鐵三角之法律</w:t>
      </w:r>
    </w:p>
    <w:p>
      <w:pPr>
        <w:spacing w:after="200" w:line="360"/>
        <w:ind w:firstLine="431"/>
        <w:jc w:val="both"/>
      </w:pPr>
      <w:r>
        <w:rPr>
          <w:rFonts w:ascii="微軟正黑體" w:cs="微軟正黑體" w:eastAsia="微軟正黑體" w:hAnsi="微軟正黑體"/>
          <w:sz w:val="22"/>
          <w:szCs w:val="22"/>
        </w:rPr>
        <w:t xml:space="preserve">以遊說法、政治獻金法、公務員服務法、利益衝突迴避法規範,行政執行法非主要規範法。遊說法被遊說者含總統、副總統、各級民代、鄉鎮市首長,外國駐華代表非屬之。立法目的為公開透明、確保民主參與、防止不當利益輸送。</w:t>
      </w:r>
    </w:p>
    <w:p>
      <w:pPr>
        <w:spacing w:after="140" w:before="260"/>
      </w:pPr>
      <w:r>
        <w:rPr>
          <w:rFonts w:ascii="微軟正黑體" w:cs="微軟正黑體" w:eastAsia="微軟正黑體" w:hAnsi="微軟正黑體"/>
          <w:b/>
          <w:bCs/>
          <w:color w:val="2E5C8A"/>
          <w:sz w:val="23"/>
          <w:szCs w:val="23"/>
        </w:rPr>
        <w:t xml:space="preserve">三、沉默輸家與俘虜現象</w:t>
      </w:r>
    </w:p>
    <w:p>
      <w:pPr>
        <w:spacing w:after="200" w:line="360"/>
        <w:ind w:firstLine="431"/>
        <w:jc w:val="both"/>
      </w:pPr>
      <w:r>
        <w:rPr>
          <w:rFonts w:ascii="微軟正黑體" w:cs="微軟正黑體" w:eastAsia="微軟正黑體" w:hAnsi="微軟正黑體"/>
          <w:sz w:val="22"/>
          <w:szCs w:val="22"/>
        </w:rPr>
        <w:t xml:space="preserve">Weimer定義沉默輸家為不清楚自身有利害、無力負擔參與成本或無法發聲之人,屬分配性政策之政府失靈。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成因</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機制</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多數獨裁</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多數決忽視少數,贏者全拿</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資訊不對稱</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資訊優勢方主導決策</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集體行動邏輯</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理性搭便車,少數凌駕多數</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代間問題</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後代無法發聲,環境與國債由後代承受</w:t>
            </w:r>
          </w:p>
        </w:tc>
      </w:tr>
    </w:tbl>
    <w:p>
      <w:pPr>
        <w:spacing w:after="280" w:before="120"/>
        <w:jc w:val="center"/>
      </w:pPr>
      <w:r>
        <w:rPr>
          <w:rFonts w:ascii="微軟正黑體" w:cs="微軟正黑體" w:eastAsia="微軟正黑體" w:hAnsi="微軟正黑體"/>
          <w:i/>
          <w:iCs/>
          <w:color w:val="555555"/>
          <w:sz w:val="18"/>
          <w:szCs w:val="18"/>
        </w:rPr>
        <w:t xml:space="preserve">表13-9　沉默輸家成因</w:t>
      </w:r>
    </w:p>
    <w:p>
      <w:pPr>
        <w:spacing w:after="200" w:line="360"/>
        <w:ind w:firstLine="431"/>
        <w:jc w:val="both"/>
      </w:pPr>
      <w:r>
        <w:rPr>
          <w:rFonts w:ascii="微軟正黑體" w:cs="微軟正黑體" w:eastAsia="微軟正黑體" w:hAnsi="微軟正黑體"/>
          <w:sz w:val="22"/>
          <w:szCs w:val="22"/>
        </w:rPr>
        <w:t xml:space="preserve">俘虜現象指機關被特定團體運作致公共利益受損而團體受益。</w:t>
      </w:r>
    </w:p>
    <w:p>
      <w:pPr>
        <w:spacing w:after="140" w:before="260"/>
      </w:pPr>
      <w:r>
        <w:rPr>
          <w:rFonts w:ascii="微軟正黑體" w:cs="微軟正黑體" w:eastAsia="微軟正黑體" w:hAnsi="微軟正黑體"/>
          <w:b/>
          <w:bCs/>
          <w:color w:val="2E5C8A"/>
          <w:sz w:val="23"/>
          <w:szCs w:val="23"/>
        </w:rPr>
        <w:t xml:space="preserve">四、競租與政府失靈</w:t>
      </w:r>
    </w:p>
    <w:p>
      <w:pPr>
        <w:spacing w:after="200" w:line="360"/>
        <w:ind w:firstLine="431"/>
        <w:jc w:val="both"/>
      </w:pPr>
      <w:r>
        <w:rPr>
          <w:rFonts w:ascii="微軟正黑體" w:cs="微軟正黑體" w:eastAsia="微軟正黑體" w:hAnsi="微軟正黑體"/>
          <w:sz w:val="22"/>
          <w:szCs w:val="22"/>
        </w:rPr>
        <w:t xml:space="preserve">競租指為取得經濟租投入精力金錢之活動,租為數量固定、供給彈性零之報酬。關稅、配額、管制創造經濟租,民選首長與民代追求之租為當選連任。企業促使政府制定不利對手規定即屬尋租,形成資源浪費與扭曲。滾木、肉桶、NIMBY可置於Wilson成本利益矩陣理解,集中利益與分散成本易產生此現象。</w:t>
      </w:r>
    </w:p>
    <w:p>
      <w:pPr>
        <w:spacing w:after="180" w:before="360"/>
      </w:pPr>
      <w:r>
        <w:rPr>
          <w:rFonts w:ascii="微軟正黑體" w:cs="微軟正黑體" w:eastAsia="微軟正黑體" w:hAnsi="微軟正黑體"/>
          <w:b/>
          <w:bCs/>
          <w:color w:val="1F4E79"/>
          <w:sz w:val="26"/>
          <w:szCs w:val="26"/>
        </w:rPr>
        <w:t xml:space="preserve">第五節　AI治理專節:演算法作為政策工具</w:t>
      </w:r>
    </w:p>
    <w:p>
      <w:pPr>
        <w:spacing w:after="200" w:line="360"/>
        <w:ind w:firstLine="431"/>
        <w:jc w:val="both"/>
      </w:pPr>
      <w:r>
        <w:rPr>
          <w:rFonts w:ascii="微軟正黑體" w:cs="微軟正黑體" w:eastAsia="微軟正黑體" w:hAnsi="微軟正黑體"/>
          <w:sz w:val="22"/>
          <w:szCs w:val="22"/>
        </w:rPr>
        <w:t xml:space="preserve">本專節聚焦演算法作為第四類政策工具之挑戰與回應,並更新至2025-2026年台灣與國際發展。</w:t>
      </w:r>
    </w:p>
    <w:p>
      <w:pPr>
        <w:spacing w:after="140" w:before="260"/>
      </w:pPr>
      <w:r>
        <w:rPr>
          <w:rFonts w:ascii="微軟正黑體" w:cs="微軟正黑體" w:eastAsia="微軟正黑體" w:hAnsi="微軟正黑體"/>
          <w:b/>
          <w:bCs/>
          <w:color w:val="2E5C8A"/>
          <w:sz w:val="23"/>
          <w:szCs w:val="23"/>
        </w:rPr>
        <w:t xml:space="preserve">一、治理挑戰</w:t>
      </w:r>
    </w:p>
    <w:p>
      <w:pPr>
        <w:spacing w:after="200" w:line="360"/>
        <w:ind w:firstLine="431"/>
        <w:jc w:val="both"/>
      </w:pPr>
      <w:r>
        <w:rPr>
          <w:rFonts w:ascii="微軟正黑體" w:cs="微軟正黑體" w:eastAsia="微軟正黑體" w:hAnsi="微軟正黑體"/>
          <w:sz w:val="22"/>
          <w:szCs w:val="22"/>
        </w:rPr>
        <w:t xml:space="preserve">Howlett &amp; Ramesh三工具依公權力介入分自願、混合、強制,難以涵蓋演算法工具。演算法具資料驅動、自動化決策與黑箱特性,介於混合與強制間,兼具市場自願外觀與強制實質,如自動否決福利資格,形成分類盲點。第二,政策行銷運用生成式AI製作懶人包與精準推播,若未揭露AI生成或選擇性投放特定群體,是否違反行政中立與資訊真實?依預算法禁置入性行銷,行政中立要求據實呈現,幻覺與偏見風險侵害信任。</w:t>
      </w:r>
    </w:p>
    <w:p>
      <w:pPr>
        <w:spacing w:after="140" w:before="260"/>
      </w:pPr>
      <w:r>
        <w:rPr>
          <w:rFonts w:ascii="微軟正黑體" w:cs="微軟正黑體" w:eastAsia="微軟正黑體" w:hAnsi="微軟正黑體"/>
          <w:b/>
          <w:bCs/>
          <w:color w:val="2E5C8A"/>
          <w:sz w:val="23"/>
          <w:szCs w:val="23"/>
        </w:rPr>
        <w:t xml:space="preserve">二、理論回應</w:t>
      </w:r>
    </w:p>
    <w:p>
      <w:pPr>
        <w:pStyle w:val="ListParagraph"/>
        <w:numPr>
          <w:ilvl w:val="0"/>
          <w:numId w:val="2"/>
        </w:numPr>
        <w:spacing w:after="120" w:line="340"/>
      </w:pPr>
      <w:r>
        <w:rPr>
          <w:rFonts w:ascii="微軟正黑體" w:cs="微軟正黑體" w:eastAsia="微軟正黑體" w:hAnsi="微軟正黑體"/>
          <w:sz w:val="22"/>
          <w:szCs w:val="22"/>
        </w:rPr>
        <w:t xml:space="preserve">新增演算法工具為第四類,發展RegTech將規則寫入程式碼,如健保詐領偵測、空污衛星監測,並以人工裁量概念分析AI作為非人代理人之委託代理困境。</w:t>
      </w:r>
    </w:p>
    <w:p>
      <w:pPr>
        <w:pStyle w:val="ListParagraph"/>
        <w:numPr>
          <w:ilvl w:val="0"/>
          <w:numId w:val="2"/>
        </w:numPr>
        <w:spacing w:after="120" w:line="340"/>
      </w:pPr>
      <w:r>
        <w:rPr>
          <w:rFonts w:ascii="微軟正黑體" w:cs="微軟正黑體" w:eastAsia="微軟正黑體" w:hAnsi="微軟正黑體"/>
          <w:sz w:val="22"/>
          <w:szCs w:val="22"/>
        </w:rPr>
        <w:t xml:space="preserve">合法化三策略轉為可解釋性說服:包容擴至演算法審議與資料當事人參與,排除之黑箱以透明反制,說服轉為可解釋AI與模型卡。</w:t>
      </w:r>
    </w:p>
    <w:p>
      <w:pPr>
        <w:pStyle w:val="ListParagraph"/>
        <w:numPr>
          <w:ilvl w:val="0"/>
          <w:numId w:val="2"/>
        </w:numPr>
        <w:spacing w:after="120" w:line="340"/>
      </w:pPr>
      <w:r>
        <w:rPr>
          <w:rFonts w:ascii="微軟正黑體" w:cs="微軟正黑體" w:eastAsia="微軟正黑體" w:hAnsi="微軟正黑體"/>
          <w:sz w:val="22"/>
          <w:szCs w:val="22"/>
        </w:rPr>
        <w:t xml:space="preserve">執行落差新增自動化偏見(過度信任AI)與選擇性服從(僅在符合刻板印象時遵從)。</w:t>
      </w:r>
    </w:p>
    <w:p>
      <w:pPr>
        <w:pStyle w:val="ListParagraph"/>
        <w:numPr>
          <w:ilvl w:val="0"/>
          <w:numId w:val="2"/>
        </w:numPr>
        <w:spacing w:after="120" w:line="340"/>
      </w:pPr>
      <w:r>
        <w:rPr>
          <w:rFonts w:ascii="微軟正黑體" w:cs="微軟正黑體" w:eastAsia="微軟正黑體" w:hAnsi="微軟正黑體"/>
          <w:sz w:val="22"/>
          <w:szCs w:val="22"/>
        </w:rPr>
        <w:t xml:space="preserve">政策網路鐵三角轉為平台鐵三角:平台業者、資料治理機關與政治行動者共生,掌握算力與數據,更封閉且規避遊說法與政治獻金法規範。</w:t>
      </w:r>
    </w:p>
    <w:p>
      <w:pPr>
        <w:spacing w:after="140" w:before="260"/>
      </w:pPr>
      <w:r>
        <w:rPr>
          <w:rFonts w:ascii="微軟正黑體" w:cs="微軟正黑體" w:eastAsia="微軟正黑體" w:hAnsi="微軟正黑體"/>
          <w:b/>
          <w:bCs/>
          <w:color w:val="2E5C8A"/>
          <w:sz w:val="23"/>
          <w:szCs w:val="23"/>
        </w:rPr>
        <w:t xml:space="preserve">三、台灣案例與最新發展(2025-2026更新)</w:t>
      </w:r>
    </w:p>
    <w:p>
      <w:pPr>
        <w:spacing w:after="200" w:line="360"/>
        <w:ind w:firstLine="431"/>
        <w:jc w:val="both"/>
      </w:pPr>
      <w:r>
        <w:rPr>
          <w:rFonts w:ascii="微軟正黑體" w:cs="微軟正黑體" w:eastAsia="微軟正黑體" w:hAnsi="微軟正黑體"/>
          <w:sz w:val="22"/>
          <w:szCs w:val="22"/>
        </w:rPr>
        <w:t xml:space="preserve">口罩實名制結合健保資料、超商通路與配額演算法,以RegTech監控重複購買,合法化採包容策略(唐鳳與g0v協作開放資料地圖)與可解釋性說服,避免黑箱。1922簡訊實聯制暴露多手問題與登記簿缺口,混合工具滑向強制引發資料流向爭議。AI懶人包行銷疫情後廣泛使用,雖提升可讀性卻未一致揭露AI使用,凸顯倫理缺口。以上為疫情期間之階段性措施,具體實施內容與後續調整請以主管機關公開資訊為準。</w:t>
      </w:r>
    </w:p>
    <w:p>
      <w:pPr>
        <w:spacing w:after="200" w:line="360"/>
        <w:ind w:firstLine="431"/>
        <w:jc w:val="both"/>
      </w:pPr>
      <w:r>
        <w:rPr>
          <w:rFonts w:ascii="微軟正黑體" w:cs="微軟正黑體" w:eastAsia="微軟正黑體" w:hAnsi="微軟正黑體"/>
          <w:sz w:val="22"/>
          <w:szCs w:val="22"/>
        </w:rPr>
        <w:t xml:space="preserve">【2025-2026年最新發展】立法院於2025年12月三讀通過《人工智慧基本法》,2026年1月14日由總統公布施行,明定七大原則:永續與福祉、人類自主、隱私與資料治理、資安與安全、透明度與可解釋性、公平與不歧視、課責。中央主管機關為國家科學及技術委員會,並由行政院設立國家AI策略委員會統籌推動。數位發展部同步推動「政府AI應用沙盒」(TryAI平台),提供符合資安規範的AI試用環境,並建置台灣主權AI訓練語料庫,結合多機關開放資料資源(實際收錄規模請以數位發展部最新公告為準)。這些發展直接回應本章所強調的「演算法登記簿」「監管沙盒」與「可解釋性」工具箱需求,也使前述口罩實名制、簡訊實聯制等疫情期間措施,有了更明確的後續法制銜接。</w:t>
      </w:r>
    </w:p>
    <w:p>
      <w:pPr>
        <w:spacing w:after="200" w:line="360"/>
        <w:ind w:firstLine="431"/>
        <w:jc w:val="both"/>
      </w:pPr>
      <w:r>
        <w:rPr>
          <w:rFonts w:ascii="微軟正黑體" w:cs="微軟正黑體" w:eastAsia="微軟正黑體" w:hAnsi="微軟正黑體"/>
          <w:sz w:val="22"/>
          <w:szCs w:val="22"/>
        </w:rPr>
        <w:t>執行面之配套持續加密:數位發展部同步推動AI風險分類框架與評估驗證工具，要求各機關於兩年內完成相關法規調適，公部門使用AI須先進行風險評估與內控;2026年國家AI戰略委員會亦公布示範應用範圍，優先聚焦教育、醫療、金融與司法四大領域。國際上，歐盟除《人工智慧法》（Regulation (EU) 2024/1689）本身，2025年11月提出之「Digital Omnibus」數位法案整合包，經歐洲議會與理事會協商後，已就高風險系統部分義務之施行期程達成延後之過渡性協議（正式生效時程請以歐盟官方公告為準），但透明度相關揭露義務並未隨之延後——顯示執行期程之政治協商，與課責實質內涵之維持，是兩條可以分開觀察的軸線。</w:t>
      </w:r>
    </w:p>
    <w:p>
      <w:pPr>
        <w:spacing w:after="140" w:before="260"/>
      </w:pPr>
      <w:r>
        <w:rPr>
          <w:rFonts w:ascii="微軟正黑體" w:cs="微軟正黑體" w:eastAsia="微軟正黑體" w:hAnsi="微軟正黑體"/>
          <w:b/>
          <w:bCs/>
          <w:color w:val="2E5C8A"/>
          <w:sz w:val="23"/>
          <w:szCs w:val="23"/>
        </w:rPr>
        <w:t xml:space="preserve">四、工具箱</w:t>
      </w:r>
    </w:p>
    <w:p>
      <w:pPr>
        <w:pStyle w:val="ListParagraph"/>
        <w:numPr>
          <w:ilvl w:val="0"/>
          <w:numId w:val="2"/>
        </w:numPr>
        <w:spacing w:after="120" w:line="340"/>
      </w:pPr>
      <w:r>
        <w:rPr>
          <w:rFonts w:ascii="微軟正黑體" w:cs="微軟正黑體" w:eastAsia="微軟正黑體" w:hAnsi="微軟正黑體"/>
          <w:sz w:val="22"/>
          <w:szCs w:val="22"/>
        </w:rPr>
        <w:t xml:space="preserve">監管沙盒:允許AI行銷與RegTech在可控場域試驗並設落日條款,如地方政府之科技執法沙盒,以及數位發展部之TryAI政府AI應用沙盒平台。</w:t>
      </w:r>
    </w:p>
    <w:p>
      <w:pPr>
        <w:pStyle w:val="ListParagraph"/>
        <w:numPr>
          <w:ilvl w:val="0"/>
          <w:numId w:val="2"/>
        </w:numPr>
        <w:spacing w:after="120" w:line="340"/>
      </w:pPr>
      <w:r>
        <w:rPr>
          <w:rFonts w:ascii="微軟正黑體" w:cs="微軟正黑體" w:eastAsia="微軟正黑體" w:hAnsi="微軟正黑體"/>
          <w:sz w:val="22"/>
          <w:szCs w:val="22"/>
        </w:rPr>
        <w:t xml:space="preserve">演算法影響評估(AIA):事前評估隱私、公平與民主衝擊,納入利害諮商,作為合法化要件。</w:t>
      </w:r>
    </w:p>
    <w:p>
      <w:pPr>
        <w:pStyle w:val="ListParagraph"/>
        <w:numPr>
          <w:ilvl w:val="0"/>
          <w:numId w:val="2"/>
        </w:numPr>
        <w:spacing w:after="120" w:line="340"/>
      </w:pPr>
      <w:r>
        <w:rPr>
          <w:rFonts w:ascii="微軟正黑體" w:cs="微軟正黑體" w:eastAsia="微軟正黑體" w:hAnsi="微軟正黑體"/>
          <w:sz w:val="22"/>
          <w:szCs w:val="22"/>
        </w:rPr>
        <w:t xml:space="preserve">演算法登記簿:參考阿姆斯特丹與赫爾辛基模式,公開政府演算法之目的、資料、風險與救濟,對應監測之順服、審計、會計、解釋四功能,實現可追溯、可解釋與可爭訟,為平台鐵三角之透明化對策。</w:t>
      </w:r>
    </w:p>
    <w:p>
      <w:pPr>
        <w:spacing w:after="240" w:line="340"/>
        <w:ind w:left="576" w:right="576"/>
      </w:pPr>
      <w:r>
        <w:rPr>
          <w:rFonts w:ascii="微軟正黑體" w:cs="微軟正黑體" w:eastAsia="微軟正黑體" w:hAnsi="微軟正黑體"/>
          <w:i/>
          <w:iCs/>
          <w:sz w:val="21"/>
          <w:szCs w:val="21"/>
        </w:rPr>
        <w:t xml:space="preserve">結語:管理過程層之核心,正從設計誘因轉為設計可問責之演算法流程。</w:t>
      </w:r>
    </w:p>
    <w:p>
      <w:pPr>
        <w:spacing w:after="180" w:before="360"/>
      </w:pPr>
      <w:r>
        <w:rPr>
          <w:rFonts w:ascii="微軟正黑體" w:cs="微軟正黑體" w:eastAsia="微軟正黑體" w:hAnsi="微軟正黑體"/>
          <w:b/>
          <w:bCs/>
          <w:color w:val="1F4E79"/>
          <w:sz w:val="26"/>
          <w:szCs w:val="26"/>
        </w:rPr>
        <w:t xml:space="preserve">第六節　本教科書定位</w:t>
      </w:r>
    </w:p>
    <w:p>
      <w:pPr>
        <w:spacing w:after="200" w:line="360"/>
        <w:ind w:firstLine="431"/>
        <w:jc w:val="both"/>
      </w:pPr>
      <w:r>
        <w:rPr>
          <w:rFonts w:ascii="微軟正黑體" w:cs="微軟正黑體" w:eastAsia="微軟正黑體" w:hAnsi="微軟正黑體"/>
          <w:sz w:val="22"/>
          <w:szCs w:val="22"/>
        </w:rPr>
        <w:t xml:space="preserve">本章之特殊定位,在於將政策執行重新詮釋為「權力落地」而非單純的技術性落實:Pressman與Wildavsky揭示的執行落差,在AI與系統層官僚的協作下並未消失,反而以新的形式重現——自動化偏見與選擇性服從取代了傳統的層級服從問題,平台鐵三角取代了傳統鐵三角的封閉結構。教科書進一步主張,政策執行階段AI鑲嵌後最深層的挑戰,在於「課責赤字」:當風險分數、資格模型與自動閾值分散了形式決定者、系統設計者、資料供應者與承包商之責任,即便個別環節皆「依規行事」,整體結果仍可能無人真正負責。</w:t>
      </w:r>
    </w:p>
    <w:p>
      <w:pPr>
        <w:pStyle w:val="ListParagraph"/>
        <w:numPr>
          <w:ilvl w:val="0"/>
          <w:numId w:val="2"/>
        </w:numPr>
        <w:spacing w:after="120" w:line="340"/>
      </w:pPr>
      <w:r>
        <w:rPr>
          <w:rFonts w:ascii="微軟正黑體" w:cs="微軟正黑體" w:eastAsia="微軟正黑體" w:hAnsi="微軟正黑體"/>
          <w:sz w:val="22"/>
          <w:szCs w:val="22"/>
        </w:rPr>
        <w:t xml:space="preserve">觀念釐清：執行理論與政策工具先寫完</w:t>
      </w:r>
    </w:p>
    <w:p>
      <w:pPr>
        <w:pStyle w:val="ListParagraph"/>
        <w:numPr>
          <w:ilvl w:val="0"/>
          <w:numId w:val="2"/>
        </w:numPr>
        <w:spacing w:after="120" w:line="340"/>
      </w:pPr>
      <w:r>
        <w:rPr>
          <w:rFonts w:ascii="微軟正黑體" w:cs="微軟正黑體" w:eastAsia="微軟正黑體" w:hAnsi="微軟正黑體"/>
          <w:sz w:val="22"/>
          <w:szCs w:val="22"/>
        </w:rPr>
        <w:t xml:space="preserve">由上而下與由下而上、執行里程碑、傳統政策工具分類、政策論證與監測、政策網路與鐵三角，仍是執行章要先寫完的內容。把演算法當成第四類工具可以，但工具仍要回到授權、對象、課責與基層裁量。沒有左欄，第四類只是技術清單。</w:t>
      </w:r>
    </w:p>
    <w:p>
      <w:pPr>
        <w:spacing w:after="180" w:before="360"/>
      </w:pPr>
      <w:r>
        <w:rPr>
          <w:rFonts w:ascii="微軟正黑體" w:cs="微軟正黑體" w:eastAsia="微軟正黑體" w:hAnsi="微軟正黑體"/>
          <w:b/>
          <w:bCs/>
          <w:color w:val="1F4E79"/>
          <w:sz w:val="26"/>
          <w:szCs w:val="26"/>
        </w:rPr>
        <w:t xml:space="preserve">AI鑲嵌後的權力與結構變化:政策執行中的權力位移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情境建構權(P1)的延伸:訓練資料之完整性與代表性,決定了哪些標的團體的需求或違規行為「可被看見」,資料稀疏之群體可能被系統性低估或忽略。</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行政裁量權(P2)的移轉:街頭官僚過去擁有面對個案時的自由裁量,現在則被壓縮為對演算法建議的「接受╱覆寫」二選一,當組織績效考核與建議接受率掛鉤時,實質裁量已移至系統設計者。</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落地與擴散:此為本章最核心之權力位移樣態。政策執行是P3公權力決定之實質影響力移轉落地的關鍵節點——當政府採用風險分數、資格模型或自動閾值嵌入資格認定、資源配置、管制與服務提供之工作流程時,原本應由具名公務員承擔的公權力決定,實質上已由演算法之參數設計預先決定,形式決定者僅剩簽核之外觀。</w:t>
      </w:r>
    </w:p>
    <w:p>
      <w:pPr>
        <w:spacing w:after="200" w:line="360"/>
        <w:ind w:firstLine="431"/>
        <w:jc w:val="both"/>
      </w:pPr>
      <w:r>
        <w:rPr>
          <w:rFonts w:ascii="微軟正黑體" w:cs="微軟正黑體" w:eastAsia="微軟正黑體" w:hAnsi="微軟正黑體"/>
          <w:sz w:val="22"/>
          <w:szCs w:val="22"/>
        </w:rPr>
        <w:t xml:space="preserve">三種結構性效應中,本章以責任鏈之「課責赤字」(accountability deficit)最為核心:形式決定者、系統設計者、資料供應者與承包商之責任可能分散於整條技術供應鏈之中,當執行結果出現爭議或損害時,每一環節皆可能主張「已依規行事」或「僅提供工具╱資料」,致最終責任無人承擔。此一現象亦與邊界消解相關:公私邊界(政府採購私部門演算法系統)、決策與執行邊界(系統建議與正式決定之界線)持續模糊化。</w:t>
      </w:r>
    </w:p>
    <w:p>
      <w:pPr>
        <w:jc w:val="center"/>
      </w:pPr>
      <w:r>
        <w:drawing>
          <wp:inline xmlns:a="http://schemas.openxmlformats.org/drawingml/2006/main" xmlns:pic="http://schemas.openxmlformats.org/drawingml/2006/picture">
            <wp:extent cx="5669280" cy="5301827"/>
            <wp:docPr id="1" name="Picture 1"/>
            <wp:cNvGraphicFramePr>
              <a:graphicFrameLocks noChangeAspect="1"/>
            </wp:cNvGraphicFramePr>
            <a:graphic>
              <a:graphicData uri="http://schemas.openxmlformats.org/drawingml/2006/picture">
                <pic:pic>
                  <pic:nvPicPr>
                    <pic:cNvPr id="0" name="new_fig13_1.jpg"/>
                    <pic:cNvPicPr/>
                  </pic:nvPicPr>
                  <pic:blipFill>
                    <a:blip r:embed="rId8"/>
                    <a:stretch>
                      <a:fillRect/>
                    </a:stretch>
                  </pic:blipFill>
                  <pic:spPr>
                    <a:xfrm>
                      <a:off x="0" y="0"/>
                      <a:ext cx="5669280" cy="5301827"/>
                    </a:xfrm>
                    <a:prstGeom prst="rect"/>
                  </pic:spPr>
                </pic:pic>
              </a:graphicData>
            </a:graphic>
          </wp:inline>
        </w:drawing>
      </w:r>
    </w:p>
    <w:p>
      <w:pPr>
        <w:spacing w:after="280" w:before="120"/>
        <w:jc w:val="center"/>
      </w:pPr>
      <w:r>
        <w:rPr>
          <w:rFonts w:ascii="微軟正黑體" w:cs="微軟正黑體" w:eastAsia="微軟正黑體" w:hAnsi="微軟正黑體"/>
          <w:i/>
          <w:iCs/>
          <w:color w:val="555555"/>
          <w:sz w:val="18"/>
          <w:szCs w:val="18"/>
        </w:rPr>
        <w:t>圖13-1　從街頭官僚到系統層官僚的權力位移流程</w:t>
      </w:r>
    </w:p>
    <w:p>
      <w:pPr>
        <w:spacing w:after="200" w:line="360"/>
        <w:ind w:firstLine="431"/>
        <w:jc w:val="both"/>
      </w:pPr>
      <w:r>
        <w:rPr>
          <w:rFonts w:ascii="微軟正黑體" w:cs="微軟正黑體" w:eastAsia="微軟正黑體" w:hAnsi="微軟正黑體"/>
          <w:sz w:val="22"/>
          <w:szCs w:val="22"/>
        </w:rPr>
        <w:t>圖說:傳統執行流程中，街頭官僚對個案握有實質裁量，並由具名公務員承擔課責;AI嵌入後，裁量預先寫入系統設計階段之參數與閾值，形式決定者僅剩簽核外觀，形式決定者、系統設計者、資料供應者與承包商之責任因而分散，形成「課責赤字」，須以四鏈七審框架追蹤裁量究竟移往何處、由誰把關。</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政策執行階段的四鏈七審應用,重點在於檢視自動化決定或閾值觸發之責任是否可追溯、可歸屬: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AI風險評分、資格模型或自動閾值嵌入工作流程時,誰的資料被用於訓練、誰被系統性排除</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形式決定者之法定授權,是否涵蓋系統實際執行之資格認定與資源配置角色</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自動化決定或閾值觸發之理由,是否可向受影響之標的團體說明並受檢驗</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形式決定者、系統設計者、資料供應者與承包商之責任如何劃分,避免「課責赤字」</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表13-10　政策執行階段四鏈七審應用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政策執行像接力賽,AI跑一段、人跑一段,交接棒的地方最容易掉棒。</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案例思考一(國際案例):AFST兒少風險篩選工具——覆核是形式,還是實質?</w:t>
      </w:r>
    </w:p>
    <w:p>
      <w:pPr>
        <w:spacing w:after="200" w:line="360"/>
        <w:ind w:firstLine="431"/>
        <w:jc w:val="both"/>
      </w:pPr>
      <w:r>
        <w:rPr>
          <w:rFonts w:ascii="微軟正黑體" w:cs="微軟正黑體" w:eastAsia="微軟正黑體" w:hAnsi="微軟正黑體"/>
          <w:sz w:val="22"/>
          <w:szCs w:val="22"/>
        </w:rPr>
        <w:t xml:space="preserve">美國賓州阿勒格尼郡(Allegheny County)自2016年起使用「阿勒格尼家庭篩選工具」(Allegheny Family Screening Tool, AFST),整合公部門服務接觸紀錄(如社福、心理衛生、少年司法等資料庫),為兒少保護熱線接獲之通報案件產生風險分數,協助篩選人員決定是否開案調查。此案例之治理難點在於:訓練資料多取自公部門服務接觸紀錄,長期仰賴公共服務之低收入家庭因而較常「被資料化」,私人資源充足、較少接觸公部門的家庭則相對不可見,可能造成系統性的階級偏誤。研究文獻顯示,第一線篩選人員在一定比例的案件中會覆核並調整系統之建議,顯示人工覆核並非完全虛設;惟覆核之實際比例、品質與其長期趨勢,仍是學界持續研究與爭議之焦點。</w:t>
      </w:r>
    </w:p>
    <w:p>
      <w:pPr>
        <w:spacing w:after="200" w:line="360"/>
        <w:ind w:firstLine="431"/>
        <w:jc w:val="both"/>
      </w:pPr>
      <w:r>
        <w:rPr>
          <w:rFonts w:ascii="微軟正黑體" w:cs="微軟正黑體" w:eastAsia="微軟正黑體" w:hAnsi="微軟正黑體"/>
          <w:sz w:val="22"/>
          <w:szCs w:val="22"/>
        </w:rPr>
        <w:t xml:space="preserve">【2023-2025年最新研究】相關研究呈現分歧圖像:部分差異中之差異(difference-in-differences)分析發現,AFST有助於縮小高風險案件篩選之種族落差;然而美國公民自由聯盟(ACLU)等團體持續指出,該模型可能放大既有之結構性不平等,相關倡議與調查仍在進行。此一分歧本身,恰恰凸顯「形式覆核」與「實質覆核」之間的核心張力,以及資料代表性審計的持續重要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訓練資料多取自公部門服務接觸紀錄,低收入家庭因較常接觸公部門而被過度資料化,私人資源充足家庭則相對不可見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系統產出之風險分數是否具強制篩入效力,抑或僅供參考,法定授權範圍是否明確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風險分數之計算邏輯與變項權重,家長與第一線人員是否能取得可理解之說明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第一線人員是否仍保有覆核並調整系統建議之實質空間,或僅剩形式覆核</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表13-11　用四鏈七審檢視AFST兒少風險篩選工具案例</w:t>
      </w:r>
    </w:p>
    <w:p>
      <w:pPr>
        <w:spacing w:after="140" w:before="260"/>
      </w:pPr>
      <w:r>
        <w:rPr>
          <w:rFonts w:ascii="微軟正黑體" w:cs="微軟正黑體" w:eastAsia="微軟正黑體" w:hAnsi="微軟正黑體"/>
          <w:b/>
          <w:bCs/>
          <w:color w:val="2E5C8A"/>
          <w:sz w:val="23"/>
          <w:szCs w:val="23"/>
        </w:rPr>
        <w:t xml:space="preserve">案例思考二(國際案例):Robodebt澳洲機器人債務案——當演算法主張你欠錢</w:t>
      </w:r>
    </w:p>
    <w:p>
      <w:pPr>
        <w:spacing w:after="200" w:line="360"/>
        <w:ind w:firstLine="431"/>
        <w:jc w:val="both"/>
      </w:pPr>
      <w:r>
        <w:rPr>
          <w:rFonts w:ascii="微軟正黑體" w:cs="微軟正黑體" w:eastAsia="微軟正黑體" w:hAnsi="微軟正黑體"/>
          <w:sz w:val="22"/>
          <w:szCs w:val="22"/>
        </w:rPr>
        <w:t xml:space="preserve">澳洲政府自2015年起實施之「機器人債務」(Robodebt)方案,以年度稅務資料反推民眾週期性所得(所得平均化法),自動比對社福給付紀錄,一旦發現差異即自動產生債務通知,要求民眾償還溢領之社會福利金,舉證責任並由政府轉嫁予當事人自行釐清並提出反證。此一自動化機制因忽略實際所得之波動性(如兼職、零工經濟工作者所得本非固定),系統性誤判大量案件,引發社會強烈反彈。澳洲政府其後成立皇家調查委員會(Royal Commission)調查此案,委員會於2023年提出報告,認定該方案「粗糙、殘酷且違法」(crude, cruel and unlawful),政府亦同意支付高額賠償金予受害民眾。</w:t>
      </w:r>
    </w:p>
    <w:p>
      <w:pPr>
        <w:spacing w:after="200" w:line="360"/>
        <w:ind w:firstLine="431"/>
        <w:jc w:val="both"/>
      </w:pPr>
      <w:r>
        <w:rPr>
          <w:rFonts w:ascii="微軟正黑體" w:cs="微軟正黑體" w:eastAsia="微軟正黑體" w:hAnsi="微軟正黑體"/>
          <w:sz w:val="22"/>
          <w:szCs w:val="22"/>
        </w:rPr>
        <w:t xml:space="preserve">【2026年最新進展】2026年6月,聯邦法院核准第二波集體訴訟和解,金額約5.485億澳元,使累計補償與退還金額超過24億澳元,成為澳洲史上規模最大的集體訴訟和解案之一。國家反貪腐委員會(National Anti-Corruption Commission)其後調查認定,遭指控之六名官員(俗稱Robodebt Six)中有二人涉嚴重貪腐行為。此案例已成為「課責赤字」的經典教材:即使最終有金錢賠償與部分人員究責,系統設計階段的責任歸屬仍極難完整釐清,凸顯事前演算法影響評估與責任鏈設計的必要性。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以年度稅務資料反推週期所得,忽略實際所得波動,系統性誤判非典型工作型態者</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演算法計算之債務通知,是否具備等同人工審核之法定效力,授權基礎於後續調查中受到質疑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債務通知未附具可檢驗之計算依據,舉證責任由政府轉嫁予當事人自行釐清並提出反證</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皇家調查委員會最終認定方案「粗糙、殘酷且違法」,但追究個別決策者責任仍屬不易</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表13-12　用四鏈七審檢視Robodebt機器人債務案例</w:t>
      </w:r>
    </w:p>
    <w:p>
      <w:pPr>
        <w:spacing w:after="140" w:before="260"/>
      </w:pPr>
      <w:r>
        <w:rPr>
          <w:rFonts w:ascii="微軟正黑體" w:cs="微軟正黑體" w:eastAsia="微軟正黑體" w:hAnsi="微軟正黑體"/>
          <w:b/>
          <w:bCs/>
          <w:color w:val="2E5C8A"/>
          <w:sz w:val="23"/>
          <w:szCs w:val="23"/>
        </w:rPr>
        <w:t xml:space="preserve">案例思考三:財政部電子申報自動核退系統——交接棒的風險</w:t>
      </w:r>
    </w:p>
    <w:p>
      <w:pPr>
        <w:spacing w:after="200" w:line="360"/>
        <w:ind w:firstLine="431"/>
        <w:jc w:val="both"/>
      </w:pPr>
      <w:r>
        <w:rPr>
          <w:rFonts w:ascii="微軟正黑體" w:cs="微軟正黑體" w:eastAsia="微軟正黑體" w:hAnsi="微軟正黑體"/>
          <w:sz w:val="22"/>
          <w:szCs w:val="22"/>
        </w:rPr>
        <w:t xml:space="preserve">我國財政部電子申報系統之退稅作業,已大量運用自動化規則進行案件放行:多數申報案件經系統比對後直接核退,僅少數被標記為「例外」之案件回流人工複核。</w:t>
      </w:r>
    </w:p>
    <w:p>
      <w:pPr>
        <w:pStyle w:val="ListParagraph"/>
        <w:numPr>
          <w:ilvl w:val="0"/>
          <w:numId w:val="2"/>
        </w:numPr>
        <w:spacing w:after="120" w:line="340"/>
      </w:pPr>
      <w:r>
        <w:rPr>
          <w:rFonts w:ascii="微軟正黑體" w:cs="微軟正黑體" w:eastAsia="微軟正黑體" w:hAnsi="微軟正黑體"/>
          <w:sz w:val="22"/>
          <w:szCs w:val="22"/>
        </w:rPr>
        <w:t xml:space="preserve">問題界定:執行從人工審核轉為系統自動放行,效率大幅提升,但也改變了裁量的位置——裁量從第一線審核人員轉移至制定「放行╱攔截」規則的系統設計者。</w:t>
      </w:r>
    </w:p>
    <w:p>
      <w:pPr>
        <w:pStyle w:val="ListParagraph"/>
        <w:numPr>
          <w:ilvl w:val="0"/>
          <w:numId w:val="2"/>
        </w:numPr>
        <w:spacing w:after="120" w:line="340"/>
      </w:pPr>
      <w:r>
        <w:rPr>
          <w:rFonts w:ascii="微軟正黑體" w:cs="微軟正黑體" w:eastAsia="微軟正黑體" w:hAnsi="微軟正黑體"/>
          <w:sz w:val="22"/>
          <w:szCs w:val="22"/>
        </w:rPr>
        <w:t xml:space="preserve">交接風險:例外案件回流人工複核時,承辦人是否有足夠時間、資訊與誘因進行實質審查,或僅是形式簽核以消化案件量?</w:t>
      </w:r>
    </w:p>
    <w:p>
      <w:pPr>
        <w:pStyle w:val="ListParagraph"/>
        <w:numPr>
          <w:ilvl w:val="0"/>
          <w:numId w:val="2"/>
        </w:numPr>
        <w:spacing w:after="120" w:line="340"/>
      </w:pPr>
      <w:r>
        <w:rPr>
          <w:rFonts w:ascii="微軟正黑體" w:cs="微軟正黑體" w:eastAsia="微軟正黑體" w:hAnsi="微軟正黑體"/>
          <w:sz w:val="22"/>
          <w:szCs w:val="22"/>
        </w:rPr>
        <w:t xml:space="preserve">沉默輸家:若系統誤判合法申報為異常而卡關,或誤判異常申報為正常而放行,兩種錯誤的社會成本(民眾等待時間、國庫損失)由誰承擔、如何被監測?</w:t>
      </w:r>
    </w:p>
    <w:p>
      <w:pPr>
        <w:pStyle w:val="ListParagraph"/>
        <w:numPr>
          <w:ilvl w:val="0"/>
          <w:numId w:val="2"/>
        </w:numPr>
        <w:spacing w:after="120" w:line="340"/>
      </w:pPr>
      <w:r>
        <w:rPr>
          <w:rFonts w:ascii="微軟正黑體" w:cs="微軟正黑體" w:eastAsia="微軟正黑體" w:hAnsi="微軟正黑體"/>
          <w:sz w:val="22"/>
          <w:szCs w:val="22"/>
        </w:rPr>
        <w:t xml:space="preserve">治理工具:可考慮之因應包括定期抽樣覆核已放行案件、建立可申訴之更正機制、以及在不洩漏規避漏洞之前提下,適度公開放行╱攔截規則之類別。</w:t>
      </w:r>
    </w:p>
    <w:p>
      <w:pPr>
        <w:spacing w:after="200" w:line="360"/>
        <w:ind w:firstLine="431"/>
        <w:jc w:val="both"/>
      </w:pPr>
      <w:r>
        <w:rPr>
          <w:rFonts w:ascii="微軟正黑體" w:cs="微軟正黑體" w:eastAsia="微軟正黑體" w:hAnsi="微軟正黑體"/>
          <w:sz w:val="22"/>
          <w:szCs w:val="22"/>
        </w:rPr>
        <w:t xml:space="preserve">此案例顯示,自動化執行之效率提升,往往伴隨著裁量位置的悄然轉移——這正是本章「交接棒」比喻所欲提醒的:效率提升的同時,治理者仍須清楚知道裁量究竟移往何處、由誰把關。</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一、基礎:用25座標定位AFST或Robodebt案例,畫出其跨格移動路徑:此案例原屬哪一治理座標?因AI技術嵌入後,又下沉或位移至哪一座標?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三、實作:若你是政策執行單位承辦人,請撰寫一份300字的「人類保留最終決定權」SOP,明訂當自動化系統之建議與承辦人專業判斷不一致時,應如何複核、記錄裁量理由,並保留裁量日誌格式要件。</w:t>
      </w:r>
    </w:p>
    <w:p>
      <w:pPr>
        <w:spacing w:after="160" w:line="340"/>
        <w:ind w:left="431" w:hanging="431"/>
      </w:pPr>
      <w:r>
        <w:rPr>
          <w:rFonts w:ascii="微軟正黑體" w:cs="微軟正黑體" w:eastAsia="微軟正黑體" w:hAnsi="微軟正黑體"/>
          <w:sz w:val="22"/>
          <w:szCs w:val="22"/>
        </w:rPr>
        <w:t xml:space="preserve">四、前瞻:本章由政策制訂推進至政策執行階段。請以前瞻句格式(例如「本章確立了……,下一章將……」),寫出本章應如何銜接第十四章「政策評估與回饋」。</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依25分類定位於第三層政策體系層之政策執行階段,系統梳理政策執行之定義,並以Pressman與Wildavsky揭示之執行落差與複雜共同行動困境為起點,發展由上而下與由下而上之辯論及三代研究演進,多手問題凸顯課責困境,Van Meter與Van Horn執行力模式與四互動類型有助於診斷執行落差之結構與行為成因。政策工具為設計與執行之連鎖,Weimer &amp; Vining、Schneider &amp; Ingram與Howlett &amp; Ramesh分別提供市場導向、標的團體與公權力介入分類,並新增演算法作為第四類工具與RegTech,回應資料與演算法驅動治理之新興需求。</w:t>
      </w:r>
    </w:p>
    <w:p>
      <w:pPr>
        <w:spacing w:after="200" w:line="360"/>
        <w:ind w:firstLine="431"/>
        <w:jc w:val="both"/>
      </w:pPr>
      <w:r>
        <w:rPr>
          <w:rFonts w:ascii="微軟正黑體" w:cs="微軟正黑體" w:eastAsia="微軟正黑體" w:hAnsi="微軟正黑體"/>
          <w:sz w:val="22"/>
          <w:szCs w:val="22"/>
        </w:rPr>
        <w:t xml:space="preserve">本章亦運用25-3-3-4-7框架,指出政策執行階段AI鑲嵌後之核心風險在於P3公權力影響力落地後之責任鏈「課責赤字」——形式決定者、系統設計者、資料供應者與承包商之責任可能分散,致無人真正負責。以AFST兒少風險篩選工具、Robodebt機器人債務案與財政部電子申報自動核退系統為案例,說明「效率提升」與「裁量位置轉移」往往同時發生,治理者須以四鏈七審框架持續追蹤裁量究竟移往何處。下一章「政策評估與回饋」將承接本章之執行成果,深入探討政策成效應如何被系統性檢視與回饋修正。</w:t>
      </w:r>
    </w:p>
    <w:p>
      <w:pPr>
        <w:spacing w:after="240" w:line="340"/>
        <w:ind w:left="576" w:right="576"/>
      </w:pPr>
      <w:r>
        <w:rPr>
          <w:rFonts w:ascii="微軟正黑體" w:cs="微軟正黑體" w:eastAsia="微軟正黑體" w:hAnsi="微軟正黑體"/>
          <w:i/>
          <w:iCs/>
          <w:sz w:val="21"/>
          <w:szCs w:val="21"/>
        </w:rPr>
        <w:t xml:space="preserve">政策執行的正當性,不在於系統跑得多快、案件消化得多順暢,而在於當結果出錯時,是否仍有一個具名的人,願意也能夠說清楚為什麼。</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政策執行 Policy Implementation　</w:t>
      </w:r>
      <w:r>
        <w:rPr>
          <w:rFonts w:ascii="微軟正黑體" w:cs="微軟正黑體" w:eastAsia="微軟正黑體" w:hAnsi="微軟正黑體"/>
          <w:sz w:val="22"/>
          <w:szCs w:val="22"/>
        </w:rPr>
        <w:t xml:space="preserve">將選定之政策方案付諸實行的政治與管理過程。</w:t>
      </w:r>
    </w:p>
    <w:p>
      <w:pPr>
        <w:spacing w:after="160" w:line="340"/>
      </w:pPr>
      <w:r>
        <w:rPr>
          <w:rFonts w:ascii="微軟正黑體" w:cs="微軟正黑體" w:eastAsia="微軟正黑體" w:hAnsi="微軟正黑體"/>
          <w:b/>
          <w:bCs/>
          <w:sz w:val="22"/>
          <w:szCs w:val="22"/>
        </w:rPr>
        <w:t xml:space="preserve">執行落差 Implementation Gap　</w:t>
      </w:r>
      <w:r>
        <w:rPr>
          <w:rFonts w:ascii="微軟正黑體" w:cs="微軟正黑體" w:eastAsia="微軟正黑體" w:hAnsi="微軟正黑體"/>
          <w:sz w:val="22"/>
          <w:szCs w:val="22"/>
        </w:rPr>
        <w:t xml:space="preserve">Pressman &amp; Wildavsky指出,多決策點連乘導致政策執行成功率遞減之現象。</w:t>
      </w:r>
    </w:p>
    <w:p>
      <w:pPr>
        <w:spacing w:after="160" w:line="340"/>
      </w:pPr>
      <w:r>
        <w:rPr>
          <w:rFonts w:ascii="微軟正黑體" w:cs="微軟正黑體" w:eastAsia="微軟正黑體" w:hAnsi="微軟正黑體"/>
          <w:b/>
          <w:bCs/>
          <w:sz w:val="22"/>
          <w:szCs w:val="22"/>
        </w:rPr>
        <w:t xml:space="preserve">由上而下╱由下而上 Top-down / Bottom-up　</w:t>
      </w:r>
      <w:r>
        <w:rPr>
          <w:rFonts w:ascii="微軟正黑體" w:cs="微軟正黑體" w:eastAsia="微軟正黑體" w:hAnsi="微軟正黑體"/>
          <w:sz w:val="22"/>
          <w:szCs w:val="22"/>
        </w:rPr>
        <w:t xml:space="preserve">前者執行主導權在上級,後者主導權在基層機關與街頭官僚。</w:t>
      </w:r>
    </w:p>
    <w:p>
      <w:pPr>
        <w:spacing w:after="160" w:line="340"/>
      </w:pPr>
      <w:r>
        <w:rPr>
          <w:rFonts w:ascii="微軟正黑體" w:cs="微軟正黑體" w:eastAsia="微軟正黑體" w:hAnsi="微軟正黑體"/>
          <w:b/>
          <w:bCs/>
          <w:sz w:val="22"/>
          <w:szCs w:val="22"/>
        </w:rPr>
        <w:t xml:space="preserve">多手問題 Many Hands Problem　</w:t>
      </w:r>
      <w:r>
        <w:rPr>
          <w:rFonts w:ascii="微軟正黑體" w:cs="微軟正黑體" w:eastAsia="微軟正黑體" w:hAnsi="微軟正黑體"/>
          <w:sz w:val="22"/>
          <w:szCs w:val="22"/>
        </w:rPr>
        <w:t xml:space="preserve">政府決策與執行由眾多機關與官員以不同方式實現,致最終責任歸屬難以確認。</w:t>
      </w:r>
    </w:p>
    <w:p>
      <w:pPr>
        <w:spacing w:after="160" w:line="340"/>
      </w:pPr>
      <w:r>
        <w:rPr>
          <w:rFonts w:ascii="微軟正黑體" w:cs="微軟正黑體" w:eastAsia="微軟正黑體" w:hAnsi="微軟正黑體"/>
          <w:b/>
          <w:bCs/>
          <w:sz w:val="22"/>
          <w:szCs w:val="22"/>
        </w:rPr>
        <w:t xml:space="preserve">Van Meter &amp; Van Horn執行力模式　</w:t>
      </w:r>
      <w:r>
        <w:rPr>
          <w:rFonts w:ascii="微軟正黑體" w:cs="微軟正黑體" w:eastAsia="微軟正黑體" w:hAnsi="微軟正黑體"/>
          <w:sz w:val="22"/>
          <w:szCs w:val="22"/>
        </w:rPr>
        <w:t xml:space="preserve">政策目標資源、機關特性、溝通、裁量、環境、績效六變項。</w:t>
      </w:r>
    </w:p>
    <w:p>
      <w:pPr>
        <w:spacing w:after="160" w:line="340"/>
      </w:pPr>
      <w:r>
        <w:rPr>
          <w:rFonts w:ascii="微軟正黑體" w:cs="微軟正黑體" w:eastAsia="微軟正黑體" w:hAnsi="微軟正黑體"/>
          <w:b/>
          <w:bCs/>
          <w:sz w:val="22"/>
          <w:szCs w:val="22"/>
        </w:rPr>
        <w:t xml:space="preserve">政策工具 Policy Instruments　</w:t>
      </w:r>
      <w:r>
        <w:rPr>
          <w:rFonts w:ascii="微軟正黑體" w:cs="微軟正黑體" w:eastAsia="微軟正黑體" w:hAnsi="微軟正黑體"/>
          <w:sz w:val="22"/>
          <w:szCs w:val="22"/>
        </w:rPr>
        <w:t xml:space="preserve">為達成政策目標所採取之手段或方法,又稱治理工具。</w:t>
      </w:r>
    </w:p>
    <w:p>
      <w:pPr>
        <w:spacing w:after="160" w:line="340"/>
      </w:pPr>
      <w:r>
        <w:rPr>
          <w:rFonts w:ascii="微軟正黑體" w:cs="微軟正黑體" w:eastAsia="微軟正黑體" w:hAnsi="微軟正黑體"/>
          <w:b/>
          <w:bCs/>
          <w:sz w:val="22"/>
          <w:szCs w:val="22"/>
        </w:rPr>
        <w:t xml:space="preserve">Howlett &amp; Ramesh三類工具　</w:t>
      </w:r>
      <w:r>
        <w:rPr>
          <w:rFonts w:ascii="微軟正黑體" w:cs="微軟正黑體" w:eastAsia="微軟正黑體" w:hAnsi="微軟正黑體"/>
          <w:sz w:val="22"/>
          <w:szCs w:val="22"/>
        </w:rPr>
        <w:t xml:space="preserve">依公權力介入程度分自願性、混合性、強制性。</w:t>
      </w:r>
    </w:p>
    <w:p>
      <w:pPr>
        <w:spacing w:after="160" w:line="340"/>
      </w:pPr>
      <w:r>
        <w:rPr>
          <w:rFonts w:ascii="微軟正黑體" w:cs="微軟正黑體" w:eastAsia="微軟正黑體" w:hAnsi="微軟正黑體"/>
          <w:b/>
          <w:bCs/>
          <w:sz w:val="22"/>
          <w:szCs w:val="22"/>
        </w:rPr>
        <w:t xml:space="preserve">演算法工具 Algorithmic Instruments　</w:t>
      </w:r>
      <w:r>
        <w:rPr>
          <w:rFonts w:ascii="微軟正黑體" w:cs="微軟正黑體" w:eastAsia="微軟正黑體" w:hAnsi="微軟正黑體"/>
          <w:sz w:val="22"/>
          <w:szCs w:val="22"/>
        </w:rPr>
        <w:t xml:space="preserve">第四類政策工具,具自動化決策、資料驅動、可擴展與即時回饋等特性。</w:t>
      </w:r>
    </w:p>
    <w:p>
      <w:pPr>
        <w:spacing w:after="160" w:line="340"/>
      </w:pPr>
      <w:r>
        <w:rPr>
          <w:rFonts w:ascii="微軟正黑體" w:cs="微軟正黑體" w:eastAsia="微軟正黑體" w:hAnsi="微軟正黑體"/>
          <w:b/>
          <w:bCs/>
          <w:sz w:val="22"/>
          <w:szCs w:val="22"/>
        </w:rPr>
        <w:t xml:space="preserve">RegTech 監管科技　</w:t>
      </w:r>
      <w:r>
        <w:rPr>
          <w:rFonts w:ascii="微軟正黑體" w:cs="微軟正黑體" w:eastAsia="微軟正黑體" w:hAnsi="微軟正黑體"/>
          <w:sz w:val="22"/>
          <w:szCs w:val="22"/>
        </w:rPr>
        <w:t xml:space="preserve">以科技監理科技,將規則寫入程式碼,實現法遵by design。</w:t>
      </w:r>
    </w:p>
    <w:p>
      <w:pPr>
        <w:spacing w:after="160" w:line="340"/>
      </w:pPr>
      <w:r>
        <w:rPr>
          <w:rFonts w:ascii="微軟正黑體" w:cs="微軟正黑體" w:eastAsia="微軟正黑體" w:hAnsi="微軟正黑體"/>
          <w:b/>
          <w:bCs/>
          <w:sz w:val="22"/>
          <w:szCs w:val="22"/>
        </w:rPr>
        <w:t xml:space="preserve">課責赤字 Accountability Deficit　</w:t>
      </w:r>
      <w:r>
        <w:rPr>
          <w:rFonts w:ascii="微軟正黑體" w:cs="微軟正黑體" w:eastAsia="微軟正黑體" w:hAnsi="微軟正黑體"/>
          <w:sz w:val="22"/>
          <w:szCs w:val="22"/>
        </w:rPr>
        <w:t xml:space="preserve">形式決定者、系統設計者、資料供應者與承包商責任分散,致無人真正負責之現象。</w:t>
      </w:r>
    </w:p>
    <w:p>
      <w:pPr>
        <w:spacing w:after="160" w:line="340"/>
      </w:pPr>
      <w:r>
        <w:rPr>
          <w:rFonts w:ascii="微軟正黑體" w:cs="微軟正黑體" w:eastAsia="微軟正黑體" w:hAnsi="微軟正黑體"/>
          <w:b/>
          <w:bCs/>
          <w:sz w:val="22"/>
          <w:szCs w:val="22"/>
        </w:rPr>
        <w:t xml:space="preserve">系統層官僚 System-level Bureaucracy　</w:t>
      </w:r>
      <w:r>
        <w:rPr>
          <w:rFonts w:ascii="微軟正黑體" w:cs="微軟正黑體" w:eastAsia="微軟正黑體" w:hAnsi="微軟正黑體"/>
          <w:sz w:val="22"/>
          <w:szCs w:val="22"/>
        </w:rPr>
        <w:t xml:space="preserve">Bovens與Zouridis(2002)提出,指裁量預先寫入演算法參數與閾值之「設計時裁量」,相對於街頭層官僚之即時個案判斷。</w:t>
      </w:r>
    </w:p>
    <w:p>
      <w:pPr>
        <w:spacing w:after="160" w:line="340"/>
      </w:pPr>
      <w:r>
        <w:rPr>
          <w:rFonts w:ascii="微軟正黑體" w:cs="微軟正黑體" w:eastAsia="微軟正黑體" w:hAnsi="微軟正黑體"/>
          <w:b/>
          <w:bCs/>
          <w:sz w:val="22"/>
          <w:szCs w:val="22"/>
        </w:rPr>
        <w:t xml:space="preserve">政策論證 Policy Argument　</w:t>
      </w:r>
      <w:r>
        <w:rPr>
          <w:rFonts w:ascii="微軟正黑體" w:cs="微軟正黑體" w:eastAsia="微軟正黑體" w:hAnsi="微軟正黑體"/>
          <w:sz w:val="22"/>
          <w:szCs w:val="22"/>
        </w:rPr>
        <w:t xml:space="preserve">參與者尋找有利資訊強化主張並提反證抗辯他方,以促使決策者接納或拒絕方案之過程。</w:t>
      </w:r>
    </w:p>
    <w:p>
      <w:pPr>
        <w:spacing w:after="160" w:line="340"/>
      </w:pPr>
      <w:r>
        <w:rPr>
          <w:rFonts w:ascii="微軟正黑體" w:cs="微軟正黑體" w:eastAsia="微軟正黑體" w:hAnsi="微軟正黑體"/>
          <w:b/>
          <w:bCs/>
          <w:sz w:val="22"/>
          <w:szCs w:val="22"/>
        </w:rPr>
        <w:t xml:space="preserve">政策監測四功能　</w:t>
      </w:r>
      <w:r>
        <w:rPr>
          <w:rFonts w:ascii="微軟正黑體" w:cs="微軟正黑體" w:eastAsia="微軟正黑體" w:hAnsi="微軟正黑體"/>
          <w:sz w:val="22"/>
          <w:szCs w:val="22"/>
        </w:rPr>
        <w:t xml:space="preserve">順服、審計、會計、解釋。</w:t>
      </w:r>
    </w:p>
    <w:p>
      <w:pPr>
        <w:spacing w:after="160" w:line="340"/>
      </w:pPr>
      <w:r>
        <w:rPr>
          <w:rFonts w:ascii="微軟正黑體" w:cs="微軟正黑體" w:eastAsia="微軟正黑體" w:hAnsi="微軟正黑體"/>
          <w:b/>
          <w:bCs/>
          <w:sz w:val="22"/>
          <w:szCs w:val="22"/>
        </w:rPr>
        <w:t xml:space="preserve">政策順服 Compliance　</w:t>
      </w:r>
      <w:r>
        <w:rPr>
          <w:rFonts w:ascii="微軟正黑體" w:cs="微軟正黑體" w:eastAsia="微軟正黑體" w:hAnsi="微軟正黑體"/>
          <w:sz w:val="22"/>
          <w:szCs w:val="22"/>
        </w:rPr>
        <w:t xml:space="preserve">人員或機關行為態度與權力者命令一致之現象。</w:t>
      </w:r>
    </w:p>
    <w:p>
      <w:pPr>
        <w:spacing w:after="160" w:line="340"/>
      </w:pPr>
      <w:r>
        <w:rPr>
          <w:rFonts w:ascii="微軟正黑體" w:cs="微軟正黑體" w:eastAsia="微軟正黑體" w:hAnsi="微軟正黑體"/>
          <w:b/>
          <w:bCs/>
          <w:sz w:val="22"/>
          <w:szCs w:val="22"/>
        </w:rPr>
        <w:t xml:space="preserve">政策行銷6P　</w:t>
      </w:r>
      <w:r>
        <w:rPr>
          <w:rFonts w:ascii="微軟正黑體" w:cs="微軟正黑體" w:eastAsia="微軟正黑體" w:hAnsi="微軟正黑體"/>
          <w:sz w:val="22"/>
          <w:szCs w:val="22"/>
        </w:rPr>
        <w:t xml:space="preserve">產品、價格、地點、促銷、夥伴、政策。</w:t>
      </w:r>
    </w:p>
    <w:p>
      <w:pPr>
        <w:spacing w:after="160" w:line="340"/>
      </w:pPr>
      <w:r>
        <w:rPr>
          <w:rFonts w:ascii="微軟正黑體" w:cs="微軟正黑體" w:eastAsia="微軟正黑體" w:hAnsi="微軟正黑體"/>
          <w:b/>
          <w:bCs/>
          <w:sz w:val="22"/>
          <w:szCs w:val="22"/>
        </w:rPr>
        <w:t xml:space="preserve">社會行銷 Social Marketing　</w:t>
      </w:r>
      <w:r>
        <w:rPr>
          <w:rFonts w:ascii="微軟正黑體" w:cs="微軟正黑體" w:eastAsia="微軟正黑體" w:hAnsi="微軟正黑體"/>
          <w:sz w:val="22"/>
          <w:szCs w:val="22"/>
        </w:rPr>
        <w:t xml:space="preserve">促進社會理念與行為長期改變之行銷取向。</w:t>
      </w:r>
    </w:p>
    <w:p>
      <w:pPr>
        <w:spacing w:after="160" w:line="340"/>
      </w:pPr>
      <w:r>
        <w:rPr>
          <w:rFonts w:ascii="微軟正黑體" w:cs="微軟正黑體" w:eastAsia="微軟正黑體" w:hAnsi="微軟正黑體"/>
          <w:b/>
          <w:bCs/>
          <w:sz w:val="22"/>
          <w:szCs w:val="22"/>
        </w:rPr>
        <w:t xml:space="preserve">AI行銷倫理　</w:t>
      </w:r>
      <w:r>
        <w:rPr>
          <w:rFonts w:ascii="微軟正黑體" w:cs="微軟正黑體" w:eastAsia="微軟正黑體" w:hAnsi="微軟正黑體"/>
          <w:sz w:val="22"/>
          <w:szCs w:val="22"/>
        </w:rPr>
        <w:t xml:space="preserve">透明揭露、資訊可驗證避免幻覺、避免演算法偏見與行政中立。</w:t>
      </w:r>
    </w:p>
    <w:p>
      <w:pPr>
        <w:spacing w:after="160" w:line="340"/>
      </w:pPr>
      <w:r>
        <w:rPr>
          <w:rFonts w:ascii="微軟正黑體" w:cs="微軟正黑體" w:eastAsia="微軟正黑體" w:hAnsi="微軟正黑體"/>
          <w:b/>
          <w:bCs/>
          <w:sz w:val="22"/>
          <w:szCs w:val="22"/>
        </w:rPr>
        <w:t xml:space="preserve">鐵三角 Iron Triangle　</w:t>
      </w:r>
      <w:r>
        <w:rPr>
          <w:rFonts w:ascii="微軟正黑體" w:cs="微軟正黑體" w:eastAsia="微軟正黑體" w:hAnsi="微軟正黑體"/>
          <w:sz w:val="22"/>
          <w:szCs w:val="22"/>
        </w:rPr>
        <w:t xml:space="preserve">國會常設委員會、行政官僚與特殊利益團體共生封閉形成之次級政府。</w:t>
      </w:r>
    </w:p>
    <w:p>
      <w:pPr>
        <w:spacing w:after="160" w:line="340"/>
      </w:pPr>
      <w:r>
        <w:rPr>
          <w:rFonts w:ascii="微軟正黑體" w:cs="微軟正黑體" w:eastAsia="微軟正黑體" w:hAnsi="微軟正黑體"/>
          <w:b/>
          <w:bCs/>
          <w:sz w:val="22"/>
          <w:szCs w:val="22"/>
        </w:rPr>
        <w:t xml:space="preserve">議題網絡╱政策社群　</w:t>
      </w:r>
      <w:r>
        <w:rPr>
          <w:rFonts w:ascii="微軟正黑體" w:cs="微軟正黑體" w:eastAsia="微軟正黑體" w:hAnsi="微軟正黑體"/>
          <w:sz w:val="22"/>
          <w:szCs w:val="22"/>
        </w:rPr>
        <w:t xml:space="preserve">鬆散開放與中度嚴密之政策參與結構,介於鐵三角與完全開放之間。</w:t>
      </w:r>
    </w:p>
    <w:p>
      <w:pPr>
        <w:spacing w:after="160" w:line="340"/>
      </w:pPr>
      <w:r>
        <w:rPr>
          <w:rFonts w:ascii="微軟正黑體" w:cs="微軟正黑體" w:eastAsia="微軟正黑體" w:hAnsi="微軟正黑體"/>
          <w:b/>
          <w:bCs/>
          <w:sz w:val="22"/>
          <w:szCs w:val="22"/>
        </w:rPr>
        <w:t xml:space="preserve">沉默輸家 Silent Losers　</w:t>
      </w:r>
      <w:r>
        <w:rPr>
          <w:rFonts w:ascii="微軟正黑體" w:cs="微軟正黑體" w:eastAsia="微軟正黑體" w:hAnsi="微軟正黑體"/>
          <w:sz w:val="22"/>
          <w:szCs w:val="22"/>
        </w:rPr>
        <w:t xml:space="preserve">不清楚自身有利害、無力負擔參與成本或無法發聲之人。</w:t>
      </w:r>
    </w:p>
    <w:p>
      <w:pPr>
        <w:spacing w:after="160" w:line="340"/>
      </w:pPr>
      <w:r>
        <w:rPr>
          <w:rFonts w:ascii="微軟正黑體" w:cs="微軟正黑體" w:eastAsia="微軟正黑體" w:hAnsi="微軟正黑體"/>
          <w:b/>
          <w:bCs/>
          <w:sz w:val="22"/>
          <w:szCs w:val="22"/>
        </w:rPr>
        <w:t xml:space="preserve">俘虜 Capture　</w:t>
      </w:r>
      <w:r>
        <w:rPr>
          <w:rFonts w:ascii="微軟正黑體" w:cs="微軟正黑體" w:eastAsia="微軟正黑體" w:hAnsi="微軟正黑體"/>
          <w:sz w:val="22"/>
          <w:szCs w:val="22"/>
        </w:rPr>
        <w:t xml:space="preserve">機關被特定團體運作致公共利益受損而該團體受益之現象。</w:t>
      </w:r>
    </w:p>
    <w:p>
      <w:pPr>
        <w:spacing w:after="160" w:line="340"/>
      </w:pPr>
      <w:r>
        <w:rPr>
          <w:rFonts w:ascii="微軟正黑體" w:cs="微軟正黑體" w:eastAsia="微軟正黑體" w:hAnsi="微軟正黑體"/>
          <w:b/>
          <w:bCs/>
          <w:sz w:val="22"/>
          <w:szCs w:val="22"/>
        </w:rPr>
        <w:t xml:space="preserve">競租 Rent-seeking　</w:t>
      </w:r>
      <w:r>
        <w:rPr>
          <w:rFonts w:ascii="微軟正黑體" w:cs="微軟正黑體" w:eastAsia="微軟正黑體" w:hAnsi="微軟正黑體"/>
          <w:sz w:val="22"/>
          <w:szCs w:val="22"/>
        </w:rPr>
        <w:t xml:space="preserve">為取得經濟租投入精力金錢之活動,形成資源浪費與扭曲。</w:t>
      </w:r>
    </w:p>
    <w:p>
      <w:pPr>
        <w:spacing w:after="160" w:line="340"/>
      </w:pPr>
      <w:r>
        <w:rPr>
          <w:rFonts w:ascii="微軟正黑體" w:cs="微軟正黑體" w:eastAsia="微軟正黑體" w:hAnsi="微軟正黑體"/>
          <w:b/>
          <w:bCs/>
          <w:sz w:val="22"/>
          <w:szCs w:val="22"/>
        </w:rPr>
        <w:t xml:space="preserve">自動化偏見╱選擇性服從　</w:t>
      </w:r>
      <w:r>
        <w:rPr>
          <w:rFonts w:ascii="微軟正黑體" w:cs="微軟正黑體" w:eastAsia="微軟正黑體" w:hAnsi="微軟正黑體"/>
          <w:sz w:val="22"/>
          <w:szCs w:val="22"/>
        </w:rPr>
        <w:t xml:space="preserve">過度信任AI建議,或僅在符合刻板印象時遵從系統建議。</w:t>
      </w:r>
    </w:p>
    <w:p>
      <w:pPr>
        <w:spacing w:after="160" w:line="340"/>
      </w:pPr>
      <w:r>
        <w:rPr>
          <w:rFonts w:ascii="微軟正黑體" w:cs="微軟正黑體" w:eastAsia="微軟正黑體" w:hAnsi="微軟正黑體"/>
          <w:b/>
          <w:bCs/>
          <w:sz w:val="22"/>
          <w:szCs w:val="22"/>
        </w:rPr>
        <w:t xml:space="preserve">平台鐵三角 Platform Triangle　</w:t>
      </w:r>
      <w:r>
        <w:rPr>
          <w:rFonts w:ascii="微軟正黑體" w:cs="微軟正黑體" w:eastAsia="微軟正黑體" w:hAnsi="微軟正黑體"/>
          <w:sz w:val="22"/>
          <w:szCs w:val="22"/>
        </w:rPr>
        <w:t xml:space="preserve">平台業者、資料治理機關與政治行動者共生,較傳統鐵三角更封閉且規避既有規範。</w:t>
      </w:r>
    </w:p>
    <w:p>
      <w:pPr>
        <w:spacing w:after="160" w:line="340"/>
      </w:pPr>
      <w:r>
        <w:rPr>
          <w:rFonts w:ascii="微軟正黑體" w:cs="微軟正黑體" w:eastAsia="微軟正黑體" w:hAnsi="微軟正黑體"/>
          <w:b/>
          <w:bCs/>
          <w:sz w:val="22"/>
          <w:szCs w:val="22"/>
        </w:rPr>
        <w:t xml:space="preserve">監管沙盒╱演算法影響評估╱演算法登記簿　</w:t>
      </w:r>
      <w:r>
        <w:rPr>
          <w:rFonts w:ascii="微軟正黑體" w:cs="微軟正黑體" w:eastAsia="微軟正黑體" w:hAnsi="微軟正黑體"/>
          <w:sz w:val="22"/>
          <w:szCs w:val="22"/>
        </w:rPr>
        <w:t xml:space="preserve">允許可控場域試驗、事前評估AI衝擊、公開政府演算法目的與風險之治理工具。</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一、Pressman &amp; Wildavsky指出決策點連乘導致落差,請以長照2.0或口罩實名制說明由上而下與由下而上並用,並以多手問題與執行力模式分析績效。</w:t>
      </w:r>
    </w:p>
    <w:p>
      <w:pPr>
        <w:spacing w:after="160" w:line="340"/>
        <w:ind w:left="431" w:hanging="431"/>
      </w:pPr>
      <w:r>
        <w:rPr>
          <w:rFonts w:ascii="微軟正黑體" w:cs="微軟正黑體" w:eastAsia="微軟正黑體" w:hAnsi="微軟正黑體"/>
          <w:sz w:val="22"/>
          <w:szCs w:val="22"/>
        </w:rPr>
        <w:t xml:space="preserve">二、比較Weimer &amp; Vining、Schneider &amp; Ingram與Howlett &amp; Ramesh工具分類,以空污防制或淨零轉型設計三類各一措施,說明演算法第四類與RegTech差異及課責意涵。</w:t>
      </w:r>
    </w:p>
    <w:p>
      <w:pPr>
        <w:spacing w:after="160" w:line="340"/>
        <w:ind w:left="431" w:hanging="431"/>
      </w:pPr>
      <w:r>
        <w:rPr>
          <w:rFonts w:ascii="微軟正黑體" w:cs="微軟正黑體" w:eastAsia="微軟正黑體" w:hAnsi="微軟正黑體"/>
          <w:sz w:val="22"/>
          <w:szCs w:val="22"/>
        </w:rPr>
        <w:t xml:space="preserve">三、6P行銷中產品與促銷以生成式AI懶人包為例,申論是否符合預算法禁止置入性行銷與行政中立,並提出AI行銷倫理指引。</w:t>
      </w:r>
    </w:p>
    <w:p>
      <w:pPr>
        <w:spacing w:after="160" w:line="340"/>
        <w:ind w:left="431" w:hanging="431"/>
      </w:pPr>
      <w:r>
        <w:rPr>
          <w:rFonts w:ascii="微軟正黑體" w:cs="微軟正黑體" w:eastAsia="微軟正黑體" w:hAnsi="微軟正黑體"/>
          <w:sz w:val="22"/>
          <w:szCs w:val="22"/>
        </w:rPr>
        <w:t xml:space="preserve">四、以1922簡訊實聯制分析平台鐵三角運作、自動化偏見與選擇性服從落差,並評估沙盒、AIA與登記簿如何強化監測四功能。</w:t>
      </w:r>
    </w:p>
    <w:p>
      <w:pPr>
        <w:spacing w:after="160" w:line="340"/>
        <w:ind w:left="431" w:hanging="431"/>
      </w:pPr>
      <w:r>
        <w:rPr>
          <w:rFonts w:ascii="微軟正黑體" w:cs="微軟正黑體" w:eastAsia="微軟正黑體" w:hAnsi="微軟正黑體"/>
          <w:sz w:val="22"/>
          <w:szCs w:val="22"/>
        </w:rPr>
        <w:t xml:space="preserve">五、比較AFST與Robodebt兩案例,說明「形式決定者」保有實質覆核空間,與淪為系統背書之間的差異何在?並運用25-3-3-4-7框架,設計一套能防止「課責赤字」的執行監測機制。</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建議先複習第十二章「政策制訂」的合法化三策略,再導入本章「執行落差」與「課責赤字」,形成「從紙上到落地」的完整敘事。</w:t>
      </w:r>
    </w:p>
    <w:p>
      <w:pPr>
        <w:pStyle w:val="ListParagraph"/>
        <w:numPr>
          <w:ilvl w:val="0"/>
          <w:numId w:val="2"/>
        </w:numPr>
        <w:spacing w:after="120" w:line="340"/>
      </w:pPr>
      <w:r>
        <w:rPr>
          <w:rFonts w:ascii="微軟正黑體" w:cs="微軟正黑體" w:eastAsia="微軟正黑體" w:hAnsi="微軟正黑體"/>
          <w:sz w:val="22"/>
          <w:szCs w:val="22"/>
        </w:rPr>
        <w:t xml:space="preserve">「交接棒」比喻適合作為開場活動:請學生分享生活中「人機協作」經驗(例如線上申辦、自動核退),討論「誰該負責」的直觀感受。</w:t>
      </w:r>
    </w:p>
    <w:p>
      <w:pPr>
        <w:pStyle w:val="ListParagraph"/>
        <w:numPr>
          <w:ilvl w:val="0"/>
          <w:numId w:val="2"/>
        </w:numPr>
        <w:spacing w:after="120" w:line="340"/>
      </w:pPr>
      <w:r>
        <w:rPr>
          <w:rFonts w:ascii="微軟正黑體" w:cs="微軟正黑體" w:eastAsia="微軟正黑體" w:hAnsi="微軟正黑體"/>
          <w:sz w:val="22"/>
          <w:szCs w:val="22"/>
        </w:rPr>
        <w:t xml:space="preserve">四鏈七審可搭配實際政府網站演算法說明頁(若有)或口罩實名制歷史資料進行小組演練。</w:t>
      </w:r>
    </w:p>
    <w:p>
      <w:pPr>
        <w:pStyle w:val="ListParagraph"/>
        <w:numPr>
          <w:ilvl w:val="0"/>
          <w:numId w:val="2"/>
        </w:numPr>
        <w:spacing w:after="120" w:line="340"/>
      </w:pPr>
      <w:r>
        <w:rPr>
          <w:rFonts w:ascii="微軟正黑體" w:cs="微軟正黑體" w:eastAsia="微軟正黑體" w:hAnsi="微軟正黑體"/>
          <w:sz w:val="22"/>
          <w:szCs w:val="22"/>
        </w:rPr>
        <w:t xml:space="preserve">《人工智慧基本法》七大原則可作為「規範性錨點」,請學生對照本章工具箱,討論台灣目前的制度缺口。</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Pressman &amp; Wildavsky連乘效果的計算與意涵(常以選擇或簡答出現)。</w:t>
      </w:r>
    </w:p>
    <w:p>
      <w:pPr>
        <w:pStyle w:val="ListParagraph"/>
        <w:numPr>
          <w:ilvl w:val="0"/>
          <w:numId w:val="2"/>
        </w:numPr>
        <w:spacing w:after="120" w:line="340"/>
      </w:pPr>
      <w:r>
        <w:rPr>
          <w:rFonts w:ascii="微軟正黑體" w:cs="微軟正黑體" w:eastAsia="微軟正黑體" w:hAnsi="微軟正黑體"/>
          <w:sz w:val="22"/>
          <w:szCs w:val="22"/>
        </w:rPr>
        <w:t xml:space="preserve">由上而下vs由下而上的比較表(含台灣長照2.0定位)。</w:t>
      </w:r>
    </w:p>
    <w:p>
      <w:pPr>
        <w:pStyle w:val="ListParagraph"/>
        <w:numPr>
          <w:ilvl w:val="0"/>
          <w:numId w:val="2"/>
        </w:numPr>
        <w:spacing w:after="120" w:line="340"/>
      </w:pPr>
      <w:r>
        <w:rPr>
          <w:rFonts w:ascii="微軟正黑體" w:cs="微軟正黑體" w:eastAsia="微軟正黑體" w:hAnsi="微軟正黑體"/>
          <w:sz w:val="22"/>
          <w:szCs w:val="22"/>
        </w:rPr>
        <w:t xml:space="preserve">Howlett &amp; Ramesh三類工具＋演算法第四類的區辨與實例設計。</w:t>
      </w:r>
    </w:p>
    <w:p>
      <w:pPr>
        <w:pStyle w:val="ListParagraph"/>
        <w:numPr>
          <w:ilvl w:val="0"/>
          <w:numId w:val="2"/>
        </w:numPr>
        <w:spacing w:after="120" w:line="340"/>
      </w:pPr>
      <w:r>
        <w:rPr>
          <w:rFonts w:ascii="微軟正黑體" w:cs="微軟正黑體" w:eastAsia="微軟正黑體" w:hAnsi="微軟正黑體"/>
          <w:sz w:val="22"/>
          <w:szCs w:val="22"/>
        </w:rPr>
        <w:t xml:space="preserve">多手問題與課責赤字的概念延伸(尤其AI情境)。</w:t>
      </w:r>
    </w:p>
    <w:p>
      <w:pPr>
        <w:pStyle w:val="ListParagraph"/>
        <w:numPr>
          <w:ilvl w:val="0"/>
          <w:numId w:val="2"/>
        </w:numPr>
        <w:spacing w:after="120" w:line="340"/>
      </w:pPr>
      <w:r>
        <w:rPr>
          <w:rFonts w:ascii="微軟正黑體" w:cs="微軟正黑體" w:eastAsia="微軟正黑體" w:hAnsi="微軟正黑體"/>
          <w:sz w:val="22"/>
          <w:szCs w:val="22"/>
        </w:rPr>
        <w:t xml:space="preserve">鐵三角、沉默輸家、俘虜、競租的定義與政府失靈連結。</w:t>
      </w:r>
    </w:p>
    <w:p>
      <w:pPr>
        <w:pStyle w:val="ListParagraph"/>
        <w:numPr>
          <w:ilvl w:val="0"/>
          <w:numId w:val="2"/>
        </w:numPr>
        <w:spacing w:after="120" w:line="340"/>
      </w:pPr>
      <w:r>
        <w:rPr>
          <w:rFonts w:ascii="微軟正黑體" w:cs="微軟正黑體" w:eastAsia="微軟正黑體" w:hAnsi="微軟正黑體"/>
          <w:sz w:val="22"/>
          <w:szCs w:val="22"/>
        </w:rPr>
        <w:t xml:space="preserve">四鏈七審在具體案例(AFST、Robodebt、電子申報)的應用。</w:t>
      </w:r>
    </w:p>
    <w:p>
      <w:pPr>
        <w:pStyle w:val="ListParagraph"/>
        <w:numPr>
          <w:ilvl w:val="0"/>
          <w:numId w:val="2"/>
        </w:numPr>
        <w:spacing w:after="120" w:line="340"/>
      </w:pPr>
      <w:r>
        <w:rPr>
          <w:rFonts w:ascii="微軟正黑體" w:cs="微軟正黑體" w:eastAsia="微軟正黑體" w:hAnsi="微軟正黑體"/>
          <w:sz w:val="22"/>
          <w:szCs w:val="22"/>
        </w:rPr>
        <w:t xml:space="preserve">政策行銷6P與AI行銷倫理(預算法禁止置入性行銷)。</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活動一(15分鐘):小組以「長照2.0」或「空污防制」設計一套工具組合(自願╱混合╱強制╱演算法各至少一項),並標示可能的課責斷點。</w:t>
      </w:r>
    </w:p>
    <w:p>
      <w:pPr>
        <w:pStyle w:val="ListParagraph"/>
        <w:numPr>
          <w:ilvl w:val="0"/>
          <w:numId w:val="2"/>
        </w:numPr>
        <w:spacing w:after="120" w:line="340"/>
      </w:pPr>
      <w:r>
        <w:rPr>
          <w:rFonts w:ascii="微軟正黑體" w:cs="微軟正黑體" w:eastAsia="微軟正黑體" w:hAnsi="微軟正黑體"/>
          <w:sz w:val="22"/>
          <w:szCs w:val="22"/>
        </w:rPr>
        <w:t xml:space="preserve">活動二(20分鐘):角色扮演——形式決定者、系統設計者、資料供應者、民眾,針對「自動核退誤判」進行責任歸屬辯論。</w:t>
      </w:r>
    </w:p>
    <w:p>
      <w:pPr>
        <w:pStyle w:val="ListParagraph"/>
        <w:numPr>
          <w:ilvl w:val="0"/>
          <w:numId w:val="2"/>
        </w:numPr>
        <w:spacing w:after="120" w:line="340"/>
      </w:pPr>
      <w:r>
        <w:rPr>
          <w:rFonts w:ascii="微軟正黑體" w:cs="微軟正黑體" w:eastAsia="微軟正黑體" w:hAnsi="微軟正黑體"/>
          <w:sz w:val="22"/>
          <w:szCs w:val="22"/>
        </w:rPr>
        <w:t xml:space="preserve">活動三(課後):可對應延伸思考三之300字「人類保留最終決定權」SOP寫作,作為課後作業收繳與課堂分享素材。</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問題一指引:長照2.0可從中央計畫(由上而下)與地方單位╱NPO協作(由下而上)切入;口罩實名制則可強調健保署、超商、地方政府的多手協調。執行力模式可選「機關間溝通」與「資源」兩變項作為分析主軸。</w:t>
      </w:r>
    </w:p>
    <w:p>
      <w:pPr>
        <w:spacing w:after="200" w:line="360"/>
        <w:ind w:firstLine="431"/>
        <w:jc w:val="both"/>
      </w:pPr>
      <w:r>
        <w:rPr>
          <w:rFonts w:ascii="微軟正黑體" w:cs="微軟正黑體" w:eastAsia="微軟正黑體" w:hAnsi="微軟正黑體"/>
          <w:sz w:val="22"/>
          <w:szCs w:val="22"/>
        </w:rPr>
        <w:t xml:space="preserve">問題二指引:空污防制可舉排放交易(混合)、強制排放標準(強制)、社區監測志工(自願)三例;演算法第四類可舉衛星AI監測熱點,RegTech則強調「規則寫入程式碼」的監理端特性。課責意涵重點在責任鏈是否可追溯。</w:t>
      </w:r>
    </w:p>
    <w:p>
      <w:pPr>
        <w:spacing w:after="200" w:line="360"/>
        <w:ind w:firstLine="431"/>
        <w:jc w:val="both"/>
      </w:pPr>
      <w:r>
        <w:rPr>
          <w:rFonts w:ascii="微軟正黑體" w:cs="微軟正黑體" w:eastAsia="微軟正黑體" w:hAnsi="微軟正黑體"/>
          <w:sz w:val="22"/>
          <w:szCs w:val="22"/>
        </w:rPr>
        <w:t xml:space="preserve">問題三指引:重點在「是否揭露AI生成」「是否精準投放特定群體」「是否與新聞混淆」三個判準。倫理指引可對應透明度、可驗證性、避免偏見三原則,並連結《人工智慧基本法》之透明度與課責要求。</w:t>
      </w:r>
    </w:p>
    <w:p>
      <w:pPr>
        <w:spacing w:after="200" w:line="360"/>
        <w:ind w:firstLine="431"/>
        <w:jc w:val="both"/>
      </w:pPr>
      <w:r>
        <w:rPr>
          <w:rFonts w:ascii="微軟正黑體" w:cs="微軟正黑體" w:eastAsia="微軟正黑體" w:hAnsi="微軟正黑體"/>
          <w:sz w:val="22"/>
          <w:szCs w:val="22"/>
        </w:rPr>
        <w:t xml:space="preserve">問題四指引:平台鐵三角可從電信業者、指揮中心、地方政府間之資料流切入;監測四功能中「解釋」與「審計」最易因黑箱而弱化,登記簿與AIA可直接補強此二功能。</w:t>
      </w:r>
    </w:p>
    <w:p>
      <w:pPr>
        <w:spacing w:after="200" w:line="360"/>
        <w:ind w:firstLine="431"/>
        <w:jc w:val="both"/>
      </w:pPr>
      <w:r>
        <w:rPr>
          <w:rFonts w:ascii="微軟正黑體" w:cs="微軟正黑體" w:eastAsia="微軟正黑體" w:hAnsi="微軟正黑體"/>
          <w:sz w:val="22"/>
          <w:szCs w:val="22"/>
        </w:rPr>
        <w:t xml:space="preserve">問題五指引:AFST保留一定比例之人工覆核空間,Robodebt則幾乎將舉證責任轉嫁予當事人。設計監測機制時,可從「責任鏈」與「理由鏈」切入,要求覆核日誌、抽樣審計、公開模型卡與救濟管道並行。</w:t>
      </w:r>
    </w:p>
    <w:p>
      <w:pPr>
        <w:spacing w:after="140" w:before="260"/>
      </w:pPr>
      <w:r>
        <w:rPr>
          <w:rFonts w:ascii="微軟正黑體" w:cs="微軟正黑體" w:eastAsia="微軟正黑體" w:hAnsi="微軟正黑體"/>
          <w:b/>
          <w:bCs/>
          <w:color w:val="2E5C8A"/>
          <w:sz w:val="23"/>
          <w:szCs w:val="23"/>
        </w:rPr>
        <w:t>五、台灣文獻與近期實證補充</w:t>
      </w:r>
    </w:p>
    <w:p>
      <w:pPr>
        <w:pStyle w:val="ListParagraph"/>
        <w:numPr>
          <w:ilvl w:val="0"/>
          <w:numId w:val="2"/>
        </w:numPr>
        <w:spacing w:after="120" w:line="340"/>
      </w:pPr>
      <w:r>
        <w:rPr>
          <w:rFonts w:ascii="微軟正黑體" w:cs="微軟正黑體" w:eastAsia="微軟正黑體" w:hAnsi="微軟正黑體"/>
          <w:sz w:val="22"/>
          <w:szCs w:val="22"/>
        </w:rPr>
        <w:t>除吳定、丘昌泰等教科書標準文獻外，柯三吉（2019）《政策執行與公共治理》以編年史方式梳理美歐執行理論，並連結台灣經驗與民粹治理意涵；李允傑、丘昌泰《政策執行與評估》強調執行與評估的實務連結；羅清俊（2020）《公共政策：現象觀察與實務操作》納入Matland模型的台灣教學應用實例；王光旭、陳敦源（2014）比較政策網絡與理性選擇兩種途徑，提出「網絡治理的理性機制」整合架構，可與本章第四節政策網路之討論互相參照。</w:t>
      </w:r>
    </w:p>
    <w:p>
      <w:pPr>
        <w:pStyle w:val="ListParagraph"/>
        <w:numPr>
          <w:ilvl w:val="0"/>
          <w:numId w:val="2"/>
        </w:numPr>
        <w:spacing w:after="120" w:line="340"/>
      </w:pPr>
      <w:r>
        <w:rPr>
          <w:rFonts w:ascii="微軟正黑體" w:cs="微軟正黑體" w:eastAsia="微軟正黑體" w:hAnsi="微軟正黑體"/>
          <w:sz w:val="22"/>
          <w:szCs w:val="22"/>
        </w:rPr>
        <w:t>近期實證研究方面，可補充三個台灣案例供課堂延伸討論:嘉義文創園區轉型（2025年學位論文）以吳定等人之影響因素架構分析執行落差；新北市區公所防疫執行力研究（2025）運用Van Meter與Van Horn模式檢視地方執行力；警察職務協助與非洲豬瘟檢疫案例則可作為第一代執行理論中跨機關協助之實務檢驗教材，三者皆可與本章長照2.0、口罩實名制、1922實聯制等主要案例並列比較。</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Pressman, J. L., &amp; Wildavsky, A. (1973). Implementation. University of California Press.</w:t>
      </w:r>
    </w:p>
    <w:p>
      <w:pPr>
        <w:spacing w:after="200" w:line="360"/>
        <w:ind w:firstLine="431"/>
        <w:jc w:val="both"/>
      </w:pPr>
      <w:r>
        <w:rPr>
          <w:rFonts w:ascii="微軟正黑體" w:cs="微軟正黑體" w:eastAsia="微軟正黑體" w:hAnsi="微軟正黑體"/>
          <w:sz w:val="22"/>
          <w:szCs w:val="22"/>
        </w:rPr>
        <w:t xml:space="preserve">Lipsky, M. (1980). Street-level bureaucracy: Dilemmas of the individual in public services. Russell Sage Foundation.</w:t>
      </w:r>
    </w:p>
    <w:p>
      <w:pPr>
        <w:spacing w:after="200" w:line="360"/>
        <w:ind w:firstLine="431"/>
        <w:jc w:val="both"/>
      </w:pPr>
      <w:r>
        <w:rPr>
          <w:rFonts w:ascii="微軟正黑體" w:cs="微軟正黑體" w:eastAsia="微軟正黑體" w:hAnsi="微軟正黑體"/>
          <w:sz w:val="22"/>
          <w:szCs w:val="22"/>
        </w:rPr>
        <w:t xml:space="preserve">Bovens, M., &amp; Zouridis, S. (2002). From street-level to system-level bureaucracies. Public Administration Review, 62(2), 174-184.</w:t>
      </w:r>
    </w:p>
    <w:p>
      <w:pPr>
        <w:spacing w:after="200" w:line="360"/>
        <w:ind w:firstLine="431"/>
        <w:jc w:val="both"/>
      </w:pPr>
      <w:r>
        <w:rPr>
          <w:rFonts w:ascii="微軟正黑體" w:cs="微軟正黑體" w:eastAsia="微軟正黑體" w:hAnsi="微軟正黑體"/>
          <w:sz w:val="22"/>
          <w:szCs w:val="22"/>
        </w:rPr>
        <w:t xml:space="preserve">Zouridis, S., van Eck, M., &amp; Bovens, M. (2019). Automated discretion (eLaw Working Paper Series No. 2019/06). Leiden University.</w:t>
      </w:r>
    </w:p>
    <w:p>
      <w:pPr>
        <w:spacing w:after="200" w:line="360"/>
        <w:ind w:firstLine="431"/>
        <w:jc w:val="both"/>
      </w:pPr>
      <w:r>
        <w:rPr>
          <w:rFonts w:ascii="微軟正黑體" w:cs="微軟正黑體" w:eastAsia="微軟正黑體" w:hAnsi="微軟正黑體"/>
          <w:sz w:val="22"/>
          <w:szCs w:val="22"/>
        </w:rPr>
        <w:t xml:space="preserve">Zouridis, S. et al. (2020). Automated discretion. Public Administration.</w:t>
      </w:r>
    </w:p>
    <w:p>
      <w:pPr>
        <w:spacing w:after="200" w:line="360"/>
        <w:ind w:firstLine="431"/>
        <w:jc w:val="both"/>
      </w:pPr>
      <w:r>
        <w:rPr>
          <w:rFonts w:ascii="微軟正黑體" w:cs="微軟正黑體" w:eastAsia="微軟正黑體" w:hAnsi="微軟正黑體"/>
          <w:sz w:val="22"/>
          <w:szCs w:val="22"/>
        </w:rPr>
        <w:t xml:space="preserve">Young, M. M. et al. (2023). Artificial discretion. Journal of Public Administration Research and Theory, 33(1).</w:t>
      </w:r>
    </w:p>
    <w:p>
      <w:pPr>
        <w:spacing w:after="200" w:line="360"/>
        <w:ind w:firstLine="431"/>
        <w:jc w:val="both"/>
      </w:pPr>
      <w:r>
        <w:rPr>
          <w:rFonts w:ascii="微軟正黑體" w:cs="微軟正黑體" w:eastAsia="微軟正黑體" w:hAnsi="微軟正黑體"/>
          <w:sz w:val="22"/>
          <w:szCs w:val="22"/>
        </w:rPr>
        <w:t xml:space="preserve">Engstrom, D. F., &amp; Ho, D. E. (2020). Algorithmic accountability in the administrative state. Yale Journal on Regulation, 37(3).</w:t>
      </w:r>
    </w:p>
    <w:p>
      <w:pPr>
        <w:spacing w:after="200" w:line="360"/>
        <w:ind w:firstLine="431"/>
        <w:jc w:val="both"/>
      </w:pPr>
      <w:r>
        <w:rPr>
          <w:rFonts w:ascii="微軟正黑體" w:cs="微軟正黑體" w:eastAsia="微軟正黑體" w:hAnsi="微軟正黑體"/>
          <w:sz w:val="22"/>
          <w:szCs w:val="22"/>
        </w:rPr>
        <w:t xml:space="preserve">Gordon, E., Harlow, J., Whitman, S. A., &amp; Lee, M. (2024). Data discretion: Screen-level bureaucrats and municipal decision-making. Digital Government: Research and Practice, 5(2), 1-14.</w:t>
      </w:r>
    </w:p>
    <w:p>
      <w:pPr>
        <w:spacing w:after="200" w:line="360"/>
        <w:ind w:firstLine="431"/>
        <w:jc w:val="both"/>
      </w:pPr>
      <w:r>
        <w:rPr>
          <w:rFonts w:ascii="微軟正黑體" w:cs="微軟正黑體" w:eastAsia="微軟正黑體" w:hAnsi="微軟正黑體"/>
          <w:sz w:val="22"/>
          <w:szCs w:val="22"/>
        </w:rPr>
        <w:t xml:space="preserve">Eubanks, V. (2018). Automating inequality: How high-tech tools profile, police, and punish the poor. St. Martin's Press.</w:t>
      </w:r>
    </w:p>
    <w:p>
      <w:pPr>
        <w:spacing w:after="200" w:line="360"/>
        <w:ind w:firstLine="431"/>
        <w:jc w:val="both"/>
      </w:pPr>
      <w:r>
        <w:rPr>
          <w:rFonts w:ascii="微軟正黑體" w:cs="微軟正黑體" w:eastAsia="微軟正黑體" w:hAnsi="微軟正黑體"/>
          <w:sz w:val="22"/>
          <w:szCs w:val="22"/>
        </w:rPr>
        <w:t xml:space="preserve">Vaithianathan, R. et al. (2017). Developing predictive risk models to support child maltreatment hotline screening decisions. Allegheny County Analytics.</w:t>
      </w:r>
    </w:p>
    <w:p>
      <w:pPr>
        <w:spacing w:after="200" w:line="360"/>
        <w:ind w:firstLine="431"/>
        <w:jc w:val="both"/>
      </w:pPr>
      <w:r>
        <w:rPr>
          <w:rFonts w:ascii="微軟正黑體" w:cs="微軟正黑體" w:eastAsia="微軟正黑體" w:hAnsi="微軟正黑體"/>
          <w:sz w:val="22"/>
          <w:szCs w:val="22"/>
        </w:rPr>
        <w:t xml:space="preserve">Journal of Policy Analysis and Management. (2025/2026). Algorithms, humans, and racial disparities in child protection systems: Evidence from the Allegheny Family Screening Tool.</w:t>
      </w:r>
    </w:p>
    <w:p>
      <w:pPr>
        <w:spacing w:after="200" w:line="360"/>
        <w:ind w:firstLine="431"/>
        <w:jc w:val="both"/>
      </w:pPr>
      <w:r>
        <w:rPr>
          <w:rFonts w:ascii="微軟正黑體" w:cs="微軟正黑體" w:eastAsia="微軟正黑體" w:hAnsi="微軟正黑體"/>
          <w:sz w:val="22"/>
          <w:szCs w:val="22"/>
        </w:rPr>
        <w:t xml:space="preserve">American Civil Liberties Union (ACLU). The devil is in the details: Interrogating values embedded in the Allegheny Family Screening Tool.</w:t>
      </w:r>
    </w:p>
    <w:p>
      <w:pPr>
        <w:spacing w:after="200" w:line="360"/>
        <w:ind w:firstLine="431"/>
        <w:jc w:val="both"/>
      </w:pPr>
      <w:r>
        <w:rPr>
          <w:rFonts w:ascii="微軟正黑體" w:cs="微軟正黑體" w:eastAsia="微軟正黑體" w:hAnsi="微軟正黑體"/>
          <w:sz w:val="22"/>
          <w:szCs w:val="22"/>
        </w:rPr>
        <w:t xml:space="preserve">Royal Commission into the Robodebt Scheme. (2023). Report. Australian Government.(2026年第二波集體訴訟和解及國家反貪腐委員會後續調查,請參見法院及NACC最新公告)</w:t>
      </w:r>
    </w:p>
    <w:p>
      <w:pPr>
        <w:spacing w:after="200" w:line="360"/>
        <w:ind w:firstLine="431"/>
        <w:jc w:val="both"/>
      </w:pPr>
      <w:r>
        <w:rPr>
          <w:rFonts w:ascii="微軟正黑體" w:cs="微軟正黑體" w:eastAsia="微軟正黑體" w:hAnsi="微軟正黑體"/>
          <w:sz w:val="22"/>
          <w:szCs w:val="22"/>
        </w:rPr>
        <w:t xml:space="preserve">Howlett, M., &amp; Ramesh, M. (2020). Studying public policy (4th ed.). Oxford.</w:t>
      </w:r>
    </w:p>
    <w:p>
      <w:pPr>
        <w:spacing w:after="200" w:line="360"/>
        <w:ind w:firstLine="431"/>
        <w:jc w:val="both"/>
      </w:pPr>
      <w:r>
        <w:rPr>
          <w:rFonts w:ascii="微軟正黑體" w:cs="微軟正黑體" w:eastAsia="微軟正黑體" w:hAnsi="微軟正黑體"/>
          <w:sz w:val="22"/>
          <w:szCs w:val="22"/>
        </w:rPr>
        <w:t xml:space="preserve">Howlett, M., Ramesh, M., &amp; Perl, A. (2022). Studying public policy after the pandemic. Canadian Public Administration.</w:t>
      </w:r>
    </w:p>
    <w:p>
      <w:pPr>
        <w:spacing w:after="200" w:line="360"/>
        <w:ind w:firstLine="431"/>
        <w:jc w:val="both"/>
      </w:pPr>
      <w:r>
        <w:rPr>
          <w:rFonts w:ascii="微軟正黑體" w:cs="微軟正黑體" w:eastAsia="微軟正黑體" w:hAnsi="微軟正黑體"/>
          <w:sz w:val="22"/>
          <w:szCs w:val="22"/>
        </w:rPr>
        <w:t xml:space="preserve">Schneider, A., &amp; Ingram, H. (2020). Social construction and policy design. Policy Design and Practice.</w:t>
      </w:r>
    </w:p>
    <w:p>
      <w:pPr>
        <w:spacing w:after="200" w:line="360"/>
        <w:ind w:firstLine="431"/>
        <w:jc w:val="both"/>
      </w:pPr>
      <w:r>
        <w:rPr>
          <w:rFonts w:ascii="微軟正黑體" w:cs="微軟正黑體" w:eastAsia="微軟正黑體" w:hAnsi="微軟正黑體"/>
          <w:sz w:val="22"/>
          <w:szCs w:val="22"/>
        </w:rPr>
        <w:t xml:space="preserve">Weimer, D. L., &amp; Vining, A. R. (2022). Policy analysis (7th ed.). Routledge.</w:t>
      </w:r>
    </w:p>
    <w:p>
      <w:pPr>
        <w:spacing w:after="200" w:line="360"/>
        <w:ind w:firstLine="431"/>
        <w:jc w:val="both"/>
      </w:pPr>
      <w:r>
        <w:rPr>
          <w:rFonts w:ascii="微軟正黑體" w:cs="微軟正黑體" w:eastAsia="微軟正黑體" w:hAnsi="微軟正黑體"/>
          <w:sz w:val="22"/>
          <w:szCs w:val="22"/>
        </w:rPr>
        <w:t xml:space="preserve">van Meter, D. S., &amp; van Horn, C. E. (1975/2021). The policy implementation process revisited.</w:t>
      </w:r>
    </w:p>
    <w:p>
      <w:pPr>
        <w:spacing w:after="200" w:line="360"/>
        <w:ind w:firstLine="431"/>
        <w:jc w:val="both"/>
      </w:pPr>
      <w:r>
        <w:rPr>
          <w:rFonts w:ascii="微軟正黑體" w:cs="微軟正黑體" w:eastAsia="微軟正黑體" w:hAnsi="微軟正黑體"/>
          <w:sz w:val="22"/>
          <w:szCs w:val="22"/>
        </w:rPr>
        <w:t xml:space="preserve">Sabatier, P., &amp; Mazmanian, D. (2021). Implementation revisited. Policy Sciences.</w:t>
      </w:r>
    </w:p>
    <w:p>
      <w:pPr>
        <w:spacing w:after="200" w:line="360"/>
        <w:ind w:firstLine="431"/>
        <w:jc w:val="both"/>
      </w:pPr>
      <w:r>
        <w:rPr>
          <w:rFonts w:ascii="微軟正黑體" w:cs="微軟正黑體" w:eastAsia="微軟正黑體" w:hAnsi="微軟正黑體"/>
          <w:sz w:val="22"/>
          <w:szCs w:val="22"/>
        </w:rPr>
        <w:t xml:space="preserve">Janssen, M. et al. (2022). Will algorithms blind people? Government Information Quarterly, 39(1), 101748.</w:t>
      </w:r>
    </w:p>
    <w:p>
      <w:pPr>
        <w:spacing w:after="200" w:line="360"/>
        <w:ind w:firstLine="431"/>
        <w:jc w:val="both"/>
      </w:pPr>
      <w:r>
        <w:rPr>
          <w:rFonts w:ascii="微軟正黑體" w:cs="微軟正黑體" w:eastAsia="微軟正黑體" w:hAnsi="微軟正黑體"/>
          <w:sz w:val="22"/>
          <w:szCs w:val="22"/>
        </w:rPr>
        <w:t xml:space="preserve">Busuioc, M. (2021). Accountable artificial intelligence. Public Management Review, 23(5), 729-746.</w:t>
      </w:r>
    </w:p>
    <w:p>
      <w:pPr>
        <w:spacing w:after="200" w:line="360"/>
        <w:ind w:firstLine="431"/>
        <w:jc w:val="both"/>
      </w:pPr>
      <w:r>
        <w:rPr>
          <w:rFonts w:ascii="微軟正黑體" w:cs="微軟正黑體" w:eastAsia="微軟正黑體" w:hAnsi="微軟正黑體"/>
          <w:sz w:val="22"/>
          <w:szCs w:val="22"/>
        </w:rPr>
        <w:t xml:space="preserve">OECD. (2023). Algorithmic accountability and registries.</w:t>
      </w:r>
    </w:p>
    <w:p>
      <w:pPr>
        <w:spacing w:after="200" w:line="360"/>
        <w:ind w:firstLine="431"/>
        <w:jc w:val="both"/>
      </w:pPr>
      <w:r>
        <w:rPr>
          <w:rFonts w:ascii="微軟正黑體" w:cs="微軟正黑體" w:eastAsia="微軟正黑體" w:hAnsi="微軟正黑體"/>
          <w:sz w:val="22"/>
          <w:szCs w:val="22"/>
        </w:rPr>
        <w:t xml:space="preserve">OECD. (2024). Generative AI in the public sector.</w:t>
      </w:r>
    </w:p>
    <w:p>
      <w:pPr>
        <w:spacing w:after="200" w:line="360"/>
        <w:ind w:firstLine="431"/>
        <w:jc w:val="both"/>
      </w:pPr>
      <w:r>
        <w:rPr>
          <w:rFonts w:ascii="微軟正黑體" w:cs="微軟正黑體" w:eastAsia="微軟正黑體" w:hAnsi="微軟正黑體"/>
          <w:sz w:val="22"/>
          <w:szCs w:val="22"/>
        </w:rPr>
        <w:t xml:space="preserve">Bozeman, B. (1987). All organizations are public: Bridging public and private organizational theories. Jossey-Bass.</w:t>
      </w:r>
    </w:p>
    <w:p>
      <w:pPr>
        <w:spacing w:after="200" w:line="360"/>
        <w:ind w:firstLine="431"/>
        <w:jc w:val="both"/>
      </w:pPr>
      <w:r>
        <w:rPr>
          <w:rFonts w:ascii="微軟正黑體" w:cs="微軟正黑體" w:eastAsia="微軟正黑體" w:hAnsi="微軟正黑體"/>
          <w:sz w:val="22"/>
          <w:szCs w:val="22"/>
        </w:rPr>
        <w:t xml:space="preserve">歐盟(2024)。EU Artificial Intelligence Act。</w:t>
      </w:r>
    </w:p>
    <w:p>
      <w:pPr>
        <w:spacing w:after="200" w:line="360"/>
        <w:ind w:firstLine="431"/>
        <w:jc w:val="both"/>
      </w:pPr>
      <w:r>
        <w:rPr>
          <w:rFonts w:ascii="微軟正黑體" w:cs="微軟正黑體" w:eastAsia="微軟正黑體" w:hAnsi="微軟正黑體"/>
          <w:sz w:val="22"/>
          <w:szCs w:val="22"/>
        </w:rPr>
        <w:t xml:space="preserve">人工智慧基本法(中華民國115年1月14日公布施行)。總統府公報。</w:t>
      </w:r>
    </w:p>
    <w:p>
      <w:pPr>
        <w:spacing w:after="200" w:line="360"/>
        <w:ind w:firstLine="431"/>
        <w:jc w:val="both"/>
      </w:pPr>
      <w:r>
        <w:rPr>
          <w:rFonts w:ascii="微軟正黑體" w:cs="微軟正黑體" w:eastAsia="微軟正黑體" w:hAnsi="微軟正黑體"/>
          <w:sz w:val="22"/>
          <w:szCs w:val="22"/>
        </w:rPr>
        <w:t xml:space="preserve">數位發展部(2025-2026)。政府AI應用沙盒(TryAI)與台灣主權AI訓練語料庫相關說明。</w:t>
      </w:r>
    </w:p>
    <w:p>
      <w:pPr>
        <w:spacing w:after="200" w:line="360"/>
        <w:ind w:firstLine="431"/>
        <w:jc w:val="both"/>
      </w:pPr>
      <w:r>
        <w:rPr>
          <w:rFonts w:ascii="微軟正黑體" w:cs="微軟正黑體" w:eastAsia="微軟正黑體" w:hAnsi="微軟正黑體"/>
          <w:sz w:val="22"/>
          <w:szCs w:val="22"/>
        </w:rPr>
        <w:t xml:space="preserve">行政程序法第96條(行政處分應記載事項、理由告知義務)。全國法規資料庫。</w:t>
      </w:r>
    </w:p>
    <w:p>
      <w:pPr>
        <w:spacing w:after="200" w:line="360"/>
        <w:ind w:firstLine="431"/>
        <w:jc w:val="both"/>
      </w:pPr>
      <w:r>
        <w:rPr>
          <w:rFonts w:ascii="微軟正黑體" w:cs="微軟正黑體" w:eastAsia="微軟正黑體" w:hAnsi="微軟正黑體"/>
          <w:sz w:val="22"/>
          <w:szCs w:val="22"/>
        </w:rPr>
        <w:t xml:space="preserve">行政執行法。全國法規資料庫。</w:t>
      </w:r>
    </w:p>
    <w:p>
      <w:pPr>
        <w:spacing w:after="200" w:line="360"/>
        <w:ind w:firstLine="431"/>
        <w:jc w:val="both"/>
      </w:pPr>
      <w:r>
        <w:rPr>
          <w:rFonts w:ascii="微軟正黑體" w:cs="微軟正黑體" w:eastAsia="微軟正黑體" w:hAnsi="微軟正黑體"/>
          <w:sz w:val="22"/>
          <w:szCs w:val="22"/>
        </w:rPr>
        <w:t xml:space="preserve">唐鳳、李致中(2021)。口罩實名制與開放資料協作。《公共行政學報》,60。</w:t>
      </w:r>
    </w:p>
    <w:p>
      <w:pPr>
        <w:spacing w:after="200" w:line="360"/>
        <w:ind w:firstLine="431"/>
        <w:jc w:val="both"/>
      </w:pPr>
      <w:r>
        <w:rPr>
          <w:rFonts w:ascii="微軟正黑體" w:cs="微軟正黑體" w:eastAsia="微軟正黑體" w:hAnsi="微軟正黑體"/>
          <w:sz w:val="22"/>
          <w:szCs w:val="22"/>
        </w:rPr>
        <w:t xml:space="preserve">陳敦源、黃心怡(2023)。演算法治理與可解釋性。《行政暨政策學報》,76。</w:t>
      </w:r>
    </w:p>
    <w:p>
      <w:pPr>
        <w:spacing w:after="200" w:line="360"/>
        <w:ind w:firstLine="431"/>
        <w:jc w:val="both"/>
      </w:pPr>
      <w:r>
        <w:rPr>
          <w:rFonts w:ascii="微軟正黑體" w:cs="微軟正黑體" w:eastAsia="微軟正黑體" w:hAnsi="微軟正黑體"/>
          <w:sz w:val="22"/>
          <w:szCs w:val="22"/>
        </w:rPr>
        <w:t xml:space="preserve">林子倫等(2024)。生成式AI與政策行銷倫理。《民主與治理》,10(2)。</w:t>
      </w:r>
    </w:p>
    <w:p>
      <w:pPr>
        <w:spacing w:after="200" w:line="360"/>
        <w:ind w:firstLine="431"/>
        <w:jc w:val="both"/>
      </w:pPr>
      <w:r>
        <w:rPr>
          <w:rFonts w:ascii="微軟正黑體" w:cs="微軟正黑體" w:eastAsia="微軟正黑體" w:hAnsi="微軟正黑體"/>
          <w:sz w:val="22"/>
          <w:szCs w:val="22"/>
        </w:rPr>
        <w:t xml:space="preserve">丘昌泰(2022)。公共政策基礎篇(六版)。五南。</w:t>
      </w:r>
    </w:p>
    <w:p>
      <w:pPr>
        <w:spacing w:after="200" w:line="360"/>
        <w:ind w:firstLine="431"/>
        <w:jc w:val="both"/>
      </w:pPr>
      <w:r>
        <w:rPr>
          <w:rFonts w:ascii="微軟正黑體" w:cs="微軟正黑體" w:eastAsia="微軟正黑體" w:hAnsi="微軟正黑體"/>
          <w:sz w:val="22"/>
          <w:szCs w:val="22"/>
        </w:rPr>
        <w:t xml:space="preserve">吳定(2020)。公共政策辭典(五版)。五南。</w:t>
      </w:r>
    </w:p>
    <w:p>
      <w:pPr>
        <w:spacing w:after="200" w:line="360"/>
        <w:ind w:firstLine="431"/>
        <w:jc w:val="both"/>
      </w:pPr>
      <w:r>
        <w:rPr>
          <w:rFonts w:ascii="微軟正黑體" w:cs="微軟正黑體" w:eastAsia="微軟正黑體" w:hAnsi="微軟正黑體"/>
          <w:sz w:val="22"/>
          <w:szCs w:val="22"/>
        </w:rPr>
        <w:t xml:space="preserve">國發會(2023)。公共部門導入AI指引與透明度報告。</w:t>
      </w:r>
    </w:p>
    <w:p>
      <w:pPr>
        <w:spacing w:after="200" w:line="360"/>
        <w:ind w:firstLine="431"/>
        <w:jc w:val="both"/>
      </w:pPr>
      <w:r>
        <w:rPr>
          <w:rFonts w:ascii="微軟正黑體" w:cs="微軟正黑體" w:eastAsia="微軟正黑體" w:hAnsi="微軟正黑體"/>
          <w:sz w:val="22"/>
          <w:szCs w:val="22"/>
        </w:rPr>
        <w:t xml:space="preserve">數位部(2024)。政府演算法登記簿與監管沙盒說明。</w:t>
      </w:r>
    </w:p>
    <w:p>
      <w:pPr>
        <w:spacing w:after="200" w:line="360"/>
        <w:ind w:firstLine="431"/>
        <w:jc w:val="both"/>
      </w:pPr>
      <w:r>
        <w:rPr>
          <w:rFonts w:ascii="微軟正黑體" w:cs="微軟正黑體" w:eastAsia="微軟正黑體" w:hAnsi="微軟正黑體"/>
          <w:sz w:val="22"/>
          <w:szCs w:val="22"/>
        </w:rPr>
        <w:t>Matland, R. E. (1995). Synthesizing the implementation literature: The ambiguity-conflict model of policy implementation. Journal of Public Administration Research and Theory, 5(2), 145-174.</w:t>
      </w:r>
    </w:p>
    <w:p>
      <w:pPr>
        <w:spacing w:after="200" w:line="360"/>
        <w:ind w:firstLine="431"/>
        <w:jc w:val="both"/>
      </w:pPr>
      <w:r>
        <w:rPr>
          <w:rFonts w:ascii="微軟正黑體" w:cs="微軟正黑體" w:eastAsia="微軟正黑體" w:hAnsi="微軟正黑體"/>
          <w:sz w:val="22"/>
          <w:szCs w:val="22"/>
        </w:rPr>
        <w:t>Goggin, M. L., Bowman, A. O'M., Lester, J. P., &amp; O'Toole, L. J. (1990). Implementation theory and practice: Toward a third generation. Scott, Foresman/Little, Brown.</w:t>
      </w:r>
    </w:p>
    <w:p>
      <w:pPr>
        <w:spacing w:after="200" w:line="360"/>
        <w:ind w:firstLine="431"/>
        <w:jc w:val="both"/>
      </w:pPr>
      <w:r>
        <w:rPr>
          <w:rFonts w:ascii="微軟正黑體" w:cs="微軟正黑體" w:eastAsia="微軟正黑體" w:hAnsi="微軟正黑體"/>
          <w:sz w:val="22"/>
          <w:szCs w:val="22"/>
        </w:rPr>
        <w:t>Edwards, G. C., III (1980). Implementing public policy. Congressional Quarterly Press.</w:t>
      </w:r>
    </w:p>
    <w:p>
      <w:pPr>
        <w:spacing w:after="200" w:line="360"/>
        <w:ind w:firstLine="431"/>
        <w:jc w:val="both"/>
      </w:pPr>
      <w:r>
        <w:rPr>
          <w:rFonts w:ascii="微軟正黑體" w:cs="微軟正黑體" w:eastAsia="微軟正黑體" w:hAnsi="微軟正黑體"/>
          <w:sz w:val="22"/>
          <w:szCs w:val="22"/>
        </w:rPr>
        <w:t>Sætren, H. (2014). Implementing the third generation research paradigm in policy implementation research: An empirical assessment. Public Policy and Administration, 29(2), 84-105.</w:t>
      </w:r>
    </w:p>
    <w:p>
      <w:pPr>
        <w:spacing w:after="200" w:line="360"/>
        <w:ind w:firstLine="431"/>
        <w:jc w:val="both"/>
      </w:pPr>
      <w:r>
        <w:rPr>
          <w:rFonts w:ascii="微軟正黑體" w:cs="微軟正黑體" w:eastAsia="微軟正黑體" w:hAnsi="微軟正黑體"/>
          <w:sz w:val="22"/>
          <w:szCs w:val="22"/>
        </w:rPr>
        <w:t>Sætren, H. Moving beyond third generation policy implementation research towards a fourth generation: Synthesizing across policy process theories. Policy Studies Journal (線上先行版，出版卷期以期刊官方公告為準).</w:t>
      </w:r>
    </w:p>
    <w:p>
      <w:pPr>
        <w:spacing w:after="200" w:line="360"/>
        <w:ind w:firstLine="431"/>
        <w:jc w:val="both"/>
      </w:pPr>
      <w:r>
        <w:rPr>
          <w:rFonts w:ascii="微軟正黑體" w:cs="微軟正黑體" w:eastAsia="微軟正黑體" w:hAnsi="微軟正黑體"/>
          <w:sz w:val="22"/>
          <w:szCs w:val="22"/>
        </w:rPr>
        <w:t>Hill, M., &amp; Hupe, P. (2014). Implementing public policy: An introduction to the study of operational governance (3rd ed.). Sage.</w:t>
      </w:r>
    </w:p>
    <w:p>
      <w:pPr>
        <w:spacing w:after="200" w:line="360"/>
        <w:ind w:firstLine="431"/>
        <w:jc w:val="both"/>
      </w:pPr>
      <w:r>
        <w:rPr>
          <w:rFonts w:ascii="微軟正黑體" w:cs="微軟正黑體" w:eastAsia="微軟正黑體" w:hAnsi="微軟正黑體"/>
          <w:sz w:val="22"/>
          <w:szCs w:val="22"/>
        </w:rPr>
        <w:t>O'Toole, L. J. (2000). Research on policy implementation: Assessment and prospects. Journal of Public Administration Research and Theory, 10(2), 263-288.</w:t>
      </w:r>
    </w:p>
    <w:p>
      <w:pPr>
        <w:spacing w:after="200" w:line="360"/>
        <w:ind w:firstLine="431"/>
        <w:jc w:val="both"/>
      </w:pPr>
      <w:r>
        <w:rPr>
          <w:rFonts w:ascii="微軟正黑體" w:cs="微軟正黑體" w:eastAsia="微軟正黑體" w:hAnsi="微軟正黑體"/>
          <w:sz w:val="22"/>
          <w:szCs w:val="22"/>
        </w:rPr>
        <w:t>Howlett, M. (2018). Matching policy tools and their targets: Beyond nudges and utility maximisation in policy design. Policy &amp; Politics, 46(1), 101-124.</w:t>
      </w:r>
    </w:p>
    <w:p>
      <w:pPr>
        <w:spacing w:after="200" w:line="360"/>
        <w:ind w:firstLine="431"/>
        <w:jc w:val="both"/>
      </w:pPr>
      <w:r>
        <w:rPr>
          <w:rFonts w:ascii="微軟正黑體" w:cs="微軟正黑體" w:eastAsia="微軟正黑體" w:hAnsi="微軟正黑體"/>
          <w:sz w:val="22"/>
          <w:szCs w:val="22"/>
        </w:rPr>
        <w:t>Winter, S. C. (2012). Implementation perspectives: Status and reconsideration. In B. G. Peters &amp; J. Pierre (Eds.), The SAGE handbook of public administration (2nd ed.). Sage.</w:t>
      </w:r>
    </w:p>
    <w:p>
      <w:pPr>
        <w:spacing w:after="200" w:line="360"/>
        <w:ind w:firstLine="431"/>
        <w:jc w:val="both"/>
      </w:pPr>
      <w:r>
        <w:rPr>
          <w:rFonts w:ascii="微軟正黑體" w:cs="微軟正黑體" w:eastAsia="微軟正黑體" w:hAnsi="微軟正黑體"/>
          <w:sz w:val="22"/>
          <w:szCs w:val="22"/>
        </w:rPr>
        <w:t>Choi, H., Park, S., &amp; Lee, S. (2025). Unpacking street-level discretion: A systematic review of its conceptualizations, antecedents and consequences. Public Management Review, 28(9).</w:t>
      </w:r>
    </w:p>
    <w:p>
      <w:pPr>
        <w:spacing w:after="200" w:line="360"/>
        <w:ind w:firstLine="431"/>
        <w:jc w:val="both"/>
      </w:pPr>
      <w:r>
        <w:rPr>
          <w:rFonts w:ascii="微軟正黑體" w:cs="微軟正黑體" w:eastAsia="微軟正黑體" w:hAnsi="微軟正黑體"/>
          <w:sz w:val="22"/>
          <w:szCs w:val="22"/>
        </w:rPr>
        <w:t>Toledo, R. R. P. (2026). Algorithmic accountability in public administration: A systematic review and conceptual framework for responsible AI governance (SocArXiv preprint, 尚未經同儕審查，引用請註明為預印本).</w:t>
      </w:r>
    </w:p>
    <w:p>
      <w:pPr>
        <w:spacing w:after="200" w:line="360"/>
        <w:ind w:firstLine="431"/>
        <w:jc w:val="both"/>
      </w:pPr>
      <w:r>
        <w:rPr>
          <w:rFonts w:ascii="微軟正黑體" w:cs="微軟正黑體" w:eastAsia="微軟正黑體" w:hAnsi="微軟正黑體"/>
          <w:sz w:val="22"/>
          <w:szCs w:val="22"/>
        </w:rPr>
        <w:t>Allen, D., Hubbard, S., Lim, W., Stanger, A., Wagman, S., &amp; Zalesne, K. (2024). A roadmap for governing AI: Technology governance and power-sharing liberalism. Ash Center for Democratic Governance and Innovation, Harvard Kennedy School.</w:t>
      </w:r>
    </w:p>
    <w:p>
      <w:pPr>
        <w:spacing w:after="200" w:line="360"/>
        <w:ind w:firstLine="431"/>
        <w:jc w:val="both"/>
      </w:pPr>
      <w:r>
        <w:rPr>
          <w:rFonts w:ascii="微軟正黑體" w:cs="微軟正黑體" w:eastAsia="微軟正黑體" w:hAnsi="微軟正黑體"/>
          <w:sz w:val="22"/>
          <w:szCs w:val="22"/>
        </w:rPr>
        <w:t>歐洲執委會（2025）。Digital Omnibus數位法案整合包及其對《人工智慧法》施行期程之修正（正式生效內容以歐盟官方公告為準）。</w:t>
      </w:r>
    </w:p>
    <w:p>
      <w:pPr>
        <w:spacing w:after="200" w:line="360"/>
        <w:ind w:firstLine="431"/>
        <w:jc w:val="both"/>
      </w:pPr>
      <w:r>
        <w:rPr>
          <w:rFonts w:ascii="微軟正黑體" w:cs="微軟正黑體" w:eastAsia="微軟正黑體" w:hAnsi="微軟正黑體"/>
          <w:sz w:val="22"/>
          <w:szCs w:val="22"/>
        </w:rPr>
        <w:t>柯三吉（2019）。政策執行與公共治理。五南。</w:t>
      </w:r>
    </w:p>
    <w:p>
      <w:pPr>
        <w:spacing w:after="200" w:line="360"/>
        <w:ind w:firstLine="431"/>
        <w:jc w:val="both"/>
      </w:pPr>
      <w:r>
        <w:rPr>
          <w:rFonts w:ascii="微軟正黑體" w:cs="微軟正黑體" w:eastAsia="微軟正黑體" w:hAnsi="微軟正黑體"/>
          <w:sz w:val="22"/>
          <w:szCs w:val="22"/>
        </w:rPr>
        <w:t>羅清俊（2020）。公共政策：現象觀察與實務操作（二版）。揚智。</w:t>
      </w:r>
    </w:p>
    <w:p>
      <w:pPr>
        <w:spacing w:after="200" w:line="360"/>
        <w:ind w:firstLine="431"/>
        <w:jc w:val="both"/>
      </w:pPr>
      <w:r>
        <w:rPr>
          <w:rFonts w:ascii="微軟正黑體" w:cs="微軟正黑體" w:eastAsia="微軟正黑體" w:hAnsi="微軟正黑體"/>
          <w:sz w:val="22"/>
          <w:szCs w:val="22"/>
        </w:rPr>
        <w:t>李允傑、丘昌泰（2009）。政策執行與評估。元照。</w:t>
      </w:r>
    </w:p>
    <w:p>
      <w:pPr>
        <w:spacing w:after="200" w:line="360"/>
        <w:ind w:firstLine="431"/>
        <w:jc w:val="both"/>
      </w:pPr>
      <w:r>
        <w:rPr>
          <w:rFonts w:ascii="微軟正黑體" w:cs="微軟正黑體" w:eastAsia="微軟正黑體" w:hAnsi="微軟正黑體"/>
          <w:sz w:val="22"/>
          <w:szCs w:val="22"/>
        </w:rPr>
        <w:t>王光旭、陳敦源（2014）。跨域治理下的政策執行：對政策網絡與理性選擇比較與整合的方法論評估。民主與治理，1(2)，1-34。</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前瞻:通往第十四章</w:t>
            </w:r>
          </w:p>
          <w:p>
            <w:pPr>
              <w:spacing w:line="340"/>
              <w:jc w:val="both"/>
            </w:pPr>
            <w:r>
              <w:rPr>
                <w:rFonts w:ascii="微軟正黑體" w:cs="微軟正黑體" w:eastAsia="微軟正黑體" w:hAnsi="微軟正黑體"/>
                <w:sz w:val="21"/>
                <w:szCs w:val="21"/>
              </w:rPr>
              <w:t xml:space="preserve">本章確立了政策執行階段「政策如何被落實、裁量如何被課責」之理論架構,並指出AI與系統層官僚協作後,責任鏈可能面臨「課責赤字」——效率提升的同時,裁量的位置悄然轉移,卻未必有人真正把關。下一章「政策評估與回饋」,將進一步追問:政策執行的成效究竟該如何被系統性檢視?當績效指標本身也可能由演算法設計,評估與回饋機制又該如何確保自己不淪為另一層需要被評估的黑箱?</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image" Target="media/image1.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2026-08-31T06:09:48.046Z</dcterms:created>
  <dcterms:modified xsi:type="dcterms:W3CDTF">2026-08-31T06:09:48.060Z</dcterms:modified>
</cp:coreProperties>
</file>

<file path=docProps/custom.xml><?xml version="1.0" encoding="utf-8"?>
<Properties xmlns="http://schemas.openxmlformats.org/officeDocument/2006/custom-properties" xmlns:vt="http://schemas.openxmlformats.org/officeDocument/2006/docPropsVTypes"/>
</file>