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4"/>
          <w:szCs w:val="44"/>
        </w:rPr>
        <w:t>行政學教科書</w:t>
      </w:r>
    </w:p>
    <w:p>
      <w:pPr>
        <w:spacing w:after="60"/>
        <w:jc w:val="center"/>
      </w:pPr>
      <w:r>
        <w:rPr>
          <w:rFonts w:ascii="微軟正黑體" w:cs="微軟正黑體" w:eastAsia="微軟正黑體" w:hAnsi="微軟正黑體"/>
          <w:b/>
          <w:bCs/>
          <w:color w:val="444444"/>
          <w:sz w:val="30"/>
          <w:szCs w:val="30"/>
        </w:rPr>
        <w:t xml:space="preserve">第十二章　政策制訂</w:t>
      </w:r>
    </w:p>
    <w:p>
      <w:pPr>
        <w:spacing w:after="400"/>
        <w:jc w:val="center"/>
      </w:pPr>
      <w:r>
        <w:rPr>
          <w:rFonts w:ascii="微軟正黑體" w:cs="微軟正黑體" w:eastAsia="微軟正黑體" w:hAnsi="微軟正黑體"/>
          <w:i/>
          <w:iCs/>
          <w:color w:val="777777"/>
          <w:sz w:val="22"/>
          <w:szCs w:val="22"/>
        </w:rPr>
        <w:t xml:space="preserve">——政策合法化的正當性建構:制訂階段的裁量、審議與AI輔助決策</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本章在25座標的位置</w:t>
            </w:r>
          </w:p>
          <w:p>
            <w:pPr>
              <w:spacing w:line="340"/>
              <w:jc w:val="both"/>
            </w:pPr>
            <w:r>
              <w:rPr>
                <w:rFonts w:ascii="微軟正黑體" w:cs="微軟正黑體" w:eastAsia="微軟正黑體" w:hAnsi="微軟正黑體"/>
                <w:sz w:val="21"/>
                <w:szCs w:val="21"/>
              </w:rPr>
              <w:t xml:space="preserve">本章由第十一章「政策規劃」推進至政策循環第三階段「政策制訂」(合法化,Policy Legitimation),座標定位於「政策體系 × 組織╱社會」單位。本階段主要對應P2行政裁量與價值判斷權之移轉——若AI在規劃階段已預先排序方案並附加風險或效益標籤,制訂者可能僅剩對預設方案背書之空間;結構效應以權威重構為核心,治理鏈斷裂類型為權威鏈之「正當性危機」,即法定授權範圍未能涵蓋技術系統實際承擔之框定或裁量角色。對應審計重點為裁量邊界審計、理由說明審計與責任歸屬審計,用以檢視法定決定者是否仍能提出獨立於系統輸出之論證。承接第十一章之方案設計,本章聚焦方案如何取得正式合法地位、如何說服利害關係人與立法機關,以及AI輔助決策系統介入後,「誰在拍板」與「誰該負責」之間的落差如何被治理。個案執行工具留待下一章「政策執行」處理,以免混淆正式政策採納與執行工作流程。</w:t>
            </w:r>
          </w:p>
        </w:tc>
      </w:tr>
    </w:tbl>
    <w:p>
      <w:pPr>
        <w:spacing w:after="200"/>
      </w:pPr>
    </w:p>
    <w:p>
      <w:pPr>
        <w:spacing w:after="180" w:before="360"/>
      </w:pPr>
      <w:r>
        <w:rPr>
          <w:rFonts w:ascii="微軟正黑體" w:cs="微軟正黑體" w:eastAsia="微軟正黑體" w:hAnsi="微軟正黑體"/>
          <w:b/>
          <w:bCs/>
          <w:color w:val="1F4E79"/>
          <w:sz w:val="26"/>
          <w:szCs w:val="26"/>
        </w:rPr>
        <w:t xml:space="preserve">學習目標</w:t>
      </w:r>
    </w:p>
    <w:p>
      <w:pPr>
        <w:pStyle w:val="ListParagraph"/>
        <w:numPr>
          <w:ilvl w:val="0"/>
          <w:numId w:val="2"/>
        </w:numPr>
        <w:spacing w:after="120" w:line="340"/>
      </w:pPr>
      <w:r>
        <w:rPr>
          <w:rFonts w:ascii="微軟正黑體" w:cs="微軟正黑體" w:eastAsia="微軟正黑體" w:hAnsi="微軟正黑體"/>
          <w:sz w:val="22"/>
          <w:szCs w:val="22"/>
        </w:rPr>
        <w:t xml:space="preserve">能界定政策合法化之意涵與正當性基礎(公共性、選擇性、正當性、威權性),並比較包容、排除、說服三種合法化策略之操作手法與倫理界線。</w:t>
      </w:r>
    </w:p>
    <w:p>
      <w:pPr>
        <w:pStyle w:val="ListParagraph"/>
        <w:numPr>
          <w:ilvl w:val="0"/>
          <w:numId w:val="2"/>
        </w:numPr>
        <w:spacing w:after="120" w:line="340"/>
      </w:pPr>
      <w:r>
        <w:rPr>
          <w:rFonts w:ascii="微軟正黑體" w:cs="微軟正黑體" w:eastAsia="微軟正黑體" w:hAnsi="微軟正黑體"/>
          <w:sz w:val="22"/>
          <w:szCs w:val="22"/>
        </w:rPr>
        <w:t xml:space="preserve">能運用說服參與者三項技巧(利害關係人分析、建構最小獲勝聯盟、時機與框架化)分析立法協商案例。</w:t>
      </w:r>
    </w:p>
    <w:p>
      <w:pPr>
        <w:pStyle w:val="ListParagraph"/>
        <w:numPr>
          <w:ilvl w:val="0"/>
          <w:numId w:val="2"/>
        </w:numPr>
        <w:spacing w:after="120" w:line="340"/>
      </w:pPr>
      <w:r>
        <w:rPr>
          <w:rFonts w:ascii="微軟正黑體" w:cs="微軟正黑體" w:eastAsia="微軟正黑體" w:hAnsi="微軟正黑體"/>
          <w:sz w:val="22"/>
          <w:szCs w:val="22"/>
        </w:rPr>
        <w:t xml:space="preserve">能辨析行政裁量之意涵與功能,並運用K.C. Davis裁量控制三機制(確認範圍、建立結構、事後審查)評估政策制訂階段之裁量規制。</w:t>
      </w:r>
    </w:p>
    <w:p>
      <w:pPr>
        <w:pStyle w:val="ListParagraph"/>
        <w:numPr>
          <w:ilvl w:val="0"/>
          <w:numId w:val="2"/>
        </w:numPr>
        <w:spacing w:after="120" w:line="340"/>
      </w:pPr>
      <w:r>
        <w:rPr>
          <w:rFonts w:ascii="微軟正黑體" w:cs="微軟正黑體" w:eastAsia="微軟正黑體" w:hAnsi="微軟正黑體"/>
          <w:sz w:val="22"/>
          <w:szCs w:val="22"/>
        </w:rPr>
        <w:t xml:space="preserve">能運用審議民主理論,評估審議式民調、公民審議會與線上參與平台對政策正當性之貢獻與侷限。</w:t>
      </w:r>
    </w:p>
    <w:p>
      <w:pPr>
        <w:pStyle w:val="ListParagraph"/>
        <w:numPr>
          <w:ilvl w:val="0"/>
          <w:numId w:val="2"/>
        </w:numPr>
        <w:spacing w:after="120" w:line="340"/>
      </w:pPr>
      <w:r>
        <w:rPr>
          <w:rFonts w:ascii="微軟正黑體" w:cs="微軟正黑體" w:eastAsia="微軟正黑體" w:hAnsi="微軟正黑體"/>
          <w:sz w:val="22"/>
          <w:szCs w:val="22"/>
        </w:rPr>
        <w:t xml:space="preserve">能分析AI鑲嵌後政策制訂階段之P2行政裁量權移轉、權威重構效應與權威鏈正當性危機,並設計四鏈七審之因應機制。</w:t>
      </w:r>
    </w:p>
    <w:p>
      <w:pPr>
        <w:pStyle w:val="ListParagraph"/>
        <w:numPr>
          <w:ilvl w:val="0"/>
          <w:numId w:val="2"/>
        </w:numPr>
        <w:spacing w:after="120" w:line="340"/>
      </w:pPr>
      <w:r>
        <w:rPr>
          <w:rFonts w:ascii="微軟正黑體" w:cs="微軟正黑體" w:eastAsia="微軟正黑體" w:hAnsi="微軟正黑體"/>
          <w:sz w:val="22"/>
          <w:szCs w:val="22"/>
        </w:rPr>
        <w:t xml:space="preserve">能運用監管沙盒、演算法影響評估等工具,評估台灣AI輔助決策案例之治理設計,並掌握《人工智慧基本法》之立法動態。</w:t>
      </w:r>
    </w:p>
    <w:p>
      <w:pPr>
        <w:spacing w:after="180" w:before="360"/>
      </w:pPr>
      <w:r>
        <w:rPr>
          <w:rFonts w:ascii="微軟正黑體" w:cs="微軟正黑體" w:eastAsia="微軟正黑體" w:hAnsi="微軟正黑體"/>
          <w:b/>
          <w:bCs/>
          <w:color w:val="1F4E79"/>
          <w:sz w:val="26"/>
          <w:szCs w:val="26"/>
        </w:rPr>
        <w:t xml:space="preserve">開場與定位</w:t>
      </w:r>
    </w:p>
    <w:p>
      <w:pPr>
        <w:spacing w:after="240" w:line="340"/>
        <w:ind w:left="576" w:right="576"/>
      </w:pPr>
      <w:r>
        <w:rPr>
          <w:rFonts w:ascii="微軟正黑體" w:cs="微軟正黑體" w:eastAsia="微軟正黑體" w:hAnsi="微軟正黑體"/>
          <w:i/>
          <w:iCs/>
          <w:sz w:val="21"/>
          <w:szCs w:val="21"/>
        </w:rPr>
        <w:t xml:space="preserve">「唯有那些能被所有相關者在理性論辯中所接受的規範,才能宣稱具有正當性。」——Jürgen Habermas,《Between Facts and Norms》(1996)改寫</w:t>
      </w:r>
    </w:p>
    <w:p>
      <w:pPr>
        <w:spacing w:after="200" w:line="360"/>
        <w:ind w:firstLine="431"/>
        <w:jc w:val="both"/>
      </w:pPr>
      <w:r>
        <w:rPr>
          <w:rFonts w:ascii="微軟正黑體" w:cs="微軟正黑體" w:eastAsia="微軟正黑體" w:hAnsi="微軟正黑體"/>
          <w:sz w:val="22"/>
          <w:szCs w:val="22"/>
        </w:rPr>
        <w:t xml:space="preserve">承第十一章「政策規劃」之討論——當替選方案已經被設計、被排序、被推薦,行政機關面對的下一個關卡是:「這個方案能不能過關?」政策合法化(Policy Legitimation)正是政策方案取得正式地位、得以付諸執行的正當性建構過程。它不只是送進立法院、蓋一個章的程序性動作,而是涉及公共性、選擇性、正當性與威權性四重意涵的政治工程——任何方案一旦通過,就會產生贏家與輸家,而輸家為何願意接受、又是否真的心服口服,決定了政策能否被長期遵行。</w:t>
      </w:r>
    </w:p>
    <w:p>
      <w:pPr>
        <w:spacing w:after="200" w:line="360"/>
        <w:ind w:firstLine="431"/>
        <w:jc w:val="both"/>
      </w:pPr>
      <w:r>
        <w:rPr>
          <w:rFonts w:ascii="微軟正黑體" w:cs="微軟正黑體" w:eastAsia="微軟正黑體" w:hAnsi="微軟正黑體"/>
          <w:sz w:val="22"/>
          <w:szCs w:val="22"/>
        </w:rPr>
        <w:t xml:space="preserve">本章從政策合法化的定義與三大策略出發,進一步追問:當制訂者面對AI輔助決策系統預先排序、附加風險標籤的建議時,他們手中還剩下多少真正屬於自己的裁量空間?又當審議民主與公民參與工具日益數位化,合法化的正當性基礎,是否也正在被演算法悄悄重新定義?</w:t>
      </w:r>
    </w:p>
    <w:p>
      <w:pPr>
        <w:spacing w:after="180" w:before="360"/>
      </w:pPr>
      <w:r>
        <w:rPr>
          <w:rFonts w:ascii="微軟正黑體" w:cs="微軟正黑體" w:eastAsia="微軟正黑體" w:hAnsi="微軟正黑體"/>
          <w:b/>
          <w:bCs/>
          <w:color w:val="1F4E79"/>
          <w:sz w:val="26"/>
          <w:szCs w:val="26"/>
        </w:rPr>
        <w:t xml:space="preserve">本章概念架構</w:t>
      </w:r>
    </w:p>
    <w:p>
      <w:pPr>
        <w:spacing w:after="200" w:line="360"/>
        <w:ind w:firstLine="431"/>
        <w:jc w:val="both"/>
      </w:pPr>
      <w:r>
        <w:rPr>
          <w:rFonts w:ascii="微軟正黑體" w:cs="微軟正黑體" w:eastAsia="微軟正黑體" w:hAnsi="微軟正黑體"/>
          <w:sz w:val="22"/>
          <w:szCs w:val="22"/>
        </w:rPr>
        <w:t xml:space="preserve">本章可分為三個相互銜接的分析層次:</w:t>
      </w:r>
    </w:p>
    <w:p>
      <w:pPr>
        <w:pStyle w:val="ListParagraph"/>
        <w:numPr>
          <w:ilvl w:val="0"/>
          <w:numId w:val="2"/>
        </w:numPr>
        <w:spacing w:after="120" w:line="340"/>
      </w:pPr>
      <w:r>
        <w:rPr>
          <w:rFonts w:ascii="微軟正黑體" w:cs="微軟正黑體" w:eastAsia="微軟正黑體" w:hAnsi="微軟正黑體"/>
          <w:sz w:val="22"/>
          <w:szCs w:val="22"/>
        </w:rPr>
        <w:t xml:space="preserve">政策合法化的基礎:合法化之定義與四重意涵;包容、排除、說服三策略;說服參與者之三項技巧。</w:t>
      </w:r>
    </w:p>
    <w:p>
      <w:pPr>
        <w:pStyle w:val="ListParagraph"/>
        <w:numPr>
          <w:ilvl w:val="0"/>
          <w:numId w:val="2"/>
        </w:numPr>
        <w:spacing w:after="120" w:line="340"/>
      </w:pPr>
      <w:r>
        <w:rPr>
          <w:rFonts w:ascii="微軟正黑體" w:cs="微軟正黑體" w:eastAsia="微軟正黑體" w:hAnsi="微軟正黑體"/>
          <w:sz w:val="22"/>
          <w:szCs w:val="22"/>
        </w:rPr>
        <w:t xml:space="preserve">裁量與審議的正當性基礎:行政裁量之意涵與K.C. Davis三種控制機制;審議民主之基本主張與公民參與工具(審議式民調、公民審議會、線上參與平台)。</w:t>
      </w:r>
    </w:p>
    <w:p>
      <w:pPr>
        <w:pStyle w:val="ListParagraph"/>
        <w:numPr>
          <w:ilvl w:val="0"/>
          <w:numId w:val="2"/>
        </w:numPr>
        <w:spacing w:after="120" w:line="340"/>
      </w:pPr>
      <w:r>
        <w:rPr>
          <w:rFonts w:ascii="微軟正黑體" w:cs="微軟正黑體" w:eastAsia="微軟正黑體" w:hAnsi="微軟正黑體"/>
          <w:sz w:val="22"/>
          <w:szCs w:val="22"/>
        </w:rPr>
        <w:t xml:space="preserve">AI輔助決策與合法化的正當性挑戰:AI建議如何模糊化制訂者之裁量空間;可解釋性說服;台灣《人工智慧基本法》之治理框架;監管沙盒與演算法影響評估等工具箱。</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本章分析流程</w:t>
            </w:r>
          </w:p>
          <w:p>
            <w:pPr>
              <w:spacing w:line="340"/>
              <w:jc w:val="both"/>
            </w:pPr>
            <w:r>
              <w:rPr>
                <w:rFonts w:ascii="微軟正黑體" w:cs="微軟正黑體" w:eastAsia="微軟正黑體" w:hAnsi="微軟正黑體"/>
                <w:sz w:val="21"/>
                <w:szCs w:val="21"/>
              </w:rPr>
              <w:t xml:space="preserve">方案已規劃(承第十一章)　→　利害關係人分析　→　選擇合法化策略(包容╱排除╱說服)　→　取得正式地位(立法╱行政程序)　→　確認裁量邊界與課責　→　銜接政策執行(第十三章)</w:t>
            </w:r>
          </w:p>
        </w:tc>
      </w:tr>
    </w:tbl>
    <w:p>
      <w:pPr>
        <w:spacing w:after="200" w:line="360"/>
        <w:ind w:firstLine="431"/>
        <w:jc w:val="both"/>
      </w:pPr>
      <w:r>
        <w:rPr>
          <w:rFonts w:ascii="微軟正黑體" w:cs="微軟正黑體" w:eastAsia="微軟正黑體" w:hAnsi="微軟正黑體"/>
          <w:sz w:val="22"/>
          <w:szCs w:val="22"/>
        </w:rPr>
        <w:t xml:space="preserve">這個架構顯示,政策制訂不是規劃完成後的橡皮圖章程序,而是一個必須不斷回答「誰同意」、「誰負責」的正當性建構過程——而AI輔助決策系統的介入,正在考驗這個過程能否繼續保有真實的裁量與審議空間。</w:t>
      </w:r>
    </w:p>
    <w:p>
      <w:pPr>
        <w:spacing w:after="180" w:before="360"/>
      </w:pPr>
      <w:r>
        <w:rPr>
          <w:rFonts w:ascii="微軟正黑體" w:cs="微軟正黑體" w:eastAsia="微軟正黑體" w:hAnsi="微軟正黑體"/>
          <w:b/>
          <w:bCs/>
          <w:color w:val="1F4E79"/>
          <w:sz w:val="26"/>
          <w:szCs w:val="26"/>
        </w:rPr>
        <w:t xml:space="preserve">第一節　政策合法化的意涵與策略</w:t>
      </w:r>
    </w:p>
    <w:p>
      <w:pPr>
        <w:spacing w:after="140" w:before="260"/>
      </w:pPr>
      <w:r>
        <w:rPr>
          <w:rFonts w:ascii="微軟正黑體" w:cs="微軟正黑體" w:eastAsia="微軟正黑體" w:hAnsi="微軟正黑體"/>
          <w:b/>
          <w:bCs/>
          <w:color w:val="2E5C8A"/>
          <w:sz w:val="23"/>
          <w:szCs w:val="23"/>
        </w:rPr>
        <w:t xml:space="preserve">一、政策合法化的定義</w:t>
      </w:r>
    </w:p>
    <w:p>
      <w:pPr>
        <w:spacing w:after="200" w:line="360"/>
        <w:ind w:firstLine="431"/>
        <w:jc w:val="both"/>
      </w:pPr>
      <w:r>
        <w:rPr>
          <w:rFonts w:ascii="微軟正黑體" w:cs="微軟正黑體" w:eastAsia="微軟正黑體" w:hAnsi="微軟正黑體"/>
          <w:sz w:val="22"/>
          <w:szCs w:val="22"/>
        </w:rPr>
        <w:t xml:space="preserve">政策合法化(policy legitimation)指政府機關將政策方案提經有權核准之機關、團體或個人,如議會、上級機關或民意授權機制,進行審議、核准,完成立法或行政程序,以取得正式合法地位,得以付諸執行之動態過程。其不僅是法律程序,更是正當性建構過程。學理上,政策合法化具有四重意涵:</w:t>
      </w:r>
    </w:p>
    <w:p>
      <w:pPr>
        <w:pStyle w:val="ListParagraph"/>
        <w:numPr>
          <w:ilvl w:val="0"/>
          <w:numId w:val="2"/>
        </w:numPr>
        <w:spacing w:after="120" w:line="340"/>
      </w:pPr>
      <w:r>
        <w:rPr>
          <w:rFonts w:ascii="微軟正黑體" w:cs="微軟正黑體" w:eastAsia="微軟正黑體" w:hAnsi="微軟正黑體"/>
          <w:sz w:val="22"/>
          <w:szCs w:val="22"/>
        </w:rPr>
        <w:t xml:space="preserve">公共性:政策牽涉大眾事務,涉及成本與效益在利害關係人間之重分配,必須透過公開程序處理。</w:t>
      </w:r>
    </w:p>
    <w:p>
      <w:pPr>
        <w:pStyle w:val="ListParagraph"/>
        <w:numPr>
          <w:ilvl w:val="0"/>
          <w:numId w:val="2"/>
        </w:numPr>
        <w:spacing w:after="120" w:line="340"/>
      </w:pPr>
      <w:r>
        <w:rPr>
          <w:rFonts w:ascii="微軟正黑體" w:cs="微軟正黑體" w:eastAsia="微軟正黑體" w:hAnsi="微軟正黑體"/>
          <w:sz w:val="22"/>
          <w:szCs w:val="22"/>
        </w:rPr>
        <w:t xml:space="preserve">選擇性:從眾多方案中擇一,排除其他,產生贏家與輸家。</w:t>
      </w:r>
    </w:p>
    <w:p>
      <w:pPr>
        <w:pStyle w:val="ListParagraph"/>
        <w:numPr>
          <w:ilvl w:val="0"/>
          <w:numId w:val="2"/>
        </w:numPr>
        <w:spacing w:after="120" w:line="340"/>
      </w:pPr>
      <w:r>
        <w:rPr>
          <w:rFonts w:ascii="微軟正黑體" w:cs="微軟正黑體" w:eastAsia="微軟正黑體" w:hAnsi="微軟正黑體"/>
          <w:sz w:val="22"/>
          <w:szCs w:val="22"/>
        </w:rPr>
        <w:t xml:space="preserve">正當性:透過法定程序取得合法地位,亦即統治正當性的展現,包含程序正當與實質正當。</w:t>
      </w:r>
    </w:p>
    <w:p>
      <w:pPr>
        <w:pStyle w:val="ListParagraph"/>
        <w:numPr>
          <w:ilvl w:val="0"/>
          <w:numId w:val="2"/>
        </w:numPr>
        <w:spacing w:after="120" w:line="340"/>
      </w:pPr>
      <w:r>
        <w:rPr>
          <w:rFonts w:ascii="微軟正黑體" w:cs="微軟正黑體" w:eastAsia="微軟正黑體" w:hAnsi="微軟正黑體"/>
          <w:sz w:val="22"/>
          <w:szCs w:val="22"/>
        </w:rPr>
        <w:t xml:space="preserve">威權性:合法化後具有拘束力,標的團體需順服,否則有制裁。正當性不等於合意,而是可接受性。</w:t>
      </w:r>
    </w:p>
    <w:p>
      <w:pPr>
        <w:spacing w:after="140" w:before="260"/>
      </w:pPr>
      <w:r>
        <w:rPr>
          <w:rFonts w:ascii="微軟正黑體" w:cs="微軟正黑體" w:eastAsia="微軟正黑體" w:hAnsi="微軟正黑體"/>
          <w:b/>
          <w:bCs/>
          <w:color w:val="2E5C8A"/>
          <w:sz w:val="23"/>
          <w:szCs w:val="23"/>
        </w:rPr>
        <w:t xml:space="preserve">二、合法化的三策略</w:t>
      </w:r>
    </w:p>
    <w:p>
      <w:pPr>
        <w:spacing w:after="200" w:line="360"/>
        <w:ind w:firstLine="431"/>
        <w:jc w:val="both"/>
      </w:pPr>
      <w:r>
        <w:rPr>
          <w:rFonts w:ascii="微軟正黑體" w:cs="微軟正黑體" w:eastAsia="微軟正黑體" w:hAnsi="微軟正黑體"/>
          <w:sz w:val="22"/>
          <w:szCs w:val="22"/>
        </w:rPr>
        <w:t xml:space="preserve">依學者歸納,合法化策略可分為三類,實務上常混合運用:</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2200"/>
        <w:gridCol w:w="5226"/>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策略類型</w:t>
            </w:r>
          </w:p>
        </w:tc>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核心手法</w:t>
            </w:r>
          </w:p>
        </w:tc>
        <w:tc>
          <w:tcPr>
            <w:tcW w:type="dxa" w:w="52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內涵與案例</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包容策略</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諮商、建立聯盟、妥協</w:t>
            </w:r>
          </w:p>
        </w:tc>
        <w:tc>
          <w:tcPr>
            <w:tcW w:type="dxa" w:w="5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透過擴大參與、納入多元利害關係人,以降低阻力。如行政院在重大修法前舉行公聽會、與黨團協商、與利害團體建立政策聯盟,或採折衷方案以換取支持。屬聚合性策略。</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排除策略</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繞道、保持秘密、欺騙</w:t>
            </w:r>
          </w:p>
        </w:tc>
        <w:tc>
          <w:tcPr>
            <w:tcW w:type="dxa" w:w="5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透過程序控制或資訊不對稱,排除反對者。如選擇有利的審查委員會繞道、控制議程設定時機、選擇性釋放資訊。學理上具爭議,但在高度衝突議題中常見,需受民主課責檢視。</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說服策略</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雄辯、分析、抗議</w:t>
            </w:r>
          </w:p>
        </w:tc>
        <w:tc>
          <w:tcPr>
            <w:tcW w:type="dxa" w:w="5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運用政策論證與溝通爭取多數。如以數據分析證明政策效益、以價值雄辯訴諸公共利益,或動員支持者以抗議方式製造民意壓力。為民主體制主要機制。</w:t>
            </w:r>
          </w:p>
        </w:tc>
      </w:tr>
    </w:tbl>
    <w:p>
      <w:pPr>
        <w:spacing w:after="280" w:before="120"/>
        <w:jc w:val="center"/>
      </w:pPr>
      <w:r>
        <w:rPr>
          <w:rFonts w:ascii="微軟正黑體" w:cs="微軟正黑體" w:eastAsia="微軟正黑體" w:hAnsi="微軟正黑體"/>
          <w:i/>
          <w:iCs/>
          <w:color w:val="555555"/>
          <w:sz w:val="18"/>
          <w:szCs w:val="18"/>
        </w:rPr>
        <w:t xml:space="preserve">表12-1　政策合法化三策略</w:t>
      </w:r>
    </w:p>
    <w:p>
      <w:pPr>
        <w:spacing w:after="140" w:before="260"/>
      </w:pPr>
      <w:r>
        <w:rPr>
          <w:rFonts w:ascii="微軟正黑體" w:cs="微軟正黑體" w:eastAsia="微軟正黑體" w:hAnsi="微軟正黑體"/>
          <w:b/>
          <w:bCs/>
          <w:color w:val="2E5C8A"/>
          <w:sz w:val="23"/>
          <w:szCs w:val="23"/>
        </w:rPr>
        <w:t xml:space="preserve">三、說服參與者的技巧</w:t>
      </w:r>
    </w:p>
    <w:p>
      <w:pPr>
        <w:spacing w:after="200" w:line="360"/>
        <w:ind w:firstLine="431"/>
        <w:jc w:val="both"/>
      </w:pPr>
      <w:r>
        <w:rPr>
          <w:rFonts w:ascii="微軟正黑體" w:cs="微軟正黑體" w:eastAsia="微軟正黑體" w:hAnsi="微軟正黑體"/>
          <w:sz w:val="22"/>
          <w:szCs w:val="22"/>
        </w:rPr>
        <w:t xml:space="preserve">合法化成敗取決於說服,三項關鍵技巧為:第一,了解參與者立場,掌握其利益、意識形態與權力資源,進行利害關係人分析;第二,建立支持多數,透過政策論證、議價協商、遊說與聯盟,建構最小獲勝聯盟;第三,採取適當作法,包含時機選擇、舞台管理與論述框架化。實務上,行政機關常在法案送立法院前,透過支持其立場之壓力團體向立法機關施壓、進行黨政協調或試探性釋放消息,以測風向。</w:t>
      </w:r>
    </w:p>
    <w:p>
      <w:pPr>
        <w:spacing w:after="140" w:before="260"/>
      </w:pPr>
      <w:r>
        <w:rPr>
          <w:rFonts w:ascii="微軟正黑體" w:cs="微軟正黑體" w:eastAsia="微軟正黑體" w:hAnsi="微軟正黑體"/>
          <w:b/>
          <w:bCs/>
          <w:color w:val="2E5C8A"/>
          <w:sz w:val="23"/>
          <w:szCs w:val="23"/>
        </w:rPr>
        <w:t xml:space="preserve">四、合法性與正當性之區別</w:t>
      </w:r>
    </w:p>
    <w:p>
      <w:pPr>
        <w:spacing w:after="200" w:line="360"/>
        <w:ind w:firstLine="431"/>
        <w:jc w:val="both"/>
      </w:pPr>
      <w:r>
        <w:rPr>
          <w:rFonts w:ascii="微軟正黑體" w:cs="微軟正黑體" w:eastAsia="微軟正黑體" w:hAnsi="微軟正黑體"/>
          <w:sz w:val="22"/>
          <w:szCs w:val="22"/>
        </w:rPr>
        <w:t xml:space="preserve">政策制訂至少涉及兩個不同層次:合法性(legality)指政策是否由有權機關依照法定權限與程序作成;正當性(legitimacy)指政策是否具有可被社會接受與公開辯護的理由。一項政策可能具備形式合法性,卻缺乏實質正當性。例如,機關依照法定程序完成政策制訂,但事前未提供充分資訊、未給予受影響者表達意見的機會,或決策理由完全依賴不可檢驗的AI輸出,此時政策可能「合法」,卻仍面臨正當性不足的問題。可用下列四項問題檢核:</w:t>
      </w:r>
    </w:p>
    <w:p>
      <w:pPr>
        <w:pStyle w:val="ListParagraph"/>
        <w:numPr>
          <w:ilvl w:val="0"/>
          <w:numId w:val="2"/>
        </w:numPr>
        <w:spacing w:after="120" w:line="340"/>
      </w:pPr>
      <w:r>
        <w:rPr>
          <w:rFonts w:ascii="微軟正黑體" w:cs="微軟正黑體" w:eastAsia="微軟正黑體" w:hAnsi="微軟正黑體"/>
          <w:sz w:val="22"/>
          <w:szCs w:val="22"/>
        </w:rPr>
        <w:t xml:space="preserve">誰有權作成決定?</w:t>
      </w:r>
    </w:p>
    <w:p>
      <w:pPr>
        <w:pStyle w:val="ListParagraph"/>
        <w:numPr>
          <w:ilvl w:val="0"/>
          <w:numId w:val="2"/>
        </w:numPr>
        <w:spacing w:after="120" w:line="340"/>
      </w:pPr>
      <w:r>
        <w:rPr>
          <w:rFonts w:ascii="微軟正黑體" w:cs="微軟正黑體" w:eastAsia="微軟正黑體" w:hAnsi="微軟正黑體"/>
          <w:sz w:val="22"/>
          <w:szCs w:val="22"/>
        </w:rPr>
        <w:t xml:space="preserve">是否依照法定程序作成?</w:t>
      </w:r>
    </w:p>
    <w:p>
      <w:pPr>
        <w:pStyle w:val="ListParagraph"/>
        <w:numPr>
          <w:ilvl w:val="0"/>
          <w:numId w:val="2"/>
        </w:numPr>
        <w:spacing w:after="120" w:line="340"/>
      </w:pPr>
      <w:r>
        <w:rPr>
          <w:rFonts w:ascii="微軟正黑體" w:cs="微軟正黑體" w:eastAsia="微軟正黑體" w:hAnsi="微軟正黑體"/>
          <w:sz w:val="22"/>
          <w:szCs w:val="22"/>
        </w:rPr>
        <w:t xml:space="preserve">受影響者是否獲得實質參與機會?</w:t>
      </w:r>
    </w:p>
    <w:p>
      <w:pPr>
        <w:pStyle w:val="ListParagraph"/>
        <w:numPr>
          <w:ilvl w:val="0"/>
          <w:numId w:val="2"/>
        </w:numPr>
        <w:spacing w:after="120" w:line="340"/>
      </w:pPr>
      <w:r>
        <w:rPr>
          <w:rFonts w:ascii="微軟正黑體" w:cs="微軟正黑體" w:eastAsia="微軟正黑體" w:hAnsi="微軟正黑體"/>
          <w:sz w:val="22"/>
          <w:szCs w:val="22"/>
        </w:rPr>
        <w:t xml:space="preserve">決定理由是否公開、可理解且可質疑?</w:t>
      </w:r>
    </w:p>
    <w:p>
      <w:pPr>
        <w:spacing w:after="240" w:line="340"/>
        <w:ind w:left="576" w:right="576"/>
      </w:pPr>
      <w:r>
        <w:rPr>
          <w:rFonts w:ascii="微軟正黑體" w:cs="微軟正黑體" w:eastAsia="微軟正黑體" w:hAnsi="微軟正黑體"/>
          <w:i/>
          <w:iCs/>
          <w:sz w:val="21"/>
          <w:szCs w:val="21"/>
        </w:rPr>
        <w:t xml:space="preserve">合法性回答「有沒有權限」,正當性回答「是否值得接受」。</w:t>
      </w:r>
    </w:p>
    <w:p>
      <w:pPr>
        <w:spacing w:after="140" w:before="260"/>
      </w:pPr>
      <w:r>
        <w:rPr>
          <w:rFonts w:ascii="微軟正黑體" w:cs="微軟正黑體" w:eastAsia="微軟正黑體" w:hAnsi="微軟正黑體"/>
          <w:b/>
          <w:bCs/>
          <w:color w:val="2E5C8A"/>
          <w:sz w:val="23"/>
          <w:szCs w:val="23"/>
        </w:rPr>
        <w:t xml:space="preserve">五、政策制訂的正式程序:六階段</w:t>
      </w:r>
    </w:p>
    <w:p>
      <w:pPr>
        <w:spacing w:after="200" w:line="360"/>
        <w:ind w:firstLine="431"/>
        <w:jc w:val="both"/>
      </w:pPr>
      <w:r>
        <w:rPr>
          <w:rFonts w:ascii="微軟正黑體" w:cs="微軟正黑體" w:eastAsia="微軟正黑體" w:hAnsi="微軟正黑體"/>
          <w:sz w:val="22"/>
          <w:szCs w:val="22"/>
        </w:rPr>
        <w:t xml:space="preserve">政策規劃提出的是可行選項,政策制訂則是由有權機關作成具有拘束力的正式決定。為釐清兩者之區別,可將政策制訂拆解為以下六個階段:</w:t>
      </w:r>
    </w:p>
    <w:p>
      <w:pPr>
        <w:pStyle w:val="ListParagraph"/>
        <w:numPr>
          <w:ilvl w:val="0"/>
          <w:numId w:val="2"/>
        </w:numPr>
        <w:spacing w:after="120" w:line="340"/>
      </w:pPr>
      <w:r>
        <w:rPr>
          <w:rFonts w:ascii="微軟正黑體" w:cs="微軟正黑體" w:eastAsia="微軟正黑體" w:hAnsi="微軟正黑體"/>
          <w:sz w:val="22"/>
          <w:szCs w:val="22"/>
        </w:rPr>
        <w:t xml:space="preserve">提出方案:將第十一章完成的替選方案轉化為正式政策草案。</w:t>
      </w:r>
    </w:p>
    <w:p>
      <w:pPr>
        <w:pStyle w:val="ListParagraph"/>
        <w:numPr>
          <w:ilvl w:val="0"/>
          <w:numId w:val="2"/>
        </w:numPr>
        <w:spacing w:after="120" w:line="340"/>
      </w:pPr>
      <w:r>
        <w:rPr>
          <w:rFonts w:ascii="微軟正黑體" w:cs="微軟正黑體" w:eastAsia="微軟正黑體" w:hAnsi="微軟正黑體"/>
          <w:sz w:val="22"/>
          <w:szCs w:val="22"/>
        </w:rPr>
        <w:t xml:space="preserve">確認權責:判斷應由法律、行政命令、行政規則、預算或其他政策工具處理。</w:t>
      </w:r>
    </w:p>
    <w:p>
      <w:pPr>
        <w:pStyle w:val="ListParagraph"/>
        <w:numPr>
          <w:ilvl w:val="0"/>
          <w:numId w:val="2"/>
        </w:numPr>
        <w:spacing w:after="120" w:line="340"/>
      </w:pPr>
      <w:r>
        <w:rPr>
          <w:rFonts w:ascii="微軟正黑體" w:cs="微軟正黑體" w:eastAsia="微軟正黑體" w:hAnsi="微軟正黑體"/>
          <w:sz w:val="22"/>
          <w:szCs w:val="22"/>
        </w:rPr>
        <w:t xml:space="preserve">利害關係人協商:蒐集產業、地方政府、公民團體、專業組織與受影響者意見。</w:t>
      </w:r>
    </w:p>
    <w:p>
      <w:pPr>
        <w:pStyle w:val="ListParagraph"/>
        <w:numPr>
          <w:ilvl w:val="0"/>
          <w:numId w:val="2"/>
        </w:numPr>
        <w:spacing w:after="120" w:line="340"/>
      </w:pPr>
      <w:r>
        <w:rPr>
          <w:rFonts w:ascii="微軟正黑體" w:cs="微軟正黑體" w:eastAsia="微軟正黑體" w:hAnsi="微軟正黑體"/>
          <w:sz w:val="22"/>
          <w:szCs w:val="22"/>
        </w:rPr>
        <w:t xml:space="preserve">合法性審查:檢視法律授權、基本權限制、平等原則、比例原則與財政負擔。</w:t>
      </w:r>
    </w:p>
    <w:p>
      <w:pPr>
        <w:pStyle w:val="ListParagraph"/>
        <w:numPr>
          <w:ilvl w:val="0"/>
          <w:numId w:val="2"/>
        </w:numPr>
        <w:spacing w:after="120" w:line="340"/>
      </w:pPr>
      <w:r>
        <w:rPr>
          <w:rFonts w:ascii="微軟正黑體" w:cs="微軟正黑體" w:eastAsia="微軟正黑體" w:hAnsi="微軟正黑體"/>
          <w:sz w:val="22"/>
          <w:szCs w:val="22"/>
        </w:rPr>
        <w:t xml:space="preserve">正式決定:依權責完成立法、行政命令、議會決議、預算核定或機關核定。</w:t>
      </w:r>
    </w:p>
    <w:p>
      <w:pPr>
        <w:pStyle w:val="ListParagraph"/>
        <w:numPr>
          <w:ilvl w:val="0"/>
          <w:numId w:val="2"/>
        </w:numPr>
        <w:spacing w:after="120" w:line="340"/>
      </w:pPr>
      <w:r>
        <w:rPr>
          <w:rFonts w:ascii="微軟正黑體" w:cs="微軟正黑體" w:eastAsia="微軟正黑體" w:hAnsi="微軟正黑體"/>
          <w:sz w:val="22"/>
          <w:szCs w:val="22"/>
        </w:rPr>
        <w:t xml:space="preserve">公布與理由說明:說明政策目標、採用方案、未採用方案、預期效果與可能風險。</w:t>
      </w:r>
    </w:p>
    <w:p>
      <w:pPr>
        <w:spacing w:after="240" w:line="340"/>
        <w:ind w:left="576" w:right="576"/>
      </w:pPr>
      <w:r>
        <w:rPr>
          <w:rFonts w:ascii="微軟正黑體" w:cs="微軟正黑體" w:eastAsia="微軟正黑體" w:hAnsi="微軟正黑體"/>
          <w:i/>
          <w:iCs/>
          <w:sz w:val="21"/>
          <w:szCs w:val="21"/>
        </w:rPr>
        <w:t xml:space="preserve">方案規劃　→　權責確認　→　諮詢協商　→　法律審查　→　正式決定　→　公布說理</w:t>
      </w:r>
    </w:p>
    <w:p>
      <w:pPr>
        <w:spacing w:after="140" w:before="260"/>
      </w:pPr>
      <w:r>
        <w:rPr>
          <w:rFonts w:ascii="微軟正黑體" w:cs="微軟正黑體" w:eastAsia="微軟正黑體" w:hAnsi="微軟正黑體"/>
          <w:b/>
          <w:bCs/>
          <w:color w:val="2E5C8A"/>
          <w:sz w:val="23"/>
          <w:szCs w:val="23"/>
        </w:rPr>
        <w:t xml:space="preserve">六、排除策略的倫理界線</w:t>
      </w:r>
    </w:p>
    <w:p>
      <w:pPr>
        <w:spacing w:after="200" w:line="360"/>
        <w:ind w:firstLine="431"/>
        <w:jc w:val="both"/>
      </w:pPr>
      <w:r>
        <w:rPr>
          <w:rFonts w:ascii="微軟正黑體" w:cs="微軟正黑體" w:eastAsia="微軟正黑體" w:hAnsi="微軟正黑體"/>
          <w:sz w:val="22"/>
          <w:szCs w:val="22"/>
        </w:rPr>
        <w:t xml:space="preserve">排除策略雖為合法化三策略之一,但不應被誤解為「排除反對者」是常態的行政技巧。排除策略若涉及以下情形,通常具有高度正當性疑慮:</w:t>
      </w:r>
    </w:p>
    <w:p>
      <w:pPr>
        <w:pStyle w:val="ListParagraph"/>
        <w:numPr>
          <w:ilvl w:val="0"/>
          <w:numId w:val="2"/>
        </w:numPr>
        <w:spacing w:after="120" w:line="340"/>
      </w:pPr>
      <w:r>
        <w:rPr>
          <w:rFonts w:ascii="微軟正黑體" w:cs="微軟正黑體" w:eastAsia="微軟正黑體" w:hAnsi="微軟正黑體"/>
          <w:sz w:val="22"/>
          <w:szCs w:val="22"/>
        </w:rPr>
        <w:t xml:space="preserve">故意隱匿對政策不利的證據。</w:t>
      </w:r>
    </w:p>
    <w:p>
      <w:pPr>
        <w:pStyle w:val="ListParagraph"/>
        <w:numPr>
          <w:ilvl w:val="0"/>
          <w:numId w:val="2"/>
        </w:numPr>
        <w:spacing w:after="120" w:line="340"/>
      </w:pPr>
      <w:r>
        <w:rPr>
          <w:rFonts w:ascii="微軟正黑體" w:cs="微軟正黑體" w:eastAsia="微軟正黑體" w:hAnsi="微軟正黑體"/>
          <w:sz w:val="22"/>
          <w:szCs w:val="22"/>
        </w:rPr>
        <w:t xml:space="preserve">以不合理程序限制特定群體參與。</w:t>
      </w:r>
    </w:p>
    <w:p>
      <w:pPr>
        <w:pStyle w:val="ListParagraph"/>
        <w:numPr>
          <w:ilvl w:val="0"/>
          <w:numId w:val="2"/>
        </w:numPr>
        <w:spacing w:after="120" w:line="340"/>
      </w:pPr>
      <w:r>
        <w:rPr>
          <w:rFonts w:ascii="微軟正黑體" w:cs="微軟正黑體" w:eastAsia="微軟正黑體" w:hAnsi="微軟正黑體"/>
          <w:sz w:val="22"/>
          <w:szCs w:val="22"/>
        </w:rPr>
        <w:t xml:space="preserve">操縱議程,使反對意見無法進入正式討論。</w:t>
      </w:r>
    </w:p>
    <w:p>
      <w:pPr>
        <w:pStyle w:val="ListParagraph"/>
        <w:numPr>
          <w:ilvl w:val="0"/>
          <w:numId w:val="2"/>
        </w:numPr>
        <w:spacing w:after="120" w:line="340"/>
      </w:pPr>
      <w:r>
        <w:rPr>
          <w:rFonts w:ascii="微軟正黑體" w:cs="微軟正黑體" w:eastAsia="微軟正黑體" w:hAnsi="微軟正黑體"/>
          <w:sz w:val="22"/>
          <w:szCs w:val="22"/>
        </w:rPr>
        <w:t xml:space="preserve">以技術性資料門檻排除一般公民。</w:t>
      </w:r>
    </w:p>
    <w:p>
      <w:pPr>
        <w:pStyle w:val="ListParagraph"/>
        <w:numPr>
          <w:ilvl w:val="0"/>
          <w:numId w:val="2"/>
        </w:numPr>
        <w:spacing w:after="120" w:line="340"/>
      </w:pPr>
      <w:r>
        <w:rPr>
          <w:rFonts w:ascii="微軟正黑體" w:cs="微軟正黑體" w:eastAsia="微軟正黑體" w:hAnsi="微軟正黑體"/>
          <w:sz w:val="22"/>
          <w:szCs w:val="22"/>
        </w:rPr>
        <w:t xml:space="preserve">利用AI摘要刪除少數或反對意見。</w:t>
      </w:r>
    </w:p>
    <w:p>
      <w:pPr>
        <w:pStyle w:val="ListParagraph"/>
        <w:numPr>
          <w:ilvl w:val="0"/>
          <w:numId w:val="2"/>
        </w:numPr>
        <w:spacing w:after="120" w:line="340"/>
      </w:pPr>
      <w:r>
        <w:rPr>
          <w:rFonts w:ascii="微軟正黑體" w:cs="微軟正黑體" w:eastAsia="微軟正黑體" w:hAnsi="微軟正黑體"/>
          <w:sz w:val="22"/>
          <w:szCs w:val="22"/>
        </w:rPr>
        <w:t xml:space="preserve">透過不透明模型製造「社會已經形成共識」的假象。</w:t>
      </w:r>
    </w:p>
    <w:p>
      <w:pPr>
        <w:spacing w:after="200" w:line="360"/>
        <w:ind w:firstLine="431"/>
        <w:jc w:val="both"/>
      </w:pPr>
      <w:r>
        <w:rPr>
          <w:rFonts w:ascii="微軟正黑體" w:cs="微軟正黑體" w:eastAsia="微軟正黑體" w:hAnsi="微軟正黑體"/>
          <w:sz w:val="22"/>
          <w:szCs w:val="22"/>
        </w:rPr>
        <w:t xml:space="preserve">相對地,以下情形可能屬於正當的程序管理:排除重複、侮辱或明顯與議題無關的內容;依事先公布的規則安排發言時間;保護個人隱私與敏感資料;防止機器人灌票、假帳號或惡意操弄;對專業技術資料進行格式整理,但不刪除不同立場。</w:t>
      </w:r>
    </w:p>
    <w:p>
      <w:pPr>
        <w:spacing w:after="240" w:line="340"/>
        <w:ind w:left="576" w:right="576"/>
      </w:pPr>
      <w:r>
        <w:rPr>
          <w:rFonts w:ascii="微軟正黑體" w:cs="微軟正黑體" w:eastAsia="微軟正黑體" w:hAnsi="微軟正黑體"/>
          <w:i/>
          <w:iCs/>
          <w:sz w:val="21"/>
          <w:szCs w:val="21"/>
        </w:rPr>
        <w:t xml:space="preserve">程序管理可以整理參與,但不能消除反對;資訊治理可以保護隱私,但不能隱藏不利證據。</w:t>
      </w:r>
    </w:p>
    <w:p>
      <w:pPr>
        <w:spacing w:after="180" w:before="360"/>
      </w:pPr>
      <w:r>
        <w:rPr>
          <w:rFonts w:ascii="微軟正黑體" w:cs="微軟正黑體" w:eastAsia="微軟正黑體" w:hAnsi="微軟正黑體"/>
          <w:b/>
          <w:bCs/>
          <w:color w:val="1F4E79"/>
          <w:sz w:val="26"/>
          <w:szCs w:val="26"/>
        </w:rPr>
        <w:t xml:space="preserve">第二節　行政裁量與政策制訂的正當性基礎</w:t>
      </w:r>
    </w:p>
    <w:p>
      <w:pPr>
        <w:spacing w:after="140" w:before="260"/>
      </w:pPr>
      <w:r>
        <w:rPr>
          <w:rFonts w:ascii="微軟正黑體" w:cs="微軟正黑體" w:eastAsia="微軟正黑體" w:hAnsi="微軟正黑體"/>
          <w:b/>
          <w:bCs/>
          <w:color w:val="2E5C8A"/>
          <w:sz w:val="23"/>
          <w:szCs w:val="23"/>
        </w:rPr>
        <w:t xml:space="preserve">一、行政裁量的意涵與功能</w:t>
      </w:r>
    </w:p>
    <w:p>
      <w:pPr>
        <w:spacing w:after="200" w:line="360"/>
        <w:ind w:firstLine="431"/>
        <w:jc w:val="both"/>
      </w:pPr>
      <w:r>
        <w:rPr>
          <w:rFonts w:ascii="微軟正黑體" w:cs="微軟正黑體" w:eastAsia="微軟正黑體" w:hAnsi="微軟正黑體"/>
          <w:sz w:val="22"/>
          <w:szCs w:val="22"/>
        </w:rPr>
        <w:t xml:space="preserve">行政裁量(administrative discretion)指法規未能窮盡規範所有情境,行政機關與公務人員於法律授權範圍內,依專業判斷選擇行動方案之權限。裁量並非法治的漏洞,而是法治不可或缺的一部分——如同K.C. Davis(1969)在《自由裁量的正義》中所指出,規則永遠無法涵蓋所有現實情境,裁量正是規則與現實之間的必要橋樑。然而,裁量若無適當規制,亦可能成為恣意、偏私與課責落空的來源。政策制訂階段的裁量,不同於基層執行時的個案裁量,而是法定決定者對於「是否採納、如何調整、能否否決」替選方案的最終判斷權——這正是本章與下一章「政策執行」在裁量議題上的分工:制訂階段之裁量關乎正當性,執行階段之裁量則關乎個案適用。</w:t>
      </w:r>
    </w:p>
    <w:p>
      <w:pPr>
        <w:spacing w:after="140" w:before="260"/>
      </w:pPr>
      <w:r>
        <w:rPr>
          <w:rFonts w:ascii="微軟正黑體" w:cs="微軟正黑體" w:eastAsia="微軟正黑體" w:hAnsi="微軟正黑體"/>
          <w:b/>
          <w:bCs/>
          <w:color w:val="2E5C8A"/>
          <w:sz w:val="23"/>
          <w:szCs w:val="23"/>
        </w:rPr>
        <w:t xml:space="preserve">二、裁量的極限與規制:K.C. Davis三種控制機制</w:t>
      </w:r>
    </w:p>
    <w:p>
      <w:pPr>
        <w:spacing w:after="200" w:line="360"/>
        <w:ind w:firstLine="431"/>
        <w:jc w:val="both"/>
      </w:pPr>
      <w:r>
        <w:rPr>
          <w:rFonts w:ascii="微軟正黑體" w:cs="微軟正黑體" w:eastAsia="微軟正黑體" w:hAnsi="微軟正黑體"/>
          <w:sz w:val="22"/>
          <w:szCs w:val="22"/>
        </w:rPr>
        <w:t xml:space="preserve">為避免裁量流於恣意,K.C. Davis(1969)提出三種相輔相成的控制機制,至今仍是行政法與公共行政課程討論裁量課責之經典架構:</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200"/>
        <w:gridCol w:w="3626"/>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控制機制</w:t>
            </w:r>
          </w:p>
        </w:tc>
        <w:tc>
          <w:tcPr>
            <w:tcW w:type="dxa" w:w="3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核心作法</w:t>
            </w:r>
          </w:p>
        </w:tc>
        <w:tc>
          <w:tcPr>
            <w:tcW w:type="dxa" w:w="36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政策制訂階段之應用</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確認裁量範圍(Confining)</w:t>
            </w:r>
          </w:p>
        </w:tc>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以法規、命令與行政規則劃定裁量之外部邊界,防止恣意逾越</w:t>
            </w:r>
          </w:p>
        </w:tc>
        <w:tc>
          <w:tcPr>
            <w:tcW w:type="dxa" w:w="3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立法授權時明訂制訂機關得裁量之事項範圍與例外情形</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建立裁量結構(Structuring)</w:t>
            </w:r>
          </w:p>
        </w:tc>
        <w:tc>
          <w:tcPr>
            <w:tcW w:type="dxa" w:w="3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以計畫、政策指導、公開程序與說理義務,規制裁量之行使方式</w:t>
            </w:r>
          </w:p>
        </w:tc>
        <w:tc>
          <w:tcPr>
            <w:tcW w:type="dxa" w:w="3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要求AI輔助建議之採納或不採納皆須附具理由,建立可稽核之決策軌跡</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事後審查(Checking)</w:t>
            </w:r>
          </w:p>
        </w:tc>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以上級審查、司法救濟、監察與外部監督檢視裁量結果</w:t>
            </w:r>
          </w:p>
        </w:tc>
        <w:tc>
          <w:tcPr>
            <w:tcW w:type="dxa" w:w="3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國會質詢、審計、行政訴訟與資訊公開,檢視制訂者是否僅為系統背書</w:t>
            </w:r>
          </w:p>
        </w:tc>
      </w:tr>
    </w:tbl>
    <w:p>
      <w:pPr>
        <w:spacing w:after="280" w:before="120"/>
        <w:jc w:val="center"/>
      </w:pPr>
      <w:r>
        <w:rPr>
          <w:rFonts w:ascii="微軟正黑體" w:cs="微軟正黑體" w:eastAsia="微軟正黑體" w:hAnsi="微軟正黑體"/>
          <w:i/>
          <w:iCs/>
          <w:color w:val="555555"/>
          <w:sz w:val="18"/>
          <w:szCs w:val="18"/>
        </w:rPr>
        <w:t xml:space="preserve">表12-2　行政裁量的三種控制機制(K.C. Davis, 1969)</w:t>
      </w:r>
    </w:p>
    <w:p>
      <w:pPr>
        <w:spacing w:after="140" w:before="260"/>
      </w:pPr>
      <w:r>
        <w:rPr>
          <w:rFonts w:ascii="微軟正黑體" w:cs="微軟正黑體" w:eastAsia="微軟正黑體" w:hAnsi="微軟正黑體"/>
          <w:b/>
          <w:bCs/>
          <w:color w:val="2E5C8A"/>
          <w:sz w:val="23"/>
          <w:szCs w:val="23"/>
        </w:rPr>
        <w:t xml:space="preserve">三、政策制訂者的裁量與正當性的關聯</w:t>
      </w:r>
    </w:p>
    <w:p>
      <w:pPr>
        <w:spacing w:after="200" w:line="360"/>
        <w:ind w:firstLine="431"/>
        <w:jc w:val="both"/>
      </w:pPr>
      <w:r>
        <w:rPr>
          <w:rFonts w:ascii="微軟正黑體" w:cs="微軟正黑體" w:eastAsia="微軟正黑體" w:hAnsi="微軟正黑體"/>
          <w:sz w:val="22"/>
          <w:szCs w:val="22"/>
        </w:rPr>
        <w:t xml:space="preserve">政策制訂者的裁量之所以攸關正當性,關鍵在於:合法化程序之所以具有說服力,是因為社會相信「有一個具名、負責的決定者,在充分資訊下做出了獨立判斷」。若制訂者的裁量實質上已被前一階段的規劃工具(如AI模擬與排序系統)所窄化,合法化程序即便形式完備,也可能淪為對既定結論的儀式性追認——這正是本章稍後將深入討論之「權威鏈正當性危機」的根源。</w:t>
      </w:r>
    </w:p>
    <w:p>
      <w:pPr>
        <w:spacing w:after="140" w:before="260"/>
      </w:pPr>
      <w:r>
        <w:rPr>
          <w:rFonts w:ascii="微軟正黑體" w:cs="微軟正黑體" w:eastAsia="微軟正黑體" w:hAnsi="微軟正黑體"/>
          <w:b/>
          <w:bCs/>
          <w:color w:val="2E5C8A"/>
          <w:sz w:val="23"/>
          <w:szCs w:val="23"/>
        </w:rPr>
        <w:t xml:space="preserve">四、政策制訂者的最低說理義務</w:t>
      </w:r>
    </w:p>
    <w:p>
      <w:pPr>
        <w:spacing w:after="200" w:line="360"/>
        <w:ind w:firstLine="431"/>
        <w:jc w:val="both"/>
      </w:pPr>
      <w:r>
        <w:rPr>
          <w:rFonts w:ascii="微軟正黑體" w:cs="微軟正黑體" w:eastAsia="微軟正黑體" w:hAnsi="微軟正黑體"/>
          <w:sz w:val="22"/>
          <w:szCs w:val="22"/>
        </w:rPr>
        <w:t xml:space="preserve">AI輔助政策制訂最核心的問題,不只是模型是否準確,而是決策者能否說明為何採納該方案。正式政策文件至少應說明:</w:t>
      </w:r>
    </w:p>
    <w:p>
      <w:pPr>
        <w:pStyle w:val="ListParagraph"/>
        <w:numPr>
          <w:ilvl w:val="0"/>
          <w:numId w:val="2"/>
        </w:numPr>
        <w:spacing w:after="120" w:line="340"/>
      </w:pPr>
      <w:r>
        <w:rPr>
          <w:rFonts w:ascii="微軟正黑體" w:cs="微軟正黑體" w:eastAsia="微軟正黑體" w:hAnsi="微軟正黑體"/>
          <w:sz w:val="22"/>
          <w:szCs w:val="22"/>
        </w:rPr>
        <w:t xml:space="preserve">政策要處理的公共問題為何。</w:t>
      </w:r>
    </w:p>
    <w:p>
      <w:pPr>
        <w:pStyle w:val="ListParagraph"/>
        <w:numPr>
          <w:ilvl w:val="0"/>
          <w:numId w:val="2"/>
        </w:numPr>
        <w:spacing w:after="120" w:line="340"/>
      </w:pPr>
      <w:r>
        <w:rPr>
          <w:rFonts w:ascii="微軟正黑體" w:cs="微軟正黑體" w:eastAsia="微軟正黑體" w:hAnsi="微軟正黑體"/>
          <w:sz w:val="22"/>
          <w:szCs w:val="22"/>
        </w:rPr>
        <w:t xml:space="preserve">為何選擇此方案而非其他替選方案。</w:t>
      </w:r>
    </w:p>
    <w:p>
      <w:pPr>
        <w:pStyle w:val="ListParagraph"/>
        <w:numPr>
          <w:ilvl w:val="0"/>
          <w:numId w:val="2"/>
        </w:numPr>
        <w:spacing w:after="120" w:line="340"/>
      </w:pPr>
      <w:r>
        <w:rPr>
          <w:rFonts w:ascii="微軟正黑體" w:cs="微軟正黑體" w:eastAsia="微軟正黑體" w:hAnsi="微軟正黑體"/>
          <w:sz w:val="22"/>
          <w:szCs w:val="22"/>
        </w:rPr>
        <w:t xml:space="preserve">方案對不同群體的利益與負擔如何分配。</w:t>
      </w:r>
    </w:p>
    <w:p>
      <w:pPr>
        <w:pStyle w:val="ListParagraph"/>
        <w:numPr>
          <w:ilvl w:val="0"/>
          <w:numId w:val="2"/>
        </w:numPr>
        <w:spacing w:after="120" w:line="340"/>
      </w:pPr>
      <w:r>
        <w:rPr>
          <w:rFonts w:ascii="微軟正黑體" w:cs="微軟正黑體" w:eastAsia="微軟正黑體" w:hAnsi="微軟正黑體"/>
          <w:sz w:val="22"/>
          <w:szCs w:val="22"/>
        </w:rPr>
        <w:t xml:space="preserve">使用了哪些資料、模型與預測方法。</w:t>
      </w:r>
    </w:p>
    <w:p>
      <w:pPr>
        <w:pStyle w:val="ListParagraph"/>
        <w:numPr>
          <w:ilvl w:val="0"/>
          <w:numId w:val="2"/>
        </w:numPr>
        <w:spacing w:after="120" w:line="340"/>
      </w:pPr>
      <w:r>
        <w:rPr>
          <w:rFonts w:ascii="微軟正黑體" w:cs="微軟正黑體" w:eastAsia="微軟正黑體" w:hAnsi="微軟正黑體"/>
          <w:sz w:val="22"/>
          <w:szCs w:val="22"/>
        </w:rPr>
        <w:t xml:space="preserve">AI在決策過程中扮演何種角色。</w:t>
      </w:r>
    </w:p>
    <w:p>
      <w:pPr>
        <w:pStyle w:val="ListParagraph"/>
        <w:numPr>
          <w:ilvl w:val="0"/>
          <w:numId w:val="2"/>
        </w:numPr>
        <w:spacing w:after="120" w:line="340"/>
      </w:pPr>
      <w:r>
        <w:rPr>
          <w:rFonts w:ascii="微軟正黑體" w:cs="微軟正黑體" w:eastAsia="微軟正黑體" w:hAnsi="微軟正黑體"/>
          <w:sz w:val="22"/>
          <w:szCs w:val="22"/>
        </w:rPr>
        <w:t xml:space="preserve">哪些判斷由人員作成,哪些內容由系統輔助。</w:t>
      </w:r>
    </w:p>
    <w:p>
      <w:pPr>
        <w:pStyle w:val="ListParagraph"/>
        <w:numPr>
          <w:ilvl w:val="0"/>
          <w:numId w:val="2"/>
        </w:numPr>
        <w:spacing w:after="120" w:line="340"/>
      </w:pPr>
      <w:r>
        <w:rPr>
          <w:rFonts w:ascii="微軟正黑體" w:cs="微軟正黑體" w:eastAsia="微軟正黑體" w:hAnsi="微軟正黑體"/>
          <w:sz w:val="22"/>
          <w:szCs w:val="22"/>
        </w:rPr>
        <w:t xml:space="preserve">方案具有哪些不確定性與可能副作用。</w:t>
      </w:r>
    </w:p>
    <w:p>
      <w:pPr>
        <w:pStyle w:val="ListParagraph"/>
        <w:numPr>
          <w:ilvl w:val="0"/>
          <w:numId w:val="2"/>
        </w:numPr>
        <w:spacing w:after="120" w:line="340"/>
      </w:pPr>
      <w:r>
        <w:rPr>
          <w:rFonts w:ascii="微軟正黑體" w:cs="微軟正黑體" w:eastAsia="微軟正黑體" w:hAnsi="微軟正黑體"/>
          <w:sz w:val="22"/>
          <w:szCs w:val="22"/>
        </w:rPr>
        <w:t xml:space="preserve">未來在何種情況下會重新檢討或修正。</w:t>
      </w:r>
    </w:p>
    <w:p>
      <w:pPr>
        <w:spacing w:after="240" w:line="340"/>
        <w:ind w:left="576" w:right="576"/>
      </w:pPr>
      <w:r>
        <w:rPr>
          <w:rFonts w:ascii="微軟正黑體" w:cs="微軟正黑體" w:eastAsia="微軟正黑體" w:hAnsi="微軟正黑體"/>
          <w:i/>
          <w:iCs/>
          <w:sz w:val="21"/>
          <w:szCs w:val="21"/>
        </w:rPr>
        <w:t xml:space="preserve">「AI建議某方案較佳」不是充分理由;充分理由應說明AI依據何種資料與標準產生建議,以及決策者為何認為這些標準適合本政策問題。</w:t>
      </w:r>
    </w:p>
    <w:p>
      <w:pPr>
        <w:spacing w:after="140" w:before="260"/>
      </w:pPr>
      <w:r>
        <w:rPr>
          <w:rFonts w:ascii="微軟正黑體" w:cs="微軟正黑體" w:eastAsia="微軟正黑體" w:hAnsi="微軟正黑體"/>
          <w:b/>
          <w:bCs/>
          <w:color w:val="2E5C8A"/>
          <w:sz w:val="23"/>
          <w:szCs w:val="23"/>
        </w:rPr>
        <w:t xml:space="preserve">五、K.C. Davis三機制的AI操作準則與負面清單</w:t>
      </w:r>
    </w:p>
    <w:p>
      <w:pPr>
        <w:spacing w:after="200" w:line="360"/>
        <w:ind w:firstLine="431"/>
        <w:jc w:val="both"/>
      </w:pPr>
      <w:r>
        <w:rPr>
          <w:rFonts w:ascii="微軟正黑體" w:cs="微軟正黑體" w:eastAsia="微軟正黑體" w:hAnsi="微軟正黑體"/>
          <w:sz w:val="22"/>
          <w:szCs w:val="22"/>
        </w:rPr>
        <w:t xml:space="preserve">將表12-2之裁量控制三機制進一步操作化為AI輔助政策制訂之具體要求,並指出未落實時之風險:</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4213"/>
        <w:gridCol w:w="30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控制機制</w:t>
            </w:r>
          </w:p>
        </w:tc>
        <w:tc>
          <w:tcPr>
            <w:tcW w:type="dxa" w:w="4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AI政策制訂的具體要求</w:t>
            </w:r>
          </w:p>
        </w:tc>
        <w:tc>
          <w:tcPr>
            <w:tcW w:type="dxa" w:w="30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未落實的風險</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確認裁量範圍</w:t>
            </w:r>
          </w:p>
        </w:tc>
        <w:tc>
          <w:tcPr>
            <w:tcW w:type="dxa" w:w="4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明定AI只能提供建議,不得代替法定決定者作成正式決定</w:t>
            </w:r>
          </w:p>
        </w:tc>
        <w:tc>
          <w:tcPr>
            <w:tcW w:type="dxa" w:w="30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技術系統越權</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建立裁量結構</w:t>
            </w:r>
          </w:p>
        </w:tc>
        <w:tc>
          <w:tcPr>
            <w:tcW w:type="dxa" w:w="4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設置人工覆核、雙人審查、異議處理與理由記錄程序</w:t>
            </w:r>
          </w:p>
        </w:tc>
        <w:tc>
          <w:tcPr>
            <w:tcW w:type="dxa" w:w="30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承辦人機械接受系統結果</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事後審查</w:t>
            </w:r>
          </w:p>
        </w:tc>
        <w:tc>
          <w:tcPr>
            <w:tcW w:type="dxa" w:w="4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提供申訴、資訊公開、外部稽核、司法或監察審查</w:t>
            </w:r>
          </w:p>
        </w:tc>
        <w:tc>
          <w:tcPr>
            <w:tcW w:type="dxa" w:w="30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責任無法追究</w:t>
            </w:r>
          </w:p>
        </w:tc>
      </w:tr>
    </w:tbl>
    <w:p>
      <w:pPr>
        <w:spacing w:after="280" w:before="120"/>
        <w:jc w:val="center"/>
      </w:pPr>
      <w:r>
        <w:rPr>
          <w:rFonts w:ascii="微軟正黑體" w:cs="微軟正黑體" w:eastAsia="微軟正黑體" w:hAnsi="微軟正黑體"/>
          <w:i/>
          <w:iCs/>
          <w:color w:val="555555"/>
          <w:sz w:val="18"/>
          <w:szCs w:val="18"/>
        </w:rPr>
        <w:t xml:space="preserve">表12-3　K.C. Davis三機制的AI操作準則</w:t>
      </w:r>
    </w:p>
    <w:p>
      <w:pPr>
        <w:spacing w:after="200" w:line="360"/>
        <w:ind w:firstLine="431"/>
        <w:jc w:val="both"/>
      </w:pPr>
      <w:r>
        <w:rPr>
          <w:rFonts w:ascii="微軟正黑體" w:cs="微軟正黑體" w:eastAsia="微軟正黑體" w:hAnsi="微軟正黑體"/>
          <w:sz w:val="22"/>
          <w:szCs w:val="22"/>
        </w:rPr>
        <w:t xml:space="preserve">在缺乏明確法律授權與人工覆核前,AI不宜單獨作成以下決定:</w:t>
      </w:r>
    </w:p>
    <w:p>
      <w:pPr>
        <w:pStyle w:val="ListParagraph"/>
        <w:numPr>
          <w:ilvl w:val="0"/>
          <w:numId w:val="2"/>
        </w:numPr>
        <w:spacing w:after="120" w:line="340"/>
      </w:pPr>
      <w:r>
        <w:rPr>
          <w:rFonts w:ascii="微軟正黑體" w:cs="微軟正黑體" w:eastAsia="微軟正黑體" w:hAnsi="微軟正黑體"/>
          <w:sz w:val="22"/>
          <w:szCs w:val="22"/>
        </w:rPr>
        <w:t xml:space="preserve">社會福利資格的最終剝奪。</w:t>
      </w:r>
    </w:p>
    <w:p>
      <w:pPr>
        <w:pStyle w:val="ListParagraph"/>
        <w:numPr>
          <w:ilvl w:val="0"/>
          <w:numId w:val="2"/>
        </w:numPr>
        <w:spacing w:after="120" w:line="340"/>
      </w:pPr>
      <w:r>
        <w:rPr>
          <w:rFonts w:ascii="微軟正黑體" w:cs="微軟正黑體" w:eastAsia="微軟正黑體" w:hAnsi="微軟正黑體"/>
          <w:sz w:val="22"/>
          <w:szCs w:val="22"/>
        </w:rPr>
        <w:t xml:space="preserve">重大行政裁罰或制裁。</w:t>
      </w:r>
    </w:p>
    <w:p>
      <w:pPr>
        <w:pStyle w:val="ListParagraph"/>
        <w:numPr>
          <w:ilvl w:val="0"/>
          <w:numId w:val="2"/>
        </w:numPr>
        <w:spacing w:after="120" w:line="340"/>
      </w:pPr>
      <w:r>
        <w:rPr>
          <w:rFonts w:ascii="微軟正黑體" w:cs="微軟正黑體" w:eastAsia="微軟正黑體" w:hAnsi="微軟正黑體"/>
          <w:sz w:val="22"/>
          <w:szCs w:val="22"/>
        </w:rPr>
        <w:t xml:space="preserve">影響人民基本權的風險標記。</w:t>
      </w:r>
    </w:p>
    <w:p>
      <w:pPr>
        <w:pStyle w:val="ListParagraph"/>
        <w:numPr>
          <w:ilvl w:val="0"/>
          <w:numId w:val="2"/>
        </w:numPr>
        <w:spacing w:after="120" w:line="340"/>
      </w:pPr>
      <w:r>
        <w:rPr>
          <w:rFonts w:ascii="微軟正黑體" w:cs="微軟正黑體" w:eastAsia="微軟正黑體" w:hAnsi="微軟正黑體"/>
          <w:sz w:val="22"/>
          <w:szCs w:val="22"/>
        </w:rPr>
        <w:t xml:space="preserve">個人信用、就業或居住資格的最終否准。</w:t>
      </w:r>
    </w:p>
    <w:p>
      <w:pPr>
        <w:pStyle w:val="ListParagraph"/>
        <w:numPr>
          <w:ilvl w:val="0"/>
          <w:numId w:val="2"/>
        </w:numPr>
        <w:spacing w:after="120" w:line="340"/>
      </w:pPr>
      <w:r>
        <w:rPr>
          <w:rFonts w:ascii="微軟正黑體" w:cs="微軟正黑體" w:eastAsia="微軟正黑體" w:hAnsi="微軟正黑體"/>
          <w:sz w:val="22"/>
          <w:szCs w:val="22"/>
        </w:rPr>
        <w:t xml:space="preserve">以不可理解理由拒絕人民申請或救濟。</w:t>
      </w:r>
    </w:p>
    <w:p>
      <w:pPr>
        <w:spacing w:after="180" w:before="360"/>
      </w:pPr>
      <w:r>
        <w:rPr>
          <w:rFonts w:ascii="微軟正黑體" w:cs="微軟正黑體" w:eastAsia="微軟正黑體" w:hAnsi="微軟正黑體"/>
          <w:b/>
          <w:bCs/>
          <w:color w:val="1F4E79"/>
          <w:sz w:val="26"/>
          <w:szCs w:val="26"/>
        </w:rPr>
        <w:t xml:space="preserve">第三節　審議民主與公民參與</w:t>
      </w:r>
    </w:p>
    <w:p>
      <w:pPr>
        <w:spacing w:after="140" w:before="260"/>
      </w:pPr>
      <w:r>
        <w:rPr>
          <w:rFonts w:ascii="微軟正黑體" w:cs="微軟正黑體" w:eastAsia="微軟正黑體" w:hAnsi="微軟正黑體"/>
          <w:b/>
          <w:bCs/>
          <w:color w:val="2E5C8A"/>
          <w:sz w:val="23"/>
          <w:szCs w:val="23"/>
        </w:rPr>
        <w:t xml:space="preserve">一、審議民主的基本主張</w:t>
      </w:r>
    </w:p>
    <w:p>
      <w:pPr>
        <w:spacing w:after="200" w:line="360"/>
        <w:ind w:firstLine="431"/>
        <w:jc w:val="both"/>
      </w:pPr>
      <w:r>
        <w:rPr>
          <w:rFonts w:ascii="微軟正黑體" w:cs="微軟正黑體" w:eastAsia="微軟正黑體" w:hAnsi="微軟正黑體"/>
          <w:sz w:val="22"/>
          <w:szCs w:val="22"/>
        </w:rPr>
        <w:t xml:space="preserve">審議民主(deliberative democracy)主張政策正當性不僅來自多數決之結果,也來自審議過程本身的品質。Habermas(1996)之溝通理性(communicative rationality)與論述理論(discourse theory)認為,唯有在資訊公開、發言機會平等、且參與者願意因更好的論證而修正立場的溝通情境下達成的共識,才具有真正的正當性,而非僅是權力或資源優勢的產物。這與本章合法化三策略中的「說服策略」相呼應——審議民主可視為將說服提升為制度化、程序化之公共論辯機制。</w:t>
      </w:r>
    </w:p>
    <w:p>
      <w:pPr>
        <w:spacing w:after="140" w:before="260"/>
      </w:pPr>
      <w:r>
        <w:rPr>
          <w:rFonts w:ascii="微軟正黑體" w:cs="微軟正黑體" w:eastAsia="微軟正黑體" w:hAnsi="微軟正黑體"/>
          <w:b/>
          <w:bCs/>
          <w:color w:val="2E5C8A"/>
          <w:sz w:val="23"/>
          <w:szCs w:val="23"/>
        </w:rPr>
        <w:t xml:space="preserve">二、公民審議實務工具</w:t>
      </w:r>
    </w:p>
    <w:p>
      <w:pPr>
        <w:spacing w:after="200" w:line="360"/>
        <w:ind w:firstLine="431"/>
        <w:jc w:val="both"/>
      </w:pPr>
      <w:r>
        <w:rPr>
          <w:rFonts w:ascii="微軟正黑體" w:cs="微軟正黑體" w:eastAsia="微軟正黑體" w:hAnsi="微軟正黑體"/>
          <w:sz w:val="22"/>
          <w:szCs w:val="22"/>
        </w:rPr>
        <w:t xml:space="preserve">審議民主的理念,在實務上發展出多種可操作之工具:</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3400"/>
        <w:gridCol w:w="3226"/>
      </w:tblGrid>
      <w:tr>
        <w:trPr>
          <w:tblHeader/>
        </w:trPr>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工具</w:t>
            </w:r>
          </w:p>
        </w:tc>
        <w:tc>
          <w:tcPr>
            <w:tcW w:type="dxa" w:w="3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核心特徵</w:t>
            </w:r>
          </w:p>
        </w:tc>
        <w:tc>
          <w:tcPr>
            <w:tcW w:type="dxa" w:w="32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侷限</w:t>
            </w:r>
          </w:p>
        </w:tc>
      </w:tr>
      <w:tr>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審議式民調(Deliberative Polling)</w:t>
            </w:r>
          </w:p>
        </w:tc>
        <w:tc>
          <w:tcPr>
            <w:tcW w:type="dxa" w:w="3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隨機抽樣具代表性之民眾,提供平衡資訊後進行分組審議討論,並比較審議前後之意見變化(Fishkin, 1991)</w:t>
            </w:r>
          </w:p>
        </w:tc>
        <w:tc>
          <w:tcPr>
            <w:tcW w:type="dxa" w:w="3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耗費資源、規模有限,難以涵蓋全體利害關係人</w:t>
            </w:r>
          </w:p>
        </w:tc>
      </w:tr>
      <w:tr>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公民審議會(Citizens' Assembly)</w:t>
            </w:r>
          </w:p>
        </w:tc>
        <w:tc>
          <w:tcPr>
            <w:tcW w:type="dxa" w:w="3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以抽籤方式組成具代表性之公民小組,就特定議題進行多日審議並提出建議</w:t>
            </w:r>
          </w:p>
        </w:tc>
        <w:tc>
          <w:tcPr>
            <w:tcW w:type="dxa" w:w="3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建議通常不具法律拘束力,採納與否仍取決於決策者</w:t>
            </w:r>
          </w:p>
        </w:tc>
      </w:tr>
      <w:tr>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線上公共政策參與平台</w:t>
            </w:r>
          </w:p>
        </w:tc>
        <w:tc>
          <w:tcPr>
            <w:tcW w:type="dxa" w:w="3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如我國join平台,提供連署、提案與意見徵集功能,降低參與門檻</w:t>
            </w:r>
          </w:p>
        </w:tc>
        <w:tc>
          <w:tcPr>
            <w:tcW w:type="dxa" w:w="3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數位落差與網路動員易使意見代表性失真</w:t>
            </w:r>
          </w:p>
        </w:tc>
      </w:tr>
    </w:tbl>
    <w:p>
      <w:pPr>
        <w:spacing w:after="280" w:before="120"/>
        <w:jc w:val="center"/>
      </w:pPr>
      <w:r>
        <w:rPr>
          <w:rFonts w:ascii="微軟正黑體" w:cs="微軟正黑體" w:eastAsia="微軟正黑體" w:hAnsi="微軟正黑體"/>
          <w:i/>
          <w:iCs/>
          <w:color w:val="555555"/>
          <w:sz w:val="18"/>
          <w:szCs w:val="18"/>
        </w:rPr>
        <w:t xml:space="preserve">表12-4　審議民主工具比較</w:t>
      </w:r>
    </w:p>
    <w:p>
      <w:pPr>
        <w:spacing w:after="140" w:before="260"/>
      </w:pPr>
      <w:r>
        <w:rPr>
          <w:rFonts w:ascii="微軟正黑體" w:cs="微軟正黑體" w:eastAsia="微軟正黑體" w:hAnsi="微軟正黑體"/>
          <w:b/>
          <w:bCs/>
          <w:color w:val="2E5C8A"/>
          <w:sz w:val="23"/>
          <w:szCs w:val="23"/>
        </w:rPr>
        <w:t xml:space="preserve">三、台灣的政策參與實務</w:t>
      </w:r>
    </w:p>
    <w:p>
      <w:pPr>
        <w:spacing w:after="200" w:line="360"/>
        <w:ind w:firstLine="431"/>
        <w:jc w:val="both"/>
      </w:pPr>
      <w:r>
        <w:rPr>
          <w:rFonts w:ascii="微軟正黑體" w:cs="微軟正黑體" w:eastAsia="微軟正黑體" w:hAnsi="微軟正黑體"/>
          <w:sz w:val="22"/>
          <w:szCs w:val="22"/>
        </w:rPr>
        <w:t xml:space="preserve">我國國家發展委員會依《公共政策網路參與實施要點》(2018年修正)推動join平台,提供公共政策提案、附議與機關回應機制;部分地方政府亦曾試辦公民審議會,就特定公共議題(如都市計畫、社會福利政策)邀集抽籤產生之公民代表進行多日審議。這些工具擴大了包容策略之參與基礎,但也面臨參與者代表性、審議品質與意見是否真正影響決策等挑戰,仍需與傳統之立法協商、利害關係人諮商相輔相成,而非取而代之。</w:t>
      </w:r>
    </w:p>
    <w:p>
      <w:pPr>
        <w:spacing w:after="140" w:before="260"/>
      </w:pPr>
      <w:r>
        <w:rPr>
          <w:rFonts w:ascii="微軟正黑體" w:cs="微軟正黑體" w:eastAsia="微軟正黑體" w:hAnsi="微軟正黑體"/>
          <w:b/>
          <w:bCs/>
          <w:color w:val="2E5C8A"/>
          <w:sz w:val="23"/>
          <w:szCs w:val="23"/>
        </w:rPr>
        <w:t xml:space="preserve">四、公民參與的代表性問題</w:t>
      </w:r>
    </w:p>
    <w:p>
      <w:pPr>
        <w:spacing w:after="200" w:line="360"/>
        <w:ind w:firstLine="431"/>
        <w:jc w:val="both"/>
      </w:pPr>
      <w:r>
        <w:rPr>
          <w:rFonts w:ascii="微軟正黑體" w:cs="微軟正黑體" w:eastAsia="微軟正黑體" w:hAnsi="微軟正黑體"/>
          <w:sz w:val="22"/>
          <w:szCs w:val="22"/>
        </w:rPr>
        <w:t xml:space="preserve">參與人數多,不代表參與具有代表性。評估公民參與品質時,至少應區辨三種代表性:統計代表性(參與者的人口組成是否接近整體人口)、利益代表性(不同利益與立場是否都有機會表達)、經驗代表性(真正受到政策影響的人是否被納入)。AI意見統整工具雖可提高行政效率,但也可能產生以下問題:</w:t>
      </w:r>
    </w:p>
    <w:p>
      <w:pPr>
        <w:pStyle w:val="ListParagraph"/>
        <w:numPr>
          <w:ilvl w:val="0"/>
          <w:numId w:val="2"/>
        </w:numPr>
        <w:spacing w:after="120" w:line="340"/>
      </w:pPr>
      <w:r>
        <w:rPr>
          <w:rFonts w:ascii="微軟正黑體" w:cs="微軟正黑體" w:eastAsia="微軟正黑體" w:hAnsi="微軟正黑體"/>
          <w:sz w:val="22"/>
          <w:szCs w:val="22"/>
        </w:rPr>
        <w:t xml:space="preserve">將少數但重要的意見視為「低頻噪音」。</w:t>
      </w:r>
    </w:p>
    <w:p>
      <w:pPr>
        <w:pStyle w:val="ListParagraph"/>
        <w:numPr>
          <w:ilvl w:val="0"/>
          <w:numId w:val="2"/>
        </w:numPr>
        <w:spacing w:after="120" w:line="340"/>
      </w:pPr>
      <w:r>
        <w:rPr>
          <w:rFonts w:ascii="微軟正黑體" w:cs="微軟正黑體" w:eastAsia="微軟正黑體" w:hAnsi="微軟正黑體"/>
          <w:sz w:val="22"/>
          <w:szCs w:val="22"/>
        </w:rPr>
        <w:t xml:space="preserve">以出現次數取代權利與正義的重要性。</w:t>
      </w:r>
    </w:p>
    <w:p>
      <w:pPr>
        <w:pStyle w:val="ListParagraph"/>
        <w:numPr>
          <w:ilvl w:val="0"/>
          <w:numId w:val="2"/>
        </w:numPr>
        <w:spacing w:after="120" w:line="340"/>
      </w:pPr>
      <w:r>
        <w:rPr>
          <w:rFonts w:ascii="微軟正黑體" w:cs="微軟正黑體" w:eastAsia="微軟正黑體" w:hAnsi="微軟正黑體"/>
          <w:sz w:val="22"/>
          <w:szCs w:val="22"/>
        </w:rPr>
        <w:t xml:space="preserve">將情緒性語言錯誤判定為低品質意見。</w:t>
      </w:r>
    </w:p>
    <w:p>
      <w:pPr>
        <w:pStyle w:val="ListParagraph"/>
        <w:numPr>
          <w:ilvl w:val="0"/>
          <w:numId w:val="2"/>
        </w:numPr>
        <w:spacing w:after="120" w:line="340"/>
      </w:pPr>
      <w:r>
        <w:rPr>
          <w:rFonts w:ascii="微軟正黑體" w:cs="微軟正黑體" w:eastAsia="微軟正黑體" w:hAnsi="微軟正黑體"/>
          <w:sz w:val="22"/>
          <w:szCs w:val="22"/>
        </w:rPr>
        <w:t xml:space="preserve">忽略不使用網路、缺乏數位能力者的聲音。</w:t>
      </w:r>
    </w:p>
    <w:p>
      <w:pPr>
        <w:pStyle w:val="ListParagraph"/>
        <w:numPr>
          <w:ilvl w:val="0"/>
          <w:numId w:val="2"/>
        </w:numPr>
        <w:spacing w:after="120" w:line="340"/>
      </w:pPr>
      <w:r>
        <w:rPr>
          <w:rFonts w:ascii="微軟正黑體" w:cs="微軟正黑體" w:eastAsia="微軟正黑體" w:hAnsi="微軟正黑體"/>
          <w:sz w:val="22"/>
          <w:szCs w:val="22"/>
        </w:rPr>
        <w:t xml:space="preserve">讓模型摘要取代原始意見,使行政機關看不到完整脈絡。</w:t>
      </w:r>
    </w:p>
    <w:p>
      <w:pPr>
        <w:spacing w:after="200" w:line="360"/>
        <w:ind w:firstLine="431"/>
        <w:jc w:val="both"/>
      </w:pPr>
      <w:r>
        <w:rPr>
          <w:rFonts w:ascii="微軟正黑體" w:cs="微軟正黑體" w:eastAsia="微軟正黑體" w:hAnsi="微軟正黑體"/>
          <w:sz w:val="22"/>
          <w:szCs w:val="22"/>
        </w:rPr>
        <w:t xml:space="preserve">因此,AI彙整公民意見時,應同時提供:原始意見資料;分類與摘要方法;少數意見清單;被排除或無法分類的內容;人工覆核及異議修正機制。唯有如此,審議民主之數位化才不至於在效率提升的同時,悄悄犧牲了代表性。</w:t>
      </w:r>
    </w:p>
    <w:p>
      <w:pPr>
        <w:spacing w:after="180" w:before="360"/>
      </w:pPr>
      <w:r>
        <w:rPr>
          <w:rFonts w:ascii="微軟正黑體" w:cs="微軟正黑體" w:eastAsia="微軟正黑體" w:hAnsi="微軟正黑體"/>
          <w:b/>
          <w:bCs/>
          <w:color w:val="1F4E79"/>
          <w:sz w:val="26"/>
          <w:szCs w:val="26"/>
        </w:rPr>
        <w:t xml:space="preserve">第四節　AI治理專節:AI輔助決策與合法化的正當性挑戰</w:t>
      </w:r>
    </w:p>
    <w:p>
      <w:pPr>
        <w:spacing w:after="200" w:line="360"/>
        <w:ind w:firstLine="431"/>
        <w:jc w:val="both"/>
      </w:pPr>
      <w:r>
        <w:rPr>
          <w:rFonts w:ascii="微軟正黑體" w:cs="微軟正黑體" w:eastAsia="微軟正黑體" w:hAnsi="微軟正黑體"/>
          <w:sz w:val="22"/>
          <w:szCs w:val="22"/>
        </w:rPr>
        <w:t xml:space="preserve">本專節聚焦核心提問:當AI已經幫忙排序方案、標好風險分數,制訂者的「同意」還算不算數?</w:t>
      </w:r>
    </w:p>
    <w:p>
      <w:pPr>
        <w:spacing w:after="140" w:before="260"/>
      </w:pPr>
      <w:r>
        <w:rPr>
          <w:rFonts w:ascii="微軟正黑體" w:cs="微軟正黑體" w:eastAsia="微軟正黑體" w:hAnsi="微軟正黑體"/>
          <w:b/>
          <w:bCs/>
          <w:color w:val="2E5C8A"/>
          <w:sz w:val="23"/>
          <w:szCs w:val="23"/>
        </w:rPr>
        <w:t xml:space="preserve">一、治理挑戰:AI建議與制訂者裁量權的模糊化</w:t>
      </w:r>
    </w:p>
    <w:p>
      <w:pPr>
        <w:spacing w:after="200" w:line="360"/>
        <w:ind w:firstLine="431"/>
        <w:jc w:val="both"/>
      </w:pPr>
      <w:r>
        <w:rPr>
          <w:rFonts w:ascii="微軟正黑體" w:cs="微軟正黑體" w:eastAsia="微軟正黑體" w:hAnsi="微軟正黑體"/>
          <w:sz w:val="22"/>
          <w:szCs w:val="22"/>
        </w:rPr>
        <w:t xml:space="preserve">AI輔助決策系統若在規劃階段已對替選方案附加效率或風險標籤,制訂者在合法化階段面對的往往不再是一組中性的選項,而是一份已經隱含建議答案的清單。若制訂者未經獨立審視即予採納,合法化程序形式上完備(通過審議、完成法定程序),實質上卻可能只是對演算法建議的背書,構成本章前述之權威鏈「正當性危機」——法定授權範圍從未涵蓋、也未預見技術系統實際承擔的框定角色。</w:t>
      </w:r>
    </w:p>
    <w:p>
      <w:pPr>
        <w:spacing w:after="140" w:before="260"/>
      </w:pPr>
      <w:r>
        <w:rPr>
          <w:rFonts w:ascii="微軟正黑體" w:cs="微軟正黑體" w:eastAsia="微軟正黑體" w:hAnsi="微軟正黑體"/>
          <w:b/>
          <w:bCs/>
          <w:color w:val="2E5C8A"/>
          <w:sz w:val="23"/>
          <w:szCs w:val="23"/>
        </w:rPr>
        <w:t xml:space="preserve">二、理論回應:可解釋性說服與制度回應</w:t>
      </w:r>
    </w:p>
    <w:p>
      <w:pPr>
        <w:pStyle w:val="ListParagraph"/>
        <w:numPr>
          <w:ilvl w:val="0"/>
          <w:numId w:val="2"/>
        </w:numPr>
        <w:spacing w:after="120" w:line="340"/>
      </w:pPr>
      <w:r>
        <w:rPr>
          <w:rFonts w:ascii="微軟正黑體" w:cs="微軟正黑體" w:eastAsia="微軟正黑體" w:hAnsi="微軟正黑體"/>
          <w:sz w:val="22"/>
          <w:szCs w:val="22"/>
        </w:rPr>
        <w:t xml:space="preserve">合法化三策略轉化為可解釋性說服:包容策略擴大至演算法審議與資料當事人參與;排除策略中的黑箱問題,以強制性透明與模型卡揭露反制;說服策略則從單純的價值雄辯,轉為要求AI系統提供可理解、可檢驗的建議理由。</w:t>
      </w:r>
    </w:p>
    <w:p>
      <w:pPr>
        <w:pStyle w:val="ListParagraph"/>
        <w:numPr>
          <w:ilvl w:val="0"/>
          <w:numId w:val="2"/>
        </w:numPr>
        <w:spacing w:after="120" w:line="340"/>
      </w:pPr>
      <w:r>
        <w:rPr>
          <w:rFonts w:ascii="微軟正黑體" w:cs="微軟正黑體" w:eastAsia="微軟正黑體" w:hAnsi="微軟正黑體"/>
          <w:sz w:val="22"/>
          <w:szCs w:val="22"/>
        </w:rPr>
        <w:t xml:space="preserve">裁量控制機制之AI轉譯:確認裁量範圍延伸為明訂AI輔助系統之建議效力(僅供參考或具推定效力);建立裁量結構延伸為要求採納或不採納AI建議皆須留下書面理由;事後審查延伸為納入演算法影響評估與外部稽核。</w:t>
      </w:r>
    </w:p>
    <w:p>
      <w:pPr>
        <w:pStyle w:val="ListParagraph"/>
        <w:numPr>
          <w:ilvl w:val="0"/>
          <w:numId w:val="2"/>
        </w:numPr>
        <w:spacing w:after="120" w:line="340"/>
      </w:pPr>
      <w:r>
        <w:rPr>
          <w:rFonts w:ascii="微軟正黑體" w:cs="微軟正黑體" w:eastAsia="微軟正黑體" w:hAnsi="微軟正黑體"/>
          <w:sz w:val="22"/>
          <w:szCs w:val="22"/>
        </w:rPr>
        <w:t xml:space="preserve">審議民主之數位轉型:AI輔助意見統整工具可協助歸納大量公民意見、辨識共識與分歧,但亦可能因訓練資料偏誤而扭曲少數意見之呈現,審議工具本身亦須受可解釋性與代表性審視。</w:t>
      </w:r>
    </w:p>
    <w:p>
      <w:pPr>
        <w:spacing w:after="140" w:before="260"/>
      </w:pPr>
      <w:r>
        <w:rPr>
          <w:rFonts w:ascii="微軟正黑體" w:cs="微軟正黑體" w:eastAsia="微軟正黑體" w:hAnsi="微軟正黑體"/>
          <w:b/>
          <w:bCs/>
          <w:color w:val="2E5C8A"/>
          <w:sz w:val="23"/>
          <w:szCs w:val="23"/>
        </w:rPr>
        <w:t xml:space="preserve">三、台灣法制動態:《人工智慧基本法》</w:t>
      </w:r>
    </w:p>
    <w:p>
      <w:pPr>
        <w:spacing w:after="200" w:line="360"/>
        <w:ind w:firstLine="431"/>
        <w:jc w:val="both"/>
      </w:pPr>
      <w:r>
        <w:rPr>
          <w:rFonts w:ascii="微軟正黑體" w:cs="微軟正黑體" w:eastAsia="微軟正黑體" w:hAnsi="微軟正黑體"/>
          <w:sz w:val="22"/>
          <w:szCs w:val="22"/>
        </w:rPr>
        <w:t xml:space="preserve">依中央社、數位發展部與法源法律網等公開報導,立法院已於2025年12月三讀通過《人工智慧基本法》,並經總統公布施行,最終通過版本與行政院原提案版本略有出入,明定主管機關為國家科學及技術委員會(國科會),並訂定政府推動人工智慧應遵循之七項治理原則(含資安與安全)。此立法過程本身即為政策合法化之鮮活案例:草案歷經行政院版本與國科會版本之角力與協商,最終於審議過程中調整主管機關與原則內容,體現包容(多方協商)、排除(版本間之取捨)與說服(以資安、安全等治理原則爭取立法者與社會支持)三策略之綜合運用。惟具體施行細則與後續配套子法仍陸續訂定中,詳細規範請以立法院公報與國科會最新公告為準。</w:t>
      </w:r>
    </w:p>
    <w:p>
      <w:pPr>
        <w:spacing w:after="140" w:before="260"/>
      </w:pPr>
      <w:r>
        <w:rPr>
          <w:rFonts w:ascii="微軟正黑體" w:cs="微軟正黑體" w:eastAsia="微軟正黑體" w:hAnsi="微軟正黑體"/>
          <w:b/>
          <w:bCs/>
          <w:color w:val="2E5C8A"/>
          <w:sz w:val="23"/>
          <w:szCs w:val="23"/>
        </w:rPr>
        <w:t xml:space="preserve">四、工具箱</w:t>
      </w:r>
    </w:p>
    <w:p>
      <w:pPr>
        <w:pStyle w:val="ListParagraph"/>
        <w:numPr>
          <w:ilvl w:val="0"/>
          <w:numId w:val="2"/>
        </w:numPr>
        <w:spacing w:after="120" w:line="340"/>
      </w:pPr>
      <w:r>
        <w:rPr>
          <w:rFonts w:ascii="微軟正黑體" w:cs="微軟正黑體" w:eastAsia="微軟正黑體" w:hAnsi="微軟正黑體"/>
          <w:sz w:val="22"/>
          <w:szCs w:val="22"/>
        </w:rPr>
        <w:t xml:space="preserve">監管沙盒:允許AI輔助決策系統在可控場域試驗並設落日條款,如地方政府之科技執法沙盒。</w:t>
      </w:r>
    </w:p>
    <w:p>
      <w:pPr>
        <w:pStyle w:val="ListParagraph"/>
        <w:numPr>
          <w:ilvl w:val="0"/>
          <w:numId w:val="2"/>
        </w:numPr>
        <w:spacing w:after="120" w:line="340"/>
      </w:pPr>
      <w:r>
        <w:rPr>
          <w:rFonts w:ascii="微軟正黑體" w:cs="微軟正黑體" w:eastAsia="微軟正黑體" w:hAnsi="微軟正黑體"/>
          <w:sz w:val="22"/>
          <w:szCs w:val="22"/>
        </w:rPr>
        <w:t xml:space="preserve">演算法影響評估(AIA):事前評估AI輔助決策對隱私、公平與民主正當性之衝擊,納入利害關係人諮商,作為合法化程序之要件之一。</w:t>
      </w:r>
    </w:p>
    <w:p>
      <w:pPr>
        <w:pStyle w:val="ListParagraph"/>
        <w:numPr>
          <w:ilvl w:val="0"/>
          <w:numId w:val="2"/>
        </w:numPr>
        <w:spacing w:after="120" w:line="340"/>
      </w:pPr>
      <w:r>
        <w:rPr>
          <w:rFonts w:ascii="微軟正黑體" w:cs="微軟正黑體" w:eastAsia="微軟正黑體" w:hAnsi="微軟正黑體"/>
          <w:sz w:val="22"/>
          <w:szCs w:val="22"/>
        </w:rPr>
        <w:t xml:space="preserve">可解釋AI說服框架:要求AI輔助決策系統之建議附具可理解之理由摘要,供制訂者與公眾檢視其論證邏輯。</w:t>
      </w:r>
    </w:p>
    <w:p>
      <w:pPr>
        <w:pStyle w:val="ListParagraph"/>
        <w:numPr>
          <w:ilvl w:val="0"/>
          <w:numId w:val="2"/>
        </w:numPr>
        <w:spacing w:after="120" w:line="340"/>
      </w:pPr>
      <w:r>
        <w:rPr>
          <w:rFonts w:ascii="微軟正黑體" w:cs="微軟正黑體" w:eastAsia="微軟正黑體" w:hAnsi="微軟正黑體"/>
          <w:sz w:val="22"/>
          <w:szCs w:val="22"/>
        </w:rPr>
        <w:t xml:space="preserve">AI輔助公民審議平台:運用自然語言處理協助歸納大量公民意見,但須保留人工複核與少數意見保障機制,避免多數意見淹沒結構性弱勢聲音。</w:t>
      </w:r>
    </w:p>
    <w:p>
      <w:pPr>
        <w:spacing w:after="140" w:before="260"/>
      </w:pPr>
      <w:r>
        <w:rPr>
          <w:rFonts w:ascii="微軟正黑體" w:cs="微軟正黑體" w:eastAsia="微軟正黑體" w:hAnsi="微軟正黑體"/>
          <w:b/>
          <w:bCs/>
          <w:color w:val="2E5C8A"/>
          <w:sz w:val="23"/>
          <w:szCs w:val="23"/>
        </w:rPr>
        <w:t xml:space="preserve">五、AI輔助政策制訂分級與課責要求</w:t>
      </w:r>
    </w:p>
    <w:p>
      <w:pPr>
        <w:spacing w:after="200" w:line="360"/>
        <w:ind w:firstLine="431"/>
        <w:jc w:val="both"/>
      </w:pPr>
      <w:r>
        <w:rPr>
          <w:rFonts w:ascii="微軟正黑體" w:cs="微軟正黑體" w:eastAsia="微軟正黑體" w:hAnsi="微軟正黑體"/>
          <w:sz w:val="22"/>
          <w:szCs w:val="22"/>
        </w:rPr>
        <w:t xml:space="preserve">AI在政策制訂中的角色並非單一樣態,不同使用方式應承擔不同的課責要求。原則上,AI越接近個人權利、資格、處罰或重大資源分配,越不能只依賴自動化結果:</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200"/>
        <w:gridCol w:w="2600"/>
        <w:gridCol w:w="2400"/>
        <w:gridCol w:w="2826"/>
      </w:tblGrid>
      <w:tr>
        <w:trPr>
          <w:tblHeader/>
        </w:trPr>
        <w:tc>
          <w:tcPr>
            <w:tcW w:type="dxa" w:w="1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等級</w:t>
            </w:r>
          </w:p>
        </w:tc>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AI功能</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人員角色</w:t>
            </w:r>
          </w:p>
        </w:tc>
        <w:tc>
          <w:tcPr>
            <w:tcW w:type="dxa" w:w="2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課責要求</w:t>
            </w:r>
          </w:p>
        </w:tc>
      </w:tr>
      <w:tr>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第一級</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資料搜尋與摘要</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全程判斷</w:t>
            </w:r>
          </w:p>
        </w:tc>
        <w:tc>
          <w:tcPr>
            <w:tcW w:type="dxa" w:w="2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查核來源與引用</w:t>
            </w:r>
          </w:p>
        </w:tc>
      </w:tr>
      <w:tr>
        <w:tc>
          <w:tcPr>
            <w:tcW w:type="dxa" w:w="1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第二級</w:t>
            </w:r>
          </w:p>
        </w:tc>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方案生成與比較</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選擇分析框架</w:t>
            </w:r>
          </w:p>
        </w:tc>
        <w:tc>
          <w:tcPr>
            <w:tcW w:type="dxa" w:w="2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保存提示與輸出紀錄</w:t>
            </w:r>
          </w:p>
        </w:tc>
      </w:tr>
      <w:tr>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第三級</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風險評分與排序</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審查模型假設</w:t>
            </w:r>
          </w:p>
        </w:tc>
        <w:tc>
          <w:tcPr>
            <w:tcW w:type="dxa" w:w="2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公開權重、限制與偏誤</w:t>
            </w:r>
          </w:p>
        </w:tc>
      </w:tr>
      <w:tr>
        <w:tc>
          <w:tcPr>
            <w:tcW w:type="dxa" w:w="1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第四級</w:t>
            </w:r>
          </w:p>
        </w:tc>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個案准駁或資源配置建議</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實質覆核與決定</w:t>
            </w:r>
          </w:p>
        </w:tc>
        <w:tc>
          <w:tcPr>
            <w:tcW w:type="dxa" w:w="2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法定授權、人工介入、申訴與外部審查</w:t>
            </w:r>
          </w:p>
        </w:tc>
      </w:tr>
    </w:tbl>
    <w:p>
      <w:pPr>
        <w:spacing w:after="280" w:before="120"/>
        <w:jc w:val="center"/>
      </w:pPr>
      <w:r>
        <w:rPr>
          <w:rFonts w:ascii="微軟正黑體" w:cs="微軟正黑體" w:eastAsia="微軟正黑體" w:hAnsi="微軟正黑體"/>
          <w:i/>
          <w:iCs/>
          <w:color w:val="555555"/>
          <w:sz w:val="18"/>
          <w:szCs w:val="18"/>
        </w:rPr>
        <w:t xml:space="preserve">表12-5　AI輔助政策制訂分級</w:t>
      </w:r>
    </w:p>
    <w:p>
      <w:pPr>
        <w:spacing w:after="200" w:line="360"/>
        <w:ind w:firstLine="431"/>
        <w:jc w:val="both"/>
      </w:pPr>
      <w:r>
        <w:rPr>
          <w:rFonts w:ascii="微軟正黑體" w:cs="微軟正黑體" w:eastAsia="微軟正黑體" w:hAnsi="微軟正黑體"/>
          <w:sz w:val="22"/>
          <w:szCs w:val="22"/>
        </w:rPr>
        <w:t xml:space="preserve">若AI輸出可能直接影響人民權利義務,就應提高透明度、人工覆核與救濟要求;僅止於資料搜尋或方案比較之第一、二級用途,課責重點則在於紀錄可溯性,而非個案救濟機制。</w:t>
      </w:r>
    </w:p>
    <w:p>
      <w:pPr>
        <w:spacing w:after="140" w:before="260"/>
      </w:pPr>
      <w:r>
        <w:rPr>
          <w:rFonts w:ascii="微軟正黑體" w:cs="微軟正黑體" w:eastAsia="微軟正黑體" w:hAnsi="微軟正黑體"/>
          <w:b/>
          <w:bCs/>
          <w:color w:val="2E5C8A"/>
          <w:sz w:val="23"/>
          <w:szCs w:val="23"/>
        </w:rPr>
        <w:t xml:space="preserve">六、政策制訂的責任配置</w:t>
      </w:r>
    </w:p>
    <w:p>
      <w:pPr>
        <w:spacing w:after="200" w:line="360"/>
        <w:ind w:firstLine="431"/>
        <w:jc w:val="both"/>
      </w:pPr>
      <w:r>
        <w:rPr>
          <w:rFonts w:ascii="微軟正黑體" w:cs="微軟正黑體" w:eastAsia="微軟正黑體" w:hAnsi="微軟正黑體"/>
          <w:sz w:val="22"/>
          <w:szCs w:val="22"/>
        </w:rPr>
        <w:t xml:space="preserve">政府不能因為AI由外部廠商提供,就將政策責任全部轉嫁給廠商——採購外包改變的是工作分配,不是公權力責任的歸屬。政策制訂過程中之責任應如下配置:</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6226"/>
      </w:tblGrid>
      <w:tr>
        <w:trPr>
          <w:tblHeader/>
        </w:trPr>
        <w:tc>
          <w:tcPr>
            <w:tcW w:type="dxa" w:w="2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行動者</w:t>
            </w:r>
          </w:p>
        </w:tc>
        <w:tc>
          <w:tcPr>
            <w:tcW w:type="dxa" w:w="62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主要責任</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政治首長</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決定政策方向並承擔政治責任</w:t>
            </w:r>
          </w:p>
        </w:tc>
      </w:tr>
      <w:tr>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法定決策機關</w:t>
            </w:r>
          </w:p>
        </w:tc>
        <w:tc>
          <w:tcPr>
            <w:tcW w:type="dxa" w:w="6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確認權限、程序與正式決定</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承辦與分析人員</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查核資料、揭露限制並提出專業判斷</w:t>
            </w:r>
          </w:p>
        </w:tc>
      </w:tr>
      <w:tr>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AI系統開發者</w:t>
            </w:r>
          </w:p>
        </w:tc>
        <w:tc>
          <w:tcPr>
            <w:tcW w:type="dxa" w:w="6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說明系統功能、限制、測試與更新紀錄</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資料提供者</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確保資料來源合法、品質適當與使用目的相符</w:t>
            </w:r>
          </w:p>
        </w:tc>
      </w:tr>
      <w:tr>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外部審查者</w:t>
            </w:r>
          </w:p>
        </w:tc>
        <w:tc>
          <w:tcPr>
            <w:tcW w:type="dxa" w:w="6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進行偏誤、資安、隱私與程序審查</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受影響者</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享有知情、申訴、補正與重新審查的權利</w:t>
            </w:r>
          </w:p>
        </w:tc>
      </w:tr>
    </w:tbl>
    <w:p>
      <w:pPr>
        <w:spacing w:after="280" w:before="120"/>
        <w:jc w:val="center"/>
      </w:pPr>
      <w:r>
        <w:rPr>
          <w:rFonts w:ascii="微軟正黑體" w:cs="微軟正黑體" w:eastAsia="微軟正黑體" w:hAnsi="微軟正黑體"/>
          <w:i/>
          <w:iCs/>
          <w:color w:val="555555"/>
          <w:sz w:val="18"/>
          <w:szCs w:val="18"/>
        </w:rPr>
        <w:t xml:space="preserve">表12-6　政策制訂中的責任分工</w:t>
      </w:r>
    </w:p>
    <w:p>
      <w:pPr>
        <w:spacing w:after="240" w:line="340"/>
        <w:ind w:left="576" w:right="576"/>
      </w:pPr>
      <w:r>
        <w:rPr>
          <w:rFonts w:ascii="微軟正黑體" w:cs="微軟正黑體" w:eastAsia="微軟正黑體" w:hAnsi="微軟正黑體"/>
          <w:i/>
          <w:iCs/>
          <w:sz w:val="21"/>
          <w:szCs w:val="21"/>
        </w:rPr>
        <w:t xml:space="preserve">結語:政策合法化的核心從來不是「取得同意的形式」,而是「同意背後是否存在真實的判斷」。AI輔助決策系統的挑戰,正在於它可能讓形式與實質悄悄脫鉤。</w:t>
      </w:r>
    </w:p>
    <w:p>
      <w:pPr>
        <w:spacing w:after="180" w:before="360"/>
      </w:pPr>
      <w:r>
        <w:rPr>
          <w:rFonts w:ascii="微軟正黑體" w:cs="微軟正黑體" w:eastAsia="微軟正黑體" w:hAnsi="微軟正黑體"/>
          <w:b/>
          <w:bCs/>
          <w:color w:val="1F4E79"/>
          <w:sz w:val="26"/>
          <w:szCs w:val="26"/>
        </w:rPr>
        <w:t xml:space="preserve">第五節　本教科書定位</w:t>
      </w:r>
    </w:p>
    <w:p>
      <w:pPr>
        <w:spacing w:after="200" w:line="360"/>
        <w:ind w:firstLine="431"/>
        <w:jc w:val="both"/>
      </w:pPr>
      <w:r>
        <w:rPr>
          <w:rFonts w:ascii="微軟正黑體" w:cs="微軟正黑體" w:eastAsia="微軟正黑體" w:hAnsi="微軟正黑體"/>
          <w:sz w:val="22"/>
          <w:szCs w:val="22"/>
        </w:rPr>
        <w:t xml:space="preserve">本章之特殊定位,在於將政策合法化重新詮釋為「正當性建構」而非單純的程序關卡:包容、排除、說服三策略提供了觀察政治操作的分析工具,而行政裁量與審議民主理論,則提供了評估「同意是否真實」的規範性判準。教科書進一步主張,AI輔助決策系統對合法化程序最深層的挑戰,不在於效率或準確度,而在於它可能悄悄抽空制訂者裁量之「實質內容」,使合法化程序徒具形式。學生應能運用K.C. Davis之裁量控制三機制與審議民主工具,設計出能同時保有AI輔助效率與人類實質裁量的制度安排。</w:t>
      </w:r>
    </w:p>
    <w:p>
      <w:pPr>
        <w:spacing w:after="240" w:line="340"/>
        <w:ind w:left="576" w:right="576"/>
      </w:pPr>
      <w:r>
        <w:rPr>
          <w:rFonts w:ascii="微軟正黑體" w:cs="微軟正黑體" w:eastAsia="微軟正黑體" w:hAnsi="微軟正黑體"/>
          <w:i/>
          <w:iCs/>
          <w:sz w:val="21"/>
          <w:szCs w:val="21"/>
        </w:rPr>
        <w:t xml:space="preserve">觀念釐清：合法化、裁量與審議先寫完</w:t>
      </w:r>
    </w:p>
    <w:p>
      <w:pPr>
        <w:spacing w:after="240" w:line="340"/>
        <w:ind w:left="576" w:right="576"/>
      </w:pPr>
      <w:r>
        <w:rPr>
          <w:rFonts w:ascii="微軟正黑體" w:cs="微軟正黑體" w:eastAsia="微軟正黑體" w:hAnsi="微軟正黑體"/>
          <w:i/>
          <w:iCs/>
          <w:sz w:val="21"/>
          <w:szCs w:val="21"/>
        </w:rPr>
        <w:t xml:space="preserve">政策合法化的策略、行政裁量的正當性與控制、審議民主與三種代表性，是制訂章的傳統主幹。AI輔助草案或風險排序，不能代替具名決定者在充分資訊下說出那句「同意」。右欄問的是這句同意會不會變成對輸出按讚。</w:t>
      </w:r>
    </w:p>
    <w:p>
      <w:pPr>
        <w:spacing w:after="180" w:before="360"/>
      </w:pPr>
      <w:r>
        <w:rPr>
          <w:rFonts w:ascii="微軟正黑體" w:cs="微軟正黑體" w:eastAsia="微軟正黑體" w:hAnsi="微軟正黑體"/>
          <w:b/>
          <w:bCs/>
          <w:color w:val="1F4E79"/>
          <w:sz w:val="26"/>
          <w:szCs w:val="26"/>
        </w:rPr>
        <w:t xml:space="preserve">AI鑲嵌後的權力與結構變化:政策制訂中的權力位移</w:t>
      </w:r>
    </w:p>
    <w:p>
      <w:pPr>
        <w:pStyle w:val="ListParagraph"/>
        <w:numPr>
          <w:ilvl w:val="0"/>
          <w:numId w:val="2"/>
        </w:numPr>
        <w:spacing w:after="120" w:line="340"/>
      </w:pPr>
      <w:r>
        <w:rPr>
          <w:rFonts w:ascii="微軟正黑體" w:cs="微軟正黑體" w:eastAsia="微軟正黑體" w:hAnsi="微軟正黑體"/>
          <w:sz w:val="22"/>
          <w:szCs w:val="22"/>
        </w:rPr>
        <w:t xml:space="preserve">情境建構權(P1)的延伸:規劃階段已完成的方案排序與風險標籤,在制訂階段被直接沿用為審議素材,制訂者實際審視的往往不是原始問題,而是已被AI重新框定過的選項組合。</w:t>
      </w:r>
    </w:p>
    <w:p>
      <w:pPr>
        <w:pStyle w:val="ListParagraph"/>
        <w:numPr>
          <w:ilvl w:val="0"/>
          <w:numId w:val="2"/>
        </w:numPr>
        <w:spacing w:after="120" w:line="340"/>
      </w:pPr>
      <w:r>
        <w:rPr>
          <w:rFonts w:ascii="微軟正黑體" w:cs="微軟正黑體" w:eastAsia="微軟正黑體" w:hAnsi="微軟正黑體"/>
          <w:sz w:val="22"/>
          <w:szCs w:val="22"/>
        </w:rPr>
        <w:t xml:space="preserve">行政裁量與價值判斷權(P2)的核心移轉:此為本章最主要之權力位移樣態。制訂者形式上仍握有「核准或否決」之權力,但若AI建議已附加明確的風險或效益標籤,實質判斷可能已在制訂者接觸方案之前完成,制訂者僅剩對預設結論背書或推翻之二元選擇,裁量的「內容」被架空,只剩裁量的「形式」。</w:t>
      </w:r>
    </w:p>
    <w:p>
      <w:pPr>
        <w:pStyle w:val="ListParagraph"/>
        <w:numPr>
          <w:ilvl w:val="0"/>
          <w:numId w:val="2"/>
        </w:numPr>
        <w:spacing w:after="120" w:line="340"/>
      </w:pPr>
      <w:r>
        <w:rPr>
          <w:rFonts w:ascii="微軟正黑體" w:cs="微軟正黑體" w:eastAsia="微軟正黑體" w:hAnsi="微軟正黑體"/>
          <w:sz w:val="22"/>
          <w:szCs w:val="22"/>
        </w:rPr>
        <w:t xml:space="preserve">公權力影響力(P3)的擴散:當AI輔助決策工具由私部門開發、政府採購使用時,工具背後的參數設計實質上具有形塑政策走向的準公權力性質,卻通常未進入立法審議或公開課責程序。</w:t>
      </w:r>
    </w:p>
    <w:p>
      <w:pPr>
        <w:spacing w:after="200" w:line="360"/>
        <w:ind w:firstLine="431"/>
        <w:jc w:val="both"/>
      </w:pPr>
      <w:r>
        <w:rPr>
          <w:rFonts w:ascii="微軟正黑體" w:cs="微軟正黑體" w:eastAsia="微軟正黑體" w:hAnsi="微軟正黑體"/>
          <w:sz w:val="22"/>
          <w:szCs w:val="22"/>
        </w:rPr>
        <w:t xml:space="preserve">三種結構性效應中,本章以權威重構最為核心:法源權威、專業(制訂者)權威與模型效能權威三者持續競合,制訂者可能傾向信任預測準確率較高的AI建議,而非法律或政治審議所要求之獨立判斷,形成技術權威悄然取代民主權威的風險,治理鏈斷裂即發生於權威鏈——法定授權範圍從未涵蓋、也未預見技術系統實際承擔之框定或裁量角色,形成「正當性危機」。</w:t>
      </w:r>
    </w:p>
    <w:p>
      <w:pPr>
        <w:spacing w:after="180" w:before="360"/>
      </w:pPr>
      <w:r>
        <w:rPr>
          <w:rFonts w:ascii="微軟正黑體" w:cs="微軟正黑體" w:eastAsia="微軟正黑體" w:hAnsi="微軟正黑體"/>
          <w:b/>
          <w:bCs/>
          <w:color w:val="1F4E79"/>
          <w:sz w:val="26"/>
          <w:szCs w:val="26"/>
        </w:rPr>
        <w:t xml:space="preserve">四鏈追蹤＋七項審計應用</w:t>
      </w:r>
    </w:p>
    <w:p>
      <w:pPr>
        <w:spacing w:after="200" w:line="360"/>
        <w:ind w:firstLine="431"/>
        <w:jc w:val="both"/>
      </w:pPr>
      <w:r>
        <w:rPr>
          <w:rFonts w:ascii="微軟正黑體" w:cs="微軟正黑體" w:eastAsia="微軟正黑體" w:hAnsi="微軟正黑體"/>
          <w:sz w:val="22"/>
          <w:szCs w:val="22"/>
        </w:rPr>
        <w:t xml:space="preserve">政策制訂階段的四鏈七審應用,重點在於檢視制訂者是否仍保有真實裁量,以及AI建議的採納或不採納是否留下可供事後檢驗的軌跡: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4813"/>
        <w:gridCol w:w="26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4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本章對應內容</w:t>
            </w:r>
          </w:p>
        </w:tc>
        <w:tc>
          <w:tcPr>
            <w:tcW w:type="dxa" w:w="2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情境建構鏈</w:t>
            </w:r>
          </w:p>
        </w:tc>
        <w:tc>
          <w:tcPr>
            <w:tcW w:type="dxa" w:w="4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AI輔助決策系統呈現之選項與風險╱效益標籤,是否已預先框定制訂者之判斷空間</w:t>
            </w:r>
          </w:p>
        </w:tc>
        <w:tc>
          <w:tcPr>
            <w:tcW w:type="dxa" w:w="2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資料代表性審計、隱私與資安審計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權威鏈</w:t>
            </w:r>
          </w:p>
        </w:tc>
        <w:tc>
          <w:tcPr>
            <w:tcW w:type="dxa" w:w="4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制訂機關之法定授權範圍是否涵蓋技術系統實際承擔之框定或裁量角色</w:t>
            </w:r>
          </w:p>
        </w:tc>
        <w:tc>
          <w:tcPr>
            <w:tcW w:type="dxa" w:w="2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責任歸屬審計、民主課責審計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理由鏈</w:t>
            </w:r>
          </w:p>
        </w:tc>
        <w:tc>
          <w:tcPr>
            <w:tcW w:type="dxa" w:w="4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制訂者是否仍能提出獨立於系統輸出之論證與理由,而非僅為系統建議背書</w:t>
            </w:r>
          </w:p>
        </w:tc>
        <w:tc>
          <w:tcPr>
            <w:tcW w:type="dxa" w:w="2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理由說明審計、裁量邊界審計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責任鏈</w:t>
            </w:r>
          </w:p>
        </w:tc>
        <w:tc>
          <w:tcPr>
            <w:tcW w:type="dxa" w:w="4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若採納AI建議後出現爭議或損害,制訂者、系統設計者與資料供應者之責任如何劃分</w:t>
            </w:r>
          </w:p>
        </w:tc>
        <w:tc>
          <w:tcPr>
            <w:tcW w:type="dxa" w:w="2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責任歸屬審計、組織能力審計</w:t>
            </w:r>
          </w:p>
        </w:tc>
      </w:tr>
    </w:tbl>
    <w:p>
      <w:pPr>
        <w:spacing w:after="280" w:before="120"/>
        <w:jc w:val="center"/>
      </w:pPr>
      <w:r>
        <w:rPr>
          <w:rFonts w:ascii="微軟正黑體" w:cs="微軟正黑體" w:eastAsia="微軟正黑體" w:hAnsi="微軟正黑體"/>
          <w:i/>
          <w:iCs/>
          <w:color w:val="555555"/>
          <w:sz w:val="18"/>
          <w:szCs w:val="18"/>
        </w:rPr>
        <w:t xml:space="preserve">表12-7　政策制訂階段四鏈七審應用</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白話說明</w:t>
            </w:r>
          </w:p>
          <w:p>
            <w:pPr>
              <w:spacing w:line="340"/>
              <w:jc w:val="both"/>
            </w:pPr>
            <w:r>
              <w:rPr>
                <w:rFonts w:ascii="微軟正黑體" w:cs="微軟正黑體" w:eastAsia="微軟正黑體" w:hAnsi="微軟正黑體"/>
                <w:sz w:val="21"/>
                <w:szCs w:val="21"/>
              </w:rPr>
              <w:t xml:space="preserve">AI給建議就像參謀提報告,最後拍板蓋章、負責任的仍該是有名有姓的人。</w:t>
            </w:r>
          </w:p>
        </w:tc>
      </w:tr>
    </w:tbl>
    <w:p>
      <w:pPr>
        <w:spacing w:after="180" w:before="360"/>
      </w:pPr>
      <w:r>
        <w:rPr>
          <w:rFonts w:ascii="微軟正黑體" w:cs="微軟正黑體" w:eastAsia="微軟正黑體" w:hAnsi="微軟正黑體"/>
          <w:b/>
          <w:bCs/>
          <w:color w:val="1F4E79"/>
          <w:sz w:val="26"/>
          <w:szCs w:val="26"/>
        </w:rPr>
        <w:t xml:space="preserve">案例與思考討論</w:t>
      </w:r>
    </w:p>
    <w:p>
      <w:pPr>
        <w:spacing w:after="140" w:before="260"/>
      </w:pPr>
      <w:r>
        <w:rPr>
          <w:rFonts w:ascii="微軟正黑體" w:cs="微軟正黑體" w:eastAsia="微軟正黑體" w:hAnsi="微軟正黑體"/>
          <w:b/>
          <w:bCs/>
          <w:color w:val="2E5C8A"/>
          <w:sz w:val="23"/>
          <w:szCs w:val="23"/>
        </w:rPr>
        <w:t xml:space="preserve">案例思考一(教學情境):社會住宅資格AI初篩——承辦人是否仍保留最終否准的裁量權?</w:t>
      </w:r>
    </w:p>
    <w:p>
      <w:pPr>
        <w:spacing w:after="200" w:line="360"/>
        <w:ind w:firstLine="431"/>
        <w:jc w:val="both"/>
      </w:pPr>
      <w:r>
        <w:rPr>
          <w:rFonts w:ascii="微軟正黑體" w:cs="微軟正黑體" w:eastAsia="微軟正黑體" w:hAnsi="微軟正黑體"/>
          <w:sz w:val="22"/>
          <w:szCs w:val="22"/>
        </w:rPr>
        <w:t xml:space="preserve">以下案例為政策分析之教學情境,係依公開政策趨勢建構,不代表特定機關已正式採用該系統。假設某地方政府之社會住宅申請,導入AI輔助初篩系統,依申請人之所得、資產與家戶條件產生初步資格建議,供承辦人審核參考。此類系統之治理難點在於:當AI初篩之准駁建議準確率長期偏高時,承辦人是否仍會、仍能對個案進行獨立審視?若承辦人事實上僅覆核少數「系統不確定」之邊界案件,對於系統判定「明確合格」或「明確不合格」之案件則逕行採納,實質裁量是否已從承辦人移轉至系統設計者與訓練資料?</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斷裂點</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七審檢查</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情境建構鏈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誰被資料化、誰被排除</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資料代表性審計、隱私與資安審計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權威鏈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授權基礎是否明確</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責任歸屬審計、民主課責審計</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理由鏈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解釋是否可理解</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理由說明審計、裁量邊界審計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出錯誰負責</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責任歸屬審計、組織能力審計</w:t>
            </w:r>
          </w:p>
        </w:tc>
      </w:tr>
    </w:tbl>
    <w:p>
      <w:pPr>
        <w:spacing w:after="280" w:before="120"/>
        <w:jc w:val="center"/>
      </w:pPr>
      <w:r>
        <w:rPr>
          <w:rFonts w:ascii="微軟正黑體" w:cs="微軟正黑體" w:eastAsia="微軟正黑體" w:hAnsi="微軟正黑體"/>
          <w:i/>
          <w:iCs/>
          <w:color w:val="555555"/>
          <w:sz w:val="18"/>
          <w:szCs w:val="18"/>
        </w:rPr>
        <w:t xml:space="preserve">表12-8　用四鏈七審檢視社會住宅資格AI初篩參考情境</w:t>
      </w:r>
    </w:p>
    <w:p>
      <w:pPr>
        <w:spacing w:after="140" w:before="260"/>
      </w:pPr>
      <w:r>
        <w:rPr>
          <w:rFonts w:ascii="微軟正黑體" w:cs="微軟正黑體" w:eastAsia="微軟正黑體" w:hAnsi="微軟正黑體"/>
          <w:b/>
          <w:bCs/>
          <w:color w:val="2E5C8A"/>
          <w:sz w:val="23"/>
          <w:szCs w:val="23"/>
        </w:rPr>
        <w:t xml:space="preserve">案例思考二:《氣候變遷因應法》碳費機制之合法化——包容、排除與說服的實踐</w:t>
      </w:r>
    </w:p>
    <w:p>
      <w:pPr>
        <w:spacing w:after="200" w:line="360"/>
        <w:ind w:firstLine="431"/>
        <w:jc w:val="both"/>
      </w:pPr>
      <w:r>
        <w:rPr>
          <w:rFonts w:ascii="微軟正黑體" w:cs="微軟正黑體" w:eastAsia="微軟正黑體" w:hAnsi="微軟正黑體"/>
          <w:sz w:val="22"/>
          <w:szCs w:val="22"/>
        </w:rPr>
        <w:t xml:space="preserve">我國《氣候變遷因應法》(由《溫室氣體減量及管理法》修正更名)於2023年由立法院三讀通過,其中之碳費機制歷經三項子法之訂定與費率審議程序,現已自2026年起正式開徵。此一合法化過程展現三策略之綜合運用:包容策略體現於費率審議會納入產業界、環保團體與學者代表之諮商程序;排除策略之爭議點在於部分費率細節與優惠條件之審議過程是否對外充分公開;說服策略則展現於環境部以碳洩漏風險、國際碳邊境調整機制(CBAM)等論證,爭取產業界對碳有價化之支持。具體費率數額與各產業別優惠條件屬技術性細節,且可能隨審議程序調整,請以環境部最新公告為準。</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斷裂點</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七審檢查</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情境建構鏈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碳費費率與徵收對象之情境建構,是否充分納入中小企業與基層勞工之聲音</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資料代表性審計、民主課責審計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權威鏈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碳費子法授權範圍與主管機關訂定費率之裁量界線是否明確</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責任歸屬審計、民主課責審計</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理由鏈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費率訂定之理由與衝擊評估是否對外公開、可受檢驗</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理由說明審計、裁量邊界審計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若費率設計失當導致產業外移或成本轉嫁消費者,政策責任如何歸屬</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責任歸屬審計、組織能力審計</w:t>
            </w:r>
          </w:p>
        </w:tc>
      </w:tr>
    </w:tbl>
    <w:p>
      <w:pPr>
        <w:spacing w:after="280" w:before="120"/>
        <w:jc w:val="center"/>
      </w:pPr>
      <w:r>
        <w:rPr>
          <w:rFonts w:ascii="微軟正黑體" w:cs="微軟正黑體" w:eastAsia="微軟正黑體" w:hAnsi="微軟正黑體"/>
          <w:i/>
          <w:iCs/>
          <w:color w:val="555555"/>
          <w:sz w:val="18"/>
          <w:szCs w:val="18"/>
        </w:rPr>
        <w:t xml:space="preserve">表12-9　用四鏈七審檢視氣候變遷因應法碳費機制合法化案例</w:t>
      </w:r>
    </w:p>
    <w:p>
      <w:pPr>
        <w:spacing w:after="140" w:before="260"/>
      </w:pPr>
      <w:r>
        <w:rPr>
          <w:rFonts w:ascii="微軟正黑體" w:cs="微軟正黑體" w:eastAsia="微軟正黑體" w:hAnsi="微軟正黑體"/>
          <w:b/>
          <w:bCs/>
          <w:color w:val="2E5C8A"/>
          <w:sz w:val="23"/>
          <w:szCs w:val="23"/>
        </w:rPr>
        <w:t xml:space="preserve">案例思考三:《人工智慧基本法》立法過程中的包容、排除與說服</w:t>
      </w:r>
    </w:p>
    <w:p>
      <w:pPr>
        <w:spacing w:after="200" w:line="360"/>
        <w:ind w:firstLine="431"/>
        <w:jc w:val="both"/>
      </w:pPr>
      <w:r>
        <w:rPr>
          <w:rFonts w:ascii="微軟正黑體" w:cs="微軟正黑體" w:eastAsia="微軟正黑體" w:hAnsi="微軟正黑體"/>
          <w:sz w:val="22"/>
          <w:szCs w:val="22"/>
        </w:rPr>
        <w:t xml:space="preserve">《人工智慧基本法》歷經行政院版本與國家科學及技術委員會版本之角力,最終於2025年12月經立法院三讀通過,主管機關確定為國科會,並訂入七項治理原則。此一立法過程本身即為觀察合法化三策略之絕佳案例:</w:t>
      </w:r>
    </w:p>
    <w:p>
      <w:pPr>
        <w:pStyle w:val="ListParagraph"/>
        <w:numPr>
          <w:ilvl w:val="0"/>
          <w:numId w:val="2"/>
        </w:numPr>
        <w:spacing w:after="120" w:line="340"/>
      </w:pPr>
      <w:r>
        <w:rPr>
          <w:rFonts w:ascii="微軟正黑體" w:cs="微軟正黑體" w:eastAsia="微軟正黑體" w:hAnsi="微軟正黑體"/>
          <w:sz w:val="22"/>
          <w:szCs w:val="22"/>
        </w:rPr>
        <w:t xml:space="preserve">包容策略:草案歷經多輪跨部會協商、產業座談與公民團體意見徵詢,力求納入多元利害關係人觀點。</w:t>
      </w:r>
    </w:p>
    <w:p>
      <w:pPr>
        <w:pStyle w:val="ListParagraph"/>
        <w:numPr>
          <w:ilvl w:val="0"/>
          <w:numId w:val="2"/>
        </w:numPr>
        <w:spacing w:after="120" w:line="340"/>
      </w:pPr>
      <w:r>
        <w:rPr>
          <w:rFonts w:ascii="微軟正黑體" w:cs="微軟正黑體" w:eastAsia="微軟正黑體" w:hAnsi="微軟正黑體"/>
          <w:sz w:val="22"/>
          <w:szCs w:val="22"/>
        </w:rPr>
        <w:t xml:space="preserve">排除策略之爭議:行政院版本與國科會版本在主管機關歸屬、罰則設計等關鍵條文上存在差異,最終版本之取捨過程,對外界而言透明度仍有討論空間。</w:t>
      </w:r>
    </w:p>
    <w:p>
      <w:pPr>
        <w:pStyle w:val="ListParagraph"/>
        <w:numPr>
          <w:ilvl w:val="0"/>
          <w:numId w:val="2"/>
        </w:numPr>
        <w:spacing w:after="120" w:line="340"/>
      </w:pPr>
      <w:r>
        <w:rPr>
          <w:rFonts w:ascii="微軟正黑體" w:cs="微軟正黑體" w:eastAsia="微軟正黑體" w:hAnsi="微軟正黑體"/>
          <w:sz w:val="22"/>
          <w:szCs w:val="22"/>
        </w:rPr>
        <w:t xml:space="preserve">說服策略:以資安與安全等治理原則作為核心論述,爭取跨黨派立法者與社會大眾對法案之支持,降低對AI技術風險之疑慮。</w:t>
      </w:r>
    </w:p>
    <w:p>
      <w:pPr>
        <w:pStyle w:val="ListParagraph"/>
        <w:numPr>
          <w:ilvl w:val="0"/>
          <w:numId w:val="2"/>
        </w:numPr>
        <w:spacing w:after="120" w:line="340"/>
      </w:pPr>
      <w:r>
        <w:rPr>
          <w:rFonts w:ascii="微軟正黑體" w:cs="微軟正黑體" w:eastAsia="微軟正黑體" w:hAnsi="微軟正黑體"/>
          <w:sz w:val="22"/>
          <w:szCs w:val="22"/>
        </w:rPr>
        <w:t xml:space="preserve">後續挑戰:基本法屬原則性立法,具體之裁量控制機制(如本章K.C. Davis三機制)與審議民主工具如何落實於後續子法與行政規則,仍是觀察AI治理是否真正落地的關鍵。</w:t>
      </w:r>
    </w:p>
    <w:p>
      <w:pPr>
        <w:spacing w:after="140" w:before="260"/>
      </w:pPr>
      <w:r>
        <w:rPr>
          <w:rFonts w:ascii="微軟正黑體" w:cs="微軟正黑體" w:eastAsia="微軟正黑體" w:hAnsi="微軟正黑體"/>
          <w:b/>
          <w:bCs/>
          <w:color w:val="2E5C8A"/>
          <w:sz w:val="23"/>
          <w:szCs w:val="23"/>
        </w:rPr>
        <w:t xml:space="preserve">案例思考四(教學情境):AI輔助社會福利資格認定</w:t>
      </w:r>
    </w:p>
    <w:p>
      <w:pPr>
        <w:spacing w:after="200" w:line="360"/>
        <w:ind w:firstLine="431"/>
        <w:jc w:val="both"/>
      </w:pPr>
      <w:r>
        <w:rPr>
          <w:rFonts w:ascii="微軟正黑體" w:cs="微軟正黑體" w:eastAsia="微軟正黑體" w:hAnsi="微軟正黑體"/>
          <w:sz w:val="22"/>
          <w:szCs w:val="22"/>
        </w:rPr>
        <w:t xml:space="preserve">以下案例為政策分析之教學情境,係依公開政策趨勢建構,不代表特定機關已正式採用該系統。某地方政府導入AI系統,依家庭所得、財產、扶養人口、居住狀況與過往申請紀錄,產出社會福利資格建議。系統上線後,部分申請人因資料更新不及或家庭狀況特殊而被標記為「不符合資格」。承辦人因案件量龐大,多數情況直接採納系統結果,只有少數案件進行人工複核。請分析:</w:t>
      </w:r>
    </w:p>
    <w:p>
      <w:pPr>
        <w:spacing w:after="160" w:line="340"/>
        <w:ind w:left="431" w:hanging="431"/>
      </w:pPr>
      <w:r>
        <w:rPr>
          <w:rFonts w:ascii="微軟正黑體" w:cs="微軟正黑體" w:eastAsia="微軟正黑體" w:hAnsi="微軟正黑體"/>
          <w:sz w:val="22"/>
          <w:szCs w:val="22"/>
        </w:rPr>
        <w:t xml:space="preserve">1、這是政策規劃、政策制訂,還是政策執行問題?</w:t>
      </w:r>
    </w:p>
    <w:p>
      <w:pPr>
        <w:spacing w:after="160" w:line="340"/>
        <w:ind w:left="431" w:hanging="431"/>
      </w:pPr>
      <w:r>
        <w:rPr>
          <w:rFonts w:ascii="微軟正黑體" w:cs="微軟正黑體" w:eastAsia="微軟正黑體" w:hAnsi="微軟正黑體"/>
          <w:sz w:val="22"/>
          <w:szCs w:val="22"/>
        </w:rPr>
        <w:t xml:space="preserve">2、AI輸出是否具有正式行政決定的效力?</w:t>
      </w:r>
    </w:p>
    <w:p>
      <w:pPr>
        <w:spacing w:after="160" w:line="340"/>
        <w:ind w:left="431" w:hanging="431"/>
      </w:pPr>
      <w:r>
        <w:rPr>
          <w:rFonts w:ascii="微軟正黑體" w:cs="微軟正黑體" w:eastAsia="微軟正黑體" w:hAnsi="微軟正黑體"/>
          <w:sz w:val="22"/>
          <w:szCs w:val="22"/>
        </w:rPr>
        <w:t xml:space="preserve">3、承辦人是否仍保有實質裁量?</w:t>
      </w:r>
    </w:p>
    <w:p>
      <w:pPr>
        <w:spacing w:after="160" w:line="340"/>
        <w:ind w:left="431" w:hanging="431"/>
      </w:pPr>
      <w:r>
        <w:rPr>
          <w:rFonts w:ascii="微軟正黑體" w:cs="微軟正黑體" w:eastAsia="微軟正黑體" w:hAnsi="微軟正黑體"/>
          <w:sz w:val="22"/>
          <w:szCs w:val="22"/>
        </w:rPr>
        <w:t xml:space="preserve">4、申請人是否知道被拒絕的理由?</w:t>
      </w:r>
    </w:p>
    <w:p>
      <w:pPr>
        <w:spacing w:after="160" w:line="340"/>
        <w:ind w:left="431" w:hanging="431"/>
      </w:pPr>
      <w:r>
        <w:rPr>
          <w:rFonts w:ascii="微軟正黑體" w:cs="微軟正黑體" w:eastAsia="微軟正黑體" w:hAnsi="微軟正黑體"/>
          <w:sz w:val="22"/>
          <w:szCs w:val="22"/>
        </w:rPr>
        <w:t xml:space="preserve">5、哪些資料可能造成對單親家庭、身心障礙者或非典型家庭的不利影響?</w:t>
      </w:r>
    </w:p>
    <w:p>
      <w:pPr>
        <w:spacing w:after="160" w:line="340"/>
        <w:ind w:left="431" w:hanging="431"/>
      </w:pPr>
      <w:r>
        <w:rPr>
          <w:rFonts w:ascii="微軟正黑體" w:cs="微軟正黑體" w:eastAsia="微軟正黑體" w:hAnsi="微軟正黑體"/>
          <w:sz w:val="22"/>
          <w:szCs w:val="22"/>
        </w:rPr>
        <w:t xml:space="preserve">6、依K.C. Davis三種控制機制,應如何設計覆核、說理與救濟?</w:t>
      </w:r>
    </w:p>
    <w:p>
      <w:pPr>
        <w:spacing w:after="160" w:line="340"/>
        <w:ind w:left="431" w:hanging="431"/>
      </w:pPr>
      <w:r>
        <w:rPr>
          <w:rFonts w:ascii="微軟正黑體" w:cs="微軟正黑體" w:eastAsia="微軟正黑體" w:hAnsi="微軟正黑體"/>
          <w:sz w:val="22"/>
          <w:szCs w:val="22"/>
        </w:rPr>
        <w:t xml:space="preserve">7、依四鏈七審,最脆弱的是權威鏈、理由鏈,還是責任鏈?</w:t>
      </w:r>
    </w:p>
    <w:p>
      <w:pPr>
        <w:spacing w:after="140" w:before="260"/>
      </w:pPr>
      <w:r>
        <w:rPr>
          <w:rFonts w:ascii="微軟正黑體" w:cs="微軟正黑體" w:eastAsia="微軟正黑體" w:hAnsi="微軟正黑體"/>
          <w:b/>
          <w:bCs/>
          <w:color w:val="2E5C8A"/>
          <w:sz w:val="23"/>
          <w:szCs w:val="23"/>
        </w:rPr>
        <w:t xml:space="preserve">延伸思考</w:t>
      </w:r>
    </w:p>
    <w:p>
      <w:pPr>
        <w:spacing w:after="160" w:line="340"/>
        <w:ind w:left="431" w:hanging="431"/>
      </w:pPr>
      <w:r>
        <w:rPr>
          <w:rFonts w:ascii="微軟正黑體" w:cs="微軟正黑體" w:eastAsia="微軟正黑體" w:hAnsi="微軟正黑體"/>
          <w:sz w:val="22"/>
          <w:szCs w:val="22"/>
        </w:rPr>
        <w:t xml:space="preserve">一、基礎:用25座標定位社會住宅資格AI初篩或碳費機制合法化案例,畫出其跨格移動路徑:此案例原屬哪一治理座標?因AI技術或審議工具嵌入後,又下沉或位移至哪一座標?</w:t>
      </w:r>
    </w:p>
    <w:p>
      <w:pPr>
        <w:spacing w:after="160" w:line="340"/>
        <w:ind w:left="431" w:hanging="431"/>
      </w:pPr>
      <w:r>
        <w:rPr>
          <w:rFonts w:ascii="微軟正黑體" w:cs="微軟正黑體" w:eastAsia="微軟正黑體" w:hAnsi="微軟正黑體"/>
          <w:sz w:val="22"/>
          <w:szCs w:val="22"/>
        </w:rPr>
        <w:t xml:space="preserve">二、進階:承上題,指出此案例在四鏈追蹤中最脆弱的斷裂點,並設計一份可操作的七審檢查表,列出至少四項具體稽核項目。</w:t>
      </w:r>
    </w:p>
    <w:p>
      <w:pPr>
        <w:spacing w:after="160" w:line="340"/>
        <w:ind w:left="431" w:hanging="431"/>
      </w:pPr>
      <w:r>
        <w:rPr>
          <w:rFonts w:ascii="微軟正黑體" w:cs="微軟正黑體" w:eastAsia="微軟正黑體" w:hAnsi="微軟正黑體"/>
          <w:sz w:val="22"/>
          <w:szCs w:val="22"/>
        </w:rPr>
        <w:t xml:space="preserve">三、實作:若你是政策制訂單位承辦人,請撰寫一份300字的「人類保留最終決定權」SOP,明訂當AI輔助決策系統之建議與制訂者專業判斷不一致時,應如何複核、記錄裁量理由,並保留裁量日誌格式要件。</w:t>
      </w:r>
    </w:p>
    <w:p>
      <w:pPr>
        <w:spacing w:after="160" w:line="340"/>
        <w:ind w:left="431" w:hanging="431"/>
      </w:pPr>
      <w:r>
        <w:rPr>
          <w:rFonts w:ascii="微軟正黑體" w:cs="微軟正黑體" w:eastAsia="微軟正黑體" w:hAnsi="微軟正黑體"/>
          <w:sz w:val="22"/>
          <w:szCs w:val="22"/>
        </w:rPr>
        <w:t xml:space="preserve">四、前瞻:本章由政策規劃推進至政策制訂(合法化)階段。請以前瞻句格式(例如「本章確立了……,下一章將……」),寫出本章應如何銜接第十三章「政策執行」。</w:t>
      </w:r>
    </w:p>
    <w:p>
      <w:pPr>
        <w:spacing w:after="180" w:before="360"/>
      </w:pPr>
      <w:r>
        <w:rPr>
          <w:rFonts w:ascii="微軟正黑體" w:cs="微軟正黑體" w:eastAsia="微軟正黑體" w:hAnsi="微軟正黑體"/>
          <w:b/>
          <w:bCs/>
          <w:color w:val="1F4E79"/>
          <w:sz w:val="26"/>
          <w:szCs w:val="26"/>
        </w:rPr>
        <w:t xml:space="preserve">本章小結</w:t>
      </w:r>
    </w:p>
    <w:p>
      <w:pPr>
        <w:spacing w:after="200" w:line="360"/>
        <w:ind w:firstLine="431"/>
        <w:jc w:val="both"/>
      </w:pPr>
      <w:r>
        <w:rPr>
          <w:rFonts w:ascii="微軟正黑體" w:cs="微軟正黑體" w:eastAsia="微軟正黑體" w:hAnsi="微軟正黑體"/>
          <w:sz w:val="22"/>
          <w:szCs w:val="22"/>
        </w:rPr>
        <w:t xml:space="preserve">本章依25分類定位於第三層政策體系層之政策制訂(合法化)階段,系統梳理政策合法化之定義、四重意涵與包容、排除、說服三策略,並以說服參與者之三項技巧展現合法化的政治操作本質。核心貢獻有三:第一,引入K.C. Davis裁量控制三機制(確認範圍、建立結構、事後審查),提供評估制訂者裁量是否受到適當規制的操作性架構;第二,以審議民主理論與審議式民調、公民審議會、線上參與平台等工具,說明合法化正當性如何從單純多數決,擴展至審議過程本身的品質;第三,以AI治理專節深入辨證AI輔助決策系統如何模糊化制訂者之裁量空間,並以2025年底三讀通過之《人工智慧基本法》作為台灣本土最新法制動態案例。</w:t>
      </w:r>
    </w:p>
    <w:p>
      <w:pPr>
        <w:spacing w:after="200" w:line="360"/>
        <w:ind w:firstLine="431"/>
        <w:jc w:val="both"/>
      </w:pPr>
      <w:r>
        <w:rPr>
          <w:rFonts w:ascii="微軟正黑體" w:cs="微軟正黑體" w:eastAsia="微軟正黑體" w:hAnsi="微軟正黑體"/>
          <w:sz w:val="22"/>
          <w:szCs w:val="22"/>
        </w:rPr>
        <w:t xml:space="preserve">本章亦運用25-3-3-4-7框架,指出政策制訂階段AI鑲嵌後之核心風險在於P2行政裁量與價值判斷權之移轉,以及權威重構效應下權威鏈之「正當性危機」——法定授權範圍未能涵蓋技術系統實際承擔之框定或裁量角色。以社會住宅資格AI初篩、氣候變遷因應法碳費機制與人工智慧基本法立法過程為案例,說明合法化程序之形式完備與實質正當性之間可能存在的落差。下一章「政策執行」將承接本章取得正式地位之政策,深入探討政策如何在官僚體系與人機協作中被具體落實。</w:t>
      </w:r>
    </w:p>
    <w:p>
      <w:pPr>
        <w:spacing w:after="240" w:line="340"/>
        <w:ind w:left="576" w:right="576"/>
      </w:pPr>
      <w:r>
        <w:rPr>
          <w:rFonts w:ascii="微軟正黑體" w:cs="微軟正黑體" w:eastAsia="微軟正黑體" w:hAnsi="微軟正黑體"/>
          <w:i/>
          <w:iCs/>
          <w:sz w:val="21"/>
          <w:szCs w:val="21"/>
        </w:rPr>
        <w:t xml:space="preserve">政策合法化不是取得一枚橡皮圖章,而是讓一個具名、負責的決定者,在充分資訊與獨立判斷下,對社會說出一句經得起檢驗的『同意』。</w:t>
      </w:r>
    </w:p>
    <w:p>
      <w:pPr>
        <w:spacing w:after="240" w:line="340"/>
        <w:ind w:left="576" w:right="576"/>
      </w:pPr>
      <w:r>
        <w:rPr>
          <w:rFonts w:ascii="微軟正黑體" w:cs="微軟正黑體" w:eastAsia="微軟正黑體" w:hAnsi="微軟正黑體"/>
          <w:i/>
          <w:iCs/>
          <w:sz w:val="21"/>
          <w:szCs w:val="21"/>
        </w:rPr>
        <w:t xml:space="preserve">政策制訂的正當性,不在於決策者是否使用最精密的工具,而在於他是否仍能以公開、可理解且可負責的理由,說明為何作成這項決定。</w:t>
      </w:r>
    </w:p>
    <w:p>
      <w:pPr>
        <w:spacing w:after="180" w:before="360"/>
      </w:pPr>
      <w:r>
        <w:rPr>
          <w:rFonts w:ascii="微軟正黑體" w:cs="微軟正黑體" w:eastAsia="微軟正黑體" w:hAnsi="微軟正黑體"/>
          <w:b/>
          <w:bCs/>
          <w:color w:val="1F4E79"/>
          <w:sz w:val="26"/>
          <w:szCs w:val="26"/>
        </w:rPr>
        <w:t xml:space="preserve">關鍵詞彙</w:t>
      </w:r>
    </w:p>
    <w:p>
      <w:pPr>
        <w:spacing w:after="160" w:line="340"/>
      </w:pPr>
      <w:r>
        <w:rPr>
          <w:rFonts w:ascii="微軟正黑體" w:cs="微軟正黑體" w:eastAsia="微軟正黑體" w:hAnsi="微軟正黑體"/>
          <w:b/>
          <w:bCs/>
          <w:sz w:val="22"/>
          <w:szCs w:val="22"/>
        </w:rPr>
        <w:t xml:space="preserve">政策合法化 Policy Legitimation　</w:t>
      </w:r>
      <w:r>
        <w:rPr>
          <w:rFonts w:ascii="微軟正黑體" w:cs="微軟正黑體" w:eastAsia="微軟正黑體" w:hAnsi="微軟正黑體"/>
          <w:sz w:val="22"/>
          <w:szCs w:val="22"/>
        </w:rPr>
        <w:t xml:space="preserve">政府機關將政策方案提經有權機關審議核准,取得正式地位與正當性之動態過程。</w:t>
      </w:r>
    </w:p>
    <w:p>
      <w:pPr>
        <w:spacing w:after="160" w:line="340"/>
      </w:pPr>
      <w:r>
        <w:rPr>
          <w:rFonts w:ascii="微軟正黑體" w:cs="微軟正黑體" w:eastAsia="微軟正黑體" w:hAnsi="微軟正黑體"/>
          <w:b/>
          <w:bCs/>
          <w:sz w:val="22"/>
          <w:szCs w:val="22"/>
        </w:rPr>
        <w:t xml:space="preserve">包容策略 Inclusion Strategy　</w:t>
      </w:r>
      <w:r>
        <w:rPr>
          <w:rFonts w:ascii="微軟正黑體" w:cs="微軟正黑體" w:eastAsia="微軟正黑體" w:hAnsi="微軟正黑體"/>
          <w:sz w:val="22"/>
          <w:szCs w:val="22"/>
        </w:rPr>
        <w:t xml:space="preserve">透過諮商、聯盟與妥協擴大參與,降低阻力之合法化手法。</w:t>
      </w:r>
    </w:p>
    <w:p>
      <w:pPr>
        <w:spacing w:after="160" w:line="340"/>
      </w:pPr>
      <w:r>
        <w:rPr>
          <w:rFonts w:ascii="微軟正黑體" w:cs="微軟正黑體" w:eastAsia="微軟正黑體" w:hAnsi="微軟正黑體"/>
          <w:b/>
          <w:bCs/>
          <w:sz w:val="22"/>
          <w:szCs w:val="22"/>
        </w:rPr>
        <w:t xml:space="preserve">排除策略 Exclusion Strategy　</w:t>
      </w:r>
      <w:r>
        <w:rPr>
          <w:rFonts w:ascii="微軟正黑體" w:cs="微軟正黑體" w:eastAsia="微軟正黑體" w:hAnsi="微軟正黑體"/>
          <w:sz w:val="22"/>
          <w:szCs w:val="22"/>
        </w:rPr>
        <w:t xml:space="preserve">透過繞道、保密或資訊控制排除反對者之合法化手法,具爭議性。</w:t>
      </w:r>
    </w:p>
    <w:p>
      <w:pPr>
        <w:spacing w:after="160" w:line="340"/>
      </w:pPr>
      <w:r>
        <w:rPr>
          <w:rFonts w:ascii="微軟正黑體" w:cs="微軟正黑體" w:eastAsia="微軟正黑體" w:hAnsi="微軟正黑體"/>
          <w:b/>
          <w:bCs/>
          <w:sz w:val="22"/>
          <w:szCs w:val="22"/>
        </w:rPr>
        <w:t xml:space="preserve">說服策略 Persuasion Strategy　</w:t>
      </w:r>
      <w:r>
        <w:rPr>
          <w:rFonts w:ascii="微軟正黑體" w:cs="微軟正黑體" w:eastAsia="微軟正黑體" w:hAnsi="微軟正黑體"/>
          <w:sz w:val="22"/>
          <w:szCs w:val="22"/>
        </w:rPr>
        <w:t xml:space="preserve">運用雄辯、分析與抗議爭取多數支持之合法化手法,為民主體制主要機制。</w:t>
      </w:r>
    </w:p>
    <w:p>
      <w:pPr>
        <w:spacing w:after="160" w:line="340"/>
      </w:pPr>
      <w:r>
        <w:rPr>
          <w:rFonts w:ascii="微軟正黑體" w:cs="微軟正黑體" w:eastAsia="微軟正黑體" w:hAnsi="微軟正黑體"/>
          <w:b/>
          <w:bCs/>
          <w:sz w:val="22"/>
          <w:szCs w:val="22"/>
        </w:rPr>
        <w:t xml:space="preserve">最小獲勝聯盟 Minimum Winning Coalition　</w:t>
      </w:r>
      <w:r>
        <w:rPr>
          <w:rFonts w:ascii="微軟正黑體" w:cs="微軟正黑體" w:eastAsia="微軟正黑體" w:hAnsi="微軟正黑體"/>
          <w:sz w:val="22"/>
          <w:szCs w:val="22"/>
        </w:rPr>
        <w:t xml:space="preserve">透過議價協商、遊說與聯盟建構出剛好足以通過方案之支持組合。</w:t>
      </w:r>
    </w:p>
    <w:p>
      <w:pPr>
        <w:spacing w:after="160" w:line="340"/>
      </w:pPr>
      <w:r>
        <w:rPr>
          <w:rFonts w:ascii="微軟正黑體" w:cs="微軟正黑體" w:eastAsia="微軟正黑體" w:hAnsi="微軟正黑體"/>
          <w:b/>
          <w:bCs/>
          <w:sz w:val="22"/>
          <w:szCs w:val="22"/>
        </w:rPr>
        <w:t xml:space="preserve">行政裁量 Administrative Discretion　</w:t>
      </w:r>
      <w:r>
        <w:rPr>
          <w:rFonts w:ascii="微軟正黑體" w:cs="微軟正黑體" w:eastAsia="微軟正黑體" w:hAnsi="微軟正黑體"/>
          <w:sz w:val="22"/>
          <w:szCs w:val="22"/>
        </w:rPr>
        <w:t xml:space="preserve">行政機關於法律授權範圍內,依專業判斷選擇行動方案之權限。</w:t>
      </w:r>
    </w:p>
    <w:p>
      <w:pPr>
        <w:spacing w:after="160" w:line="340"/>
      </w:pPr>
      <w:r>
        <w:rPr>
          <w:rFonts w:ascii="微軟正黑體" w:cs="微軟正黑體" w:eastAsia="微軟正黑體" w:hAnsi="微軟正黑體"/>
          <w:b/>
          <w:bCs/>
          <w:sz w:val="22"/>
          <w:szCs w:val="22"/>
        </w:rPr>
        <w:t xml:space="preserve">裁量控制三機制 Confining, Structuring, Checking　</w:t>
      </w:r>
      <w:r>
        <w:rPr>
          <w:rFonts w:ascii="微軟正黑體" w:cs="微軟正黑體" w:eastAsia="微軟正黑體" w:hAnsi="微軟正黑體"/>
          <w:sz w:val="22"/>
          <w:szCs w:val="22"/>
        </w:rPr>
        <w:t xml:space="preserve">K.C. Davis提出之裁量規制架構:確認範圍、建立結構、事後審查。</w:t>
      </w:r>
    </w:p>
    <w:p>
      <w:pPr>
        <w:spacing w:after="160" w:line="340"/>
      </w:pPr>
      <w:r>
        <w:rPr>
          <w:rFonts w:ascii="微軟正黑體" w:cs="微軟正黑體" w:eastAsia="微軟正黑體" w:hAnsi="微軟正黑體"/>
          <w:b/>
          <w:bCs/>
          <w:sz w:val="22"/>
          <w:szCs w:val="22"/>
        </w:rPr>
        <w:t xml:space="preserve">審議民主 Deliberative Democracy　</w:t>
      </w:r>
      <w:r>
        <w:rPr>
          <w:rFonts w:ascii="微軟正黑體" w:cs="微軟正黑體" w:eastAsia="微軟正黑體" w:hAnsi="微軟正黑體"/>
          <w:sz w:val="22"/>
          <w:szCs w:val="22"/>
        </w:rPr>
        <w:t xml:space="preserve">主張政策正當性亦來自審議過程品質,而非僅來自多數決結果。</w:t>
      </w:r>
    </w:p>
    <w:p>
      <w:pPr>
        <w:spacing w:after="160" w:line="340"/>
      </w:pPr>
      <w:r>
        <w:rPr>
          <w:rFonts w:ascii="微軟正黑體" w:cs="微軟正黑體" w:eastAsia="微軟正黑體" w:hAnsi="微軟正黑體"/>
          <w:b/>
          <w:bCs/>
          <w:sz w:val="22"/>
          <w:szCs w:val="22"/>
        </w:rPr>
        <w:t xml:space="preserve">溝通理性 Communicative Rationality　</w:t>
      </w:r>
      <w:r>
        <w:rPr>
          <w:rFonts w:ascii="微軟正黑體" w:cs="微軟正黑體" w:eastAsia="微軟正黑體" w:hAnsi="微軟正黑體"/>
          <w:sz w:val="22"/>
          <w:szCs w:val="22"/>
        </w:rPr>
        <w:t xml:space="preserve">Habermas提出,唯有透過平等、公開之理性論辯達成的共識才具正當性。</w:t>
      </w:r>
    </w:p>
    <w:p>
      <w:pPr>
        <w:spacing w:after="160" w:line="340"/>
      </w:pPr>
      <w:r>
        <w:rPr>
          <w:rFonts w:ascii="微軟正黑體" w:cs="微軟正黑體" w:eastAsia="微軟正黑體" w:hAnsi="微軟正黑體"/>
          <w:b/>
          <w:bCs/>
          <w:sz w:val="22"/>
          <w:szCs w:val="22"/>
        </w:rPr>
        <w:t xml:space="preserve">審議式民調 Deliberative Polling　</w:t>
      </w:r>
      <w:r>
        <w:rPr>
          <w:rFonts w:ascii="微軟正黑體" w:cs="微軟正黑體" w:eastAsia="微軟正黑體" w:hAnsi="微軟正黑體"/>
          <w:sz w:val="22"/>
          <w:szCs w:val="22"/>
        </w:rPr>
        <w:t xml:space="preserve">Fishkin提出,隨機抽樣民眾於資訊充分下審議討論並測量意見變化。</w:t>
      </w:r>
    </w:p>
    <w:p>
      <w:pPr>
        <w:spacing w:after="160" w:line="340"/>
      </w:pPr>
      <w:r>
        <w:rPr>
          <w:rFonts w:ascii="微軟正黑體" w:cs="微軟正黑體" w:eastAsia="微軟正黑體" w:hAnsi="微軟正黑體"/>
          <w:b/>
          <w:bCs/>
          <w:sz w:val="22"/>
          <w:szCs w:val="22"/>
        </w:rPr>
        <w:t xml:space="preserve">公民審議會 Citizens' Assembly　</w:t>
      </w:r>
      <w:r>
        <w:rPr>
          <w:rFonts w:ascii="微軟正黑體" w:cs="微軟正黑體" w:eastAsia="微軟正黑體" w:hAnsi="微軟正黑體"/>
          <w:sz w:val="22"/>
          <w:szCs w:val="22"/>
        </w:rPr>
        <w:t xml:space="preserve">以抽籤組成具代表性之公民小組,就特定議題審議並提出建議。</w:t>
      </w:r>
    </w:p>
    <w:p>
      <w:pPr>
        <w:spacing w:after="160" w:line="340"/>
      </w:pPr>
      <w:r>
        <w:rPr>
          <w:rFonts w:ascii="微軟正黑體" w:cs="微軟正黑體" w:eastAsia="微軟正黑體" w:hAnsi="微軟正黑體"/>
          <w:b/>
          <w:bCs/>
          <w:sz w:val="22"/>
          <w:szCs w:val="22"/>
        </w:rPr>
        <w:t xml:space="preserve">權威重構 Authority Reconfiguration　</w:t>
      </w:r>
      <w:r>
        <w:rPr>
          <w:rFonts w:ascii="微軟正黑體" w:cs="微軟正黑體" w:eastAsia="微軟正黑體" w:hAnsi="微軟正黑體"/>
          <w:sz w:val="22"/>
          <w:szCs w:val="22"/>
        </w:rPr>
        <w:t xml:space="preserve">法源權威、專業權威與模型效能權威三者競合,技術權威可能悄然取代民主權威。</w:t>
      </w:r>
    </w:p>
    <w:p>
      <w:pPr>
        <w:spacing w:after="160" w:line="340"/>
      </w:pPr>
      <w:r>
        <w:rPr>
          <w:rFonts w:ascii="微軟正黑體" w:cs="微軟正黑體" w:eastAsia="微軟正黑體" w:hAnsi="微軟正黑體"/>
          <w:b/>
          <w:bCs/>
          <w:sz w:val="22"/>
          <w:szCs w:val="22"/>
        </w:rPr>
        <w:t xml:space="preserve">權威鏈正當性危機 Authority Chain Legitimacy Crisis　</w:t>
      </w:r>
      <w:r>
        <w:rPr>
          <w:rFonts w:ascii="微軟正黑體" w:cs="微軟正黑體" w:eastAsia="微軟正黑體" w:hAnsi="微軟正黑體"/>
          <w:sz w:val="22"/>
          <w:szCs w:val="22"/>
        </w:rPr>
        <w:t xml:space="preserve">法定授權範圍未能涵蓋技術系統實際承擔之框定或裁量角色。</w:t>
      </w:r>
    </w:p>
    <w:p>
      <w:pPr>
        <w:spacing w:after="160" w:line="340"/>
      </w:pPr>
      <w:r>
        <w:rPr>
          <w:rFonts w:ascii="微軟正黑體" w:cs="微軟正黑體" w:eastAsia="微軟正黑體" w:hAnsi="微軟正黑體"/>
          <w:b/>
          <w:bCs/>
          <w:sz w:val="22"/>
          <w:szCs w:val="22"/>
        </w:rPr>
        <w:t xml:space="preserve">可解釋性說服 Explainable Persuasion　</w:t>
      </w:r>
      <w:r>
        <w:rPr>
          <w:rFonts w:ascii="微軟正黑體" w:cs="微軟正黑體" w:eastAsia="微軟正黑體" w:hAnsi="微軟正黑體"/>
          <w:sz w:val="22"/>
          <w:szCs w:val="22"/>
        </w:rPr>
        <w:t xml:space="preserve">要求AI輔助決策系統之建議附具可理解理由,取代傳統單向雄辯式說服。</w:t>
      </w:r>
    </w:p>
    <w:p>
      <w:pPr>
        <w:spacing w:after="160" w:line="340"/>
      </w:pPr>
      <w:r>
        <w:rPr>
          <w:rFonts w:ascii="微軟正黑體" w:cs="微軟正黑體" w:eastAsia="微軟正黑體" w:hAnsi="微軟正黑體"/>
          <w:b/>
          <w:bCs/>
          <w:sz w:val="22"/>
          <w:szCs w:val="22"/>
        </w:rPr>
        <w:t xml:space="preserve">監管沙盒 Regulatory Sandbox　</w:t>
      </w:r>
      <w:r>
        <w:rPr>
          <w:rFonts w:ascii="微軟正黑體" w:cs="微軟正黑體" w:eastAsia="微軟正黑體" w:hAnsi="微軟正黑體"/>
          <w:sz w:val="22"/>
          <w:szCs w:val="22"/>
        </w:rPr>
        <w:t xml:space="preserve">允許AI輔助決策系統於可控場域試驗並設落日條款之治理工具。</w:t>
      </w:r>
    </w:p>
    <w:p>
      <w:pPr>
        <w:spacing w:after="160" w:line="340"/>
      </w:pPr>
      <w:r>
        <w:rPr>
          <w:rFonts w:ascii="微軟正黑體" w:cs="微軟正黑體" w:eastAsia="微軟正黑體" w:hAnsi="微軟正黑體"/>
          <w:b/>
          <w:bCs/>
          <w:sz w:val="22"/>
          <w:szCs w:val="22"/>
        </w:rPr>
        <w:t xml:space="preserve">演算法影響評估 Algorithmic Impact Assessment, AIA　</w:t>
      </w:r>
      <w:r>
        <w:rPr>
          <w:rFonts w:ascii="微軟正黑體" w:cs="微軟正黑體" w:eastAsia="微軟正黑體" w:hAnsi="微軟正黑體"/>
          <w:sz w:val="22"/>
          <w:szCs w:val="22"/>
        </w:rPr>
        <w:t xml:space="preserve">事前評估AI系統對隱私、公平與民主正當性之衝擊,作為合法化要件。</w:t>
      </w:r>
    </w:p>
    <w:p>
      <w:pPr>
        <w:spacing w:after="160" w:line="340"/>
      </w:pPr>
      <w:r>
        <w:rPr>
          <w:rFonts w:ascii="微軟正黑體" w:cs="微軟正黑體" w:eastAsia="微軟正黑體" w:hAnsi="微軟正黑體"/>
          <w:b/>
          <w:bCs/>
          <w:sz w:val="22"/>
          <w:szCs w:val="22"/>
        </w:rPr>
        <w:t xml:space="preserve">人工智慧基本法　</w:t>
      </w:r>
      <w:r>
        <w:rPr>
          <w:rFonts w:ascii="微軟正黑體" w:cs="微軟正黑體" w:eastAsia="微軟正黑體" w:hAnsi="微軟正黑體"/>
          <w:sz w:val="22"/>
          <w:szCs w:val="22"/>
        </w:rPr>
        <w:t xml:space="preserve">我國2025年12月三讀通過之AI治理原則性立法,主管機關為國家科學及技術委員會。</w:t>
      </w:r>
    </w:p>
    <w:p>
      <w:pPr>
        <w:spacing w:after="160" w:line="340"/>
      </w:pPr>
      <w:r>
        <w:rPr>
          <w:rFonts w:ascii="微軟正黑體" w:cs="微軟正黑體" w:eastAsia="微軟正黑體" w:hAnsi="微軟正黑體"/>
          <w:b/>
          <w:bCs/>
          <w:sz w:val="22"/>
          <w:szCs w:val="22"/>
        </w:rPr>
        <w:t xml:space="preserve">多手問題 Many Hands Problem　</w:t>
      </w:r>
      <w:r>
        <w:rPr>
          <w:rFonts w:ascii="微軟正黑體" w:cs="微軟正黑體" w:eastAsia="微軟正黑體" w:hAnsi="微軟正黑體"/>
          <w:sz w:val="22"/>
          <w:szCs w:val="22"/>
        </w:rPr>
        <w:t xml:space="preserve">政府決策與執行由眾多機關與官員以不同方式實現,致最終責任歸屬難以確認。</w:t>
      </w:r>
    </w:p>
    <w:p>
      <w:pPr>
        <w:spacing w:after="160" w:line="340"/>
      </w:pPr>
      <w:r>
        <w:rPr>
          <w:rFonts w:ascii="微軟正黑體" w:cs="微軟正黑體" w:eastAsia="微軟正黑體" w:hAnsi="微軟正黑體"/>
          <w:b/>
          <w:bCs/>
          <w:sz w:val="22"/>
          <w:szCs w:val="22"/>
        </w:rPr>
        <w:t xml:space="preserve">政策論證 Policy Argument　</w:t>
      </w:r>
      <w:r>
        <w:rPr>
          <w:rFonts w:ascii="微軟正黑體" w:cs="微軟正黑體" w:eastAsia="微軟正黑體" w:hAnsi="微軟正黑體"/>
          <w:sz w:val="22"/>
          <w:szCs w:val="22"/>
        </w:rPr>
        <w:t xml:space="preserve">參與者尋找有利資訊強化主張並提反證抗辯他方,以促使決策者接納或拒絕方案之過程。</w:t>
      </w:r>
    </w:p>
    <w:p>
      <w:pPr>
        <w:spacing w:after="160" w:line="340"/>
      </w:pPr>
      <w:r>
        <w:rPr>
          <w:rFonts w:ascii="微軟正黑體" w:cs="微軟正黑體" w:eastAsia="微軟正黑體" w:hAnsi="微軟正黑體"/>
          <w:b/>
          <w:bCs/>
          <w:sz w:val="22"/>
          <w:szCs w:val="22"/>
        </w:rPr>
        <w:t xml:space="preserve">正當性 Legitimacy　</w:t>
      </w:r>
      <w:r>
        <w:rPr>
          <w:rFonts w:ascii="微軟正黑體" w:cs="微軟正黑體" w:eastAsia="微軟正黑體" w:hAnsi="微軟正黑體"/>
          <w:sz w:val="22"/>
          <w:szCs w:val="22"/>
        </w:rPr>
        <w:t xml:space="preserve">透過法定程序取得之合法地位,包含程序正當與實質正當,不等於全體合意。</w:t>
      </w:r>
    </w:p>
    <w:p>
      <w:pPr>
        <w:spacing w:after="160" w:line="340"/>
      </w:pPr>
      <w:r>
        <w:rPr>
          <w:rFonts w:ascii="微軟正黑體" w:cs="微軟正黑體" w:eastAsia="微軟正黑體" w:hAnsi="微軟正黑體"/>
          <w:b/>
          <w:bCs/>
          <w:sz w:val="22"/>
          <w:szCs w:val="22"/>
        </w:rPr>
        <w:t xml:space="preserve">裁量日誌 Discretion Log　</w:t>
      </w:r>
      <w:r>
        <w:rPr>
          <w:rFonts w:ascii="微軟正黑體" w:cs="微軟正黑體" w:eastAsia="微軟正黑體" w:hAnsi="微軟正黑體"/>
          <w:sz w:val="22"/>
          <w:szCs w:val="22"/>
        </w:rPr>
        <w:t xml:space="preserve">記錄裁量理由、依據與過程之書面軌跡,作為事後審查與課責之依據。</w:t>
      </w:r>
    </w:p>
    <w:p>
      <w:pPr>
        <w:spacing w:after="160" w:line="340"/>
      </w:pPr>
      <w:r>
        <w:rPr>
          <w:rFonts w:ascii="微軟正黑體" w:cs="微軟正黑體" w:eastAsia="微軟正黑體" w:hAnsi="微軟正黑體"/>
          <w:b/>
          <w:bCs/>
          <w:sz w:val="22"/>
          <w:szCs w:val="22"/>
        </w:rPr>
        <w:t xml:space="preserve">合法性 Legality　</w:t>
      </w:r>
      <w:r>
        <w:rPr>
          <w:rFonts w:ascii="微軟正黑體" w:cs="微軟正黑體" w:eastAsia="微軟正黑體" w:hAnsi="微軟正黑體"/>
          <w:sz w:val="22"/>
          <w:szCs w:val="22"/>
        </w:rPr>
        <w:t xml:space="preserve">政策是否由有權機關依照法定權限與程序作成,回答「有沒有權限」。</w:t>
      </w:r>
    </w:p>
    <w:p>
      <w:pPr>
        <w:spacing w:after="160" w:line="340"/>
      </w:pPr>
      <w:r>
        <w:rPr>
          <w:rFonts w:ascii="微軟正黑體" w:cs="微軟正黑體" w:eastAsia="微軟正黑體" w:hAnsi="微軟正黑體"/>
          <w:b/>
          <w:bCs/>
          <w:sz w:val="22"/>
          <w:szCs w:val="22"/>
        </w:rPr>
        <w:t xml:space="preserve">最低說理義務 Minimum Justification Duty　</w:t>
      </w:r>
      <w:r>
        <w:rPr>
          <w:rFonts w:ascii="微軟正黑體" w:cs="微軟正黑體" w:eastAsia="微軟正黑體" w:hAnsi="微軟正黑體"/>
          <w:sz w:val="22"/>
          <w:szCs w:val="22"/>
        </w:rPr>
        <w:t xml:space="preserve">正式政策文件至少須說明問題、方案選擇、資料來源與AI角色等內容之義務。</w:t>
      </w:r>
    </w:p>
    <w:p>
      <w:pPr>
        <w:spacing w:after="160" w:line="340"/>
      </w:pPr>
      <w:r>
        <w:rPr>
          <w:rFonts w:ascii="微軟正黑體" w:cs="微軟正黑體" w:eastAsia="微軟正黑體" w:hAnsi="微軟正黑體"/>
          <w:b/>
          <w:bCs/>
          <w:sz w:val="22"/>
          <w:szCs w:val="22"/>
        </w:rPr>
        <w:t xml:space="preserve">AI輔助政策制訂分級　</w:t>
      </w:r>
      <w:r>
        <w:rPr>
          <w:rFonts w:ascii="微軟正黑體" w:cs="微軟正黑體" w:eastAsia="微軟正黑體" w:hAnsi="微軟正黑體"/>
          <w:sz w:val="22"/>
          <w:szCs w:val="22"/>
        </w:rPr>
        <w:t xml:space="preserve">依AI介入程度區分四級,介入越接近個人權利,課責要求越高。</w:t>
      </w:r>
    </w:p>
    <w:p>
      <w:pPr>
        <w:spacing w:after="160" w:line="340"/>
      </w:pPr>
      <w:r>
        <w:rPr>
          <w:rFonts w:ascii="微軟正黑體" w:cs="微軟正黑體" w:eastAsia="微軟正黑體" w:hAnsi="微軟正黑體"/>
          <w:b/>
          <w:bCs/>
          <w:sz w:val="22"/>
          <w:szCs w:val="22"/>
        </w:rPr>
        <w:t xml:space="preserve">統計╱利益╱經驗代表性　</w:t>
      </w:r>
      <w:r>
        <w:rPr>
          <w:rFonts w:ascii="微軟正黑體" w:cs="微軟正黑體" w:eastAsia="微軟正黑體" w:hAnsi="微軟正黑體"/>
          <w:sz w:val="22"/>
          <w:szCs w:val="22"/>
        </w:rPr>
        <w:t xml:space="preserve">評估公民參與品質之三種代表性面向,參與人數多不代表具代表性。</w:t>
      </w:r>
    </w:p>
    <w:p>
      <w:pPr>
        <w:spacing w:after="160" w:line="340"/>
      </w:pPr>
      <w:r>
        <w:rPr>
          <w:rFonts w:ascii="微軟正黑體" w:cs="微軟正黑體" w:eastAsia="微軟正黑體" w:hAnsi="微軟正黑體"/>
          <w:b/>
          <w:bCs/>
          <w:sz w:val="22"/>
          <w:szCs w:val="22"/>
        </w:rPr>
        <w:t xml:space="preserve">多手問題與責任配置　</w:t>
      </w:r>
      <w:r>
        <w:rPr>
          <w:rFonts w:ascii="微軟正黑體" w:cs="微軟正黑體" w:eastAsia="微軟正黑體" w:hAnsi="微軟正黑體"/>
          <w:sz w:val="22"/>
          <w:szCs w:val="22"/>
        </w:rPr>
        <w:t xml:space="preserve">政治首長、決策機關、承辦人員、AI開發者與資料提供者間之責任分工,不因採購外包而轉嫁公權力責任。</w:t>
      </w:r>
    </w:p>
    <w:p>
      <w:pPr>
        <w:spacing w:after="180" w:before="360"/>
      </w:pPr>
      <w:r>
        <w:rPr>
          <w:rFonts w:ascii="微軟正黑體" w:cs="微軟正黑體" w:eastAsia="微軟正黑體" w:hAnsi="微軟正黑體"/>
          <w:b/>
          <w:bCs/>
          <w:color w:val="1F4E79"/>
          <w:sz w:val="26"/>
          <w:szCs w:val="26"/>
        </w:rPr>
        <w:t xml:space="preserve">思考與討論</w:t>
      </w:r>
    </w:p>
    <w:p>
      <w:pPr>
        <w:spacing w:after="160" w:line="340"/>
        <w:ind w:left="431" w:hanging="431"/>
      </w:pPr>
      <w:r>
        <w:rPr>
          <w:rFonts w:ascii="微軟正黑體" w:cs="微軟正黑體" w:eastAsia="微軟正黑體" w:hAnsi="微軟正黑體"/>
          <w:sz w:val="22"/>
          <w:szCs w:val="22"/>
        </w:rPr>
        <w:t xml:space="preserve">一、合法化混合運用包容、排除與說服,請以近年重大修法(如氣候變遷因應法或人工智慧基本法)為例,分析行政院如何運用聯盟、時機與論證爭取立院支持,並評估沉默輸家與課責機制。</w:t>
      </w:r>
    </w:p>
    <w:p>
      <w:pPr>
        <w:spacing w:after="160" w:line="340"/>
        <w:ind w:left="431" w:hanging="431"/>
      </w:pPr>
      <w:r>
        <w:rPr>
          <w:rFonts w:ascii="微軟正黑體" w:cs="微軟正黑體" w:eastAsia="微軟正黑體" w:hAnsi="微軟正黑體"/>
          <w:sz w:val="22"/>
          <w:szCs w:val="22"/>
        </w:rPr>
        <w:t xml:space="preserve">二、請運用K.C. Davis裁量控制三機制,設計一套適用於AI輔助決策系統的政策制訂裁量規制方案,並說明「確認範圍」、「建立結構」、「事後審查」三者在AI情境下分別對應何種具體制度設計。</w:t>
      </w:r>
    </w:p>
    <w:p>
      <w:pPr>
        <w:spacing w:after="160" w:line="340"/>
        <w:ind w:left="431" w:hanging="431"/>
      </w:pPr>
      <w:r>
        <w:rPr>
          <w:rFonts w:ascii="微軟正黑體" w:cs="微軟正黑體" w:eastAsia="微軟正黑體" w:hAnsi="微軟正黑體"/>
          <w:sz w:val="22"/>
          <w:szCs w:val="22"/>
        </w:rPr>
        <w:t xml:space="preserve">三、比較審議式民調、公民審議會與線上公共政策參與平台三種審議民主工具之代表性、審議品質與決策拘束力,並評析AI輔助意見統整工具可能為審議民主帶來的機會與風險。</w:t>
      </w:r>
    </w:p>
    <w:p>
      <w:pPr>
        <w:spacing w:after="160" w:line="340"/>
        <w:ind w:left="431" w:hanging="431"/>
      </w:pPr>
      <w:r>
        <w:rPr>
          <w:rFonts w:ascii="微軟正黑體" w:cs="微軟正黑體" w:eastAsia="微軟正黑體" w:hAnsi="微軟正黑體"/>
          <w:sz w:val="22"/>
          <w:szCs w:val="22"/>
        </w:rPr>
        <w:t xml:space="preserve">四、請批判性反思:若AI輔助決策系統之建議準確率極高,制訂者是否仍有充分理由堅持獨立審視每一個案?這是否構成本章所稱之「權威鏈正當性危機」?請提出至少三項可操作之因應機制。</w:t>
      </w:r>
    </w:p>
    <w:p>
      <w:pPr>
        <w:spacing w:after="160" w:line="340"/>
        <w:ind w:left="431" w:hanging="431"/>
      </w:pPr>
      <w:r>
        <w:rPr>
          <w:rFonts w:ascii="微軟正黑體" w:cs="微軟正黑體" w:eastAsia="微軟正黑體" w:hAnsi="微軟正黑體"/>
          <w:sz w:val="22"/>
          <w:szCs w:val="22"/>
        </w:rPr>
        <w:t xml:space="preserve">五、以《人工智慧基本法》之立法過程為例,運用25-3-3-4-7框架分析其合法化策略之運用,並討論此法後續之子法與行政規則,應如何落實裁量控制與審議民主原則,避免基本法淪為原則性宣示而缺乏實質拘束力。</w:t>
      </w:r>
    </w:p>
    <w:p>
      <w:pPr>
        <w:spacing w:after="140" w:before="260"/>
      </w:pPr>
      <w:r>
        <w:rPr>
          <w:rFonts w:ascii="微軟正黑體" w:cs="微軟正黑體" w:eastAsia="微軟正黑體" w:hAnsi="微軟正黑體"/>
          <w:b/>
          <w:bCs/>
          <w:color w:val="2E5C8A"/>
          <w:sz w:val="23"/>
          <w:szCs w:val="23"/>
        </w:rPr>
        <w:t xml:space="preserve">綜合申論題</w:t>
      </w:r>
    </w:p>
    <w:p>
      <w:pPr>
        <w:spacing w:after="200" w:line="360"/>
        <w:ind w:firstLine="431"/>
        <w:jc w:val="both"/>
      </w:pPr>
      <w:r>
        <w:rPr>
          <w:rFonts w:ascii="微軟正黑體" w:cs="微軟正黑體" w:eastAsia="微軟正黑體" w:hAnsi="微軟正黑體"/>
          <w:sz w:val="22"/>
          <w:szCs w:val="22"/>
        </w:rPr>
        <w:t xml:space="preserve">某中央機關準備採用AI系統協助制訂青年住宅政策。AI依據人口、所得、租金、交通與歷年申請資料,提出三種方案並標示預期效益與財政風險。請回答:</w:t>
      </w:r>
    </w:p>
    <w:p>
      <w:pPr>
        <w:spacing w:after="160" w:line="340"/>
        <w:ind w:left="431" w:hanging="431"/>
      </w:pPr>
      <w:r>
        <w:rPr>
          <w:rFonts w:ascii="微軟正黑體" w:cs="微軟正黑體" w:eastAsia="微軟正黑體" w:hAnsi="微軟正黑體"/>
          <w:sz w:val="22"/>
          <w:szCs w:val="22"/>
        </w:rPr>
        <w:t xml:space="preserve">1、說明政策規劃與政策制訂的差異。</w:t>
      </w:r>
    </w:p>
    <w:p>
      <w:pPr>
        <w:spacing w:after="160" w:line="340"/>
        <w:ind w:left="431" w:hanging="431"/>
      </w:pPr>
      <w:r>
        <w:rPr>
          <w:rFonts w:ascii="微軟正黑體" w:cs="微軟正黑體" w:eastAsia="微軟正黑體" w:hAnsi="微軟正黑體"/>
          <w:sz w:val="22"/>
          <w:szCs w:val="22"/>
        </w:rPr>
        <w:t xml:space="preserve">2、依合法性與正當性概念,分析機關採用AI建議前應完成哪些程序。</w:t>
      </w:r>
    </w:p>
    <w:p>
      <w:pPr>
        <w:spacing w:after="160" w:line="340"/>
        <w:ind w:left="431" w:hanging="431"/>
      </w:pPr>
      <w:r>
        <w:rPr>
          <w:rFonts w:ascii="微軟正黑體" w:cs="微軟正黑體" w:eastAsia="微軟正黑體" w:hAnsi="微軟正黑體"/>
          <w:sz w:val="22"/>
          <w:szCs w:val="22"/>
        </w:rPr>
        <w:t xml:space="preserve">3、運用K.C. Davis三種控制機制,設計AI輔助政策制訂的裁量規範。</w:t>
      </w:r>
    </w:p>
    <w:p>
      <w:pPr>
        <w:spacing w:after="160" w:line="340"/>
        <w:ind w:left="431" w:hanging="431"/>
      </w:pPr>
      <w:r>
        <w:rPr>
          <w:rFonts w:ascii="微軟正黑體" w:cs="微軟正黑體" w:eastAsia="微軟正黑體" w:hAnsi="微軟正黑體"/>
          <w:sz w:val="22"/>
          <w:szCs w:val="22"/>
        </w:rPr>
        <w:t xml:space="preserve">4、說明如何避免模型排序取代政治審議與公民參與。</w:t>
      </w:r>
    </w:p>
    <w:p>
      <w:pPr>
        <w:spacing w:after="160" w:line="340"/>
        <w:ind w:left="431" w:hanging="431"/>
      </w:pPr>
      <w:r>
        <w:rPr>
          <w:rFonts w:ascii="微軟正黑體" w:cs="微軟正黑體" w:eastAsia="微軟正黑體" w:hAnsi="微軟正黑體"/>
          <w:sz w:val="22"/>
          <w:szCs w:val="22"/>
        </w:rPr>
        <w:t xml:space="preserve">5、設計一份裁量日誌,至少包括資料來源、模型版本、採納理由、人工覆核、反對意見與責任人員。</w:t>
      </w:r>
    </w:p>
    <w:p>
      <w:pPr>
        <w:spacing w:after="180" w:before="360"/>
      </w:pPr>
      <w:r>
        <w:rPr>
          <w:rFonts w:ascii="微軟正黑體" w:cs="微軟正黑體" w:eastAsia="微軟正黑體" w:hAnsi="微軟正黑體"/>
          <w:b/>
          <w:bCs/>
          <w:color w:val="1F4E79"/>
          <w:sz w:val="26"/>
          <w:szCs w:val="26"/>
        </w:rPr>
        <w:t xml:space="preserve">延伸閱讀與參考文獻</w:t>
      </w:r>
    </w:p>
    <w:p>
      <w:pPr>
        <w:spacing w:after="240" w:line="340"/>
        <w:ind w:left="576" w:right="576"/>
      </w:pPr>
      <w:r>
        <w:rPr>
          <w:rFonts w:ascii="微軟正黑體" w:cs="微軟正黑體" w:eastAsia="微軟正黑體" w:hAnsi="微軟正黑體"/>
          <w:i/>
          <w:iCs/>
          <w:sz w:val="21"/>
          <w:szCs w:val="21"/>
        </w:rPr>
        <w:t xml:space="preserve">以下文獻資訊依編寫時之公開版本整理,部分機關文件、行政規則與法案沿革,建議讀者於正式引用前逐筆查證最新版本與頁碼。</w:t>
      </w:r>
    </w:p>
    <w:p>
      <w:pPr>
        <w:spacing w:after="200" w:line="360"/>
        <w:ind w:firstLine="431"/>
        <w:jc w:val="both"/>
      </w:pPr>
      <w:r>
        <w:rPr>
          <w:rFonts w:ascii="微軟正黑體" w:cs="微軟正黑體" w:eastAsia="微軟正黑體" w:hAnsi="微軟正黑體"/>
          <w:sz w:val="22"/>
          <w:szCs w:val="22"/>
        </w:rPr>
        <w:t xml:space="preserve">Davis, K. C. (1969). Discretionary justice: A preliminary inquiry. Louisiana State University Press.</w:t>
      </w:r>
    </w:p>
    <w:p>
      <w:pPr>
        <w:spacing w:after="200" w:line="360"/>
        <w:ind w:firstLine="431"/>
        <w:jc w:val="both"/>
      </w:pPr>
      <w:r>
        <w:rPr>
          <w:rFonts w:ascii="微軟正黑體" w:cs="微軟正黑體" w:eastAsia="微軟正黑體" w:hAnsi="微軟正黑體"/>
          <w:sz w:val="22"/>
          <w:szCs w:val="22"/>
        </w:rPr>
        <w:t xml:space="preserve">Habermas, J. (1996). Between facts and norms: Contributions to a discourse theory of law and democracy (W. Rehg, Trans.). MIT Press.</w:t>
      </w:r>
    </w:p>
    <w:p>
      <w:pPr>
        <w:spacing w:after="200" w:line="360"/>
        <w:ind w:firstLine="431"/>
        <w:jc w:val="both"/>
      </w:pPr>
      <w:r>
        <w:rPr>
          <w:rFonts w:ascii="微軟正黑體" w:cs="微軟正黑體" w:eastAsia="微軟正黑體" w:hAnsi="微軟正黑體"/>
          <w:sz w:val="22"/>
          <w:szCs w:val="22"/>
        </w:rPr>
        <w:t xml:space="preserve">Fishkin, J. S. (1991). Democracy and deliberation: New directions for democratic reform. Yale University Press.</w:t>
      </w:r>
    </w:p>
    <w:p>
      <w:pPr>
        <w:spacing w:after="200" w:line="360"/>
        <w:ind w:firstLine="431"/>
        <w:jc w:val="both"/>
      </w:pPr>
      <w:r>
        <w:rPr>
          <w:rFonts w:ascii="微軟正黑體" w:cs="微軟正黑體" w:eastAsia="微軟正黑體" w:hAnsi="微軟正黑體"/>
          <w:sz w:val="22"/>
          <w:szCs w:val="22"/>
        </w:rPr>
        <w:t xml:space="preserve">Wilson, J. Q. (1989). Bureaucracy: What government agencies do and why they do it. Basic Books.</w:t>
      </w:r>
    </w:p>
    <w:p>
      <w:pPr>
        <w:spacing w:after="200" w:line="360"/>
        <w:ind w:firstLine="431"/>
        <w:jc w:val="both"/>
      </w:pPr>
      <w:r>
        <w:rPr>
          <w:rFonts w:ascii="微軟正黑體" w:cs="微軟正黑體" w:eastAsia="微軟正黑體" w:hAnsi="微軟正黑體"/>
          <w:sz w:val="22"/>
          <w:szCs w:val="22"/>
        </w:rPr>
        <w:t xml:space="preserve">Dean, R. (2024). Deliberating like a state: Locating public administration within the deliberative system. Political Studies.</w:t>
      </w:r>
    </w:p>
    <w:p>
      <w:pPr>
        <w:spacing w:after="200" w:line="360"/>
        <w:ind w:firstLine="431"/>
        <w:jc w:val="both"/>
      </w:pPr>
      <w:r>
        <w:rPr>
          <w:rFonts w:ascii="微軟正黑體" w:cs="微軟正黑體" w:eastAsia="微軟正黑體" w:hAnsi="微軟正黑體"/>
          <w:sz w:val="22"/>
          <w:szCs w:val="22"/>
        </w:rPr>
        <w:t xml:space="preserve">Zhang, J., Cao, J., &amp; Meng, T. (2026). Digital legitimation and compensation: An experimental study on AI-assisted decision-making and popular legitimacy in China. Journal of Chinese Political Science.</w:t>
      </w:r>
    </w:p>
    <w:p>
      <w:pPr>
        <w:spacing w:after="200" w:line="360"/>
        <w:ind w:firstLine="431"/>
        <w:jc w:val="both"/>
      </w:pPr>
      <w:r>
        <w:rPr>
          <w:rFonts w:ascii="微軟正黑體" w:cs="微軟正黑體" w:eastAsia="微軟正黑體" w:hAnsi="微軟正黑體"/>
          <w:sz w:val="22"/>
          <w:szCs w:val="22"/>
        </w:rPr>
        <w:t xml:space="preserve">Busuioc, M. (2021). Accountable artificial intelligence. Public Management Review, 23(5), 729-746.</w:t>
      </w:r>
    </w:p>
    <w:p>
      <w:pPr>
        <w:spacing w:after="200" w:line="360"/>
        <w:ind w:firstLine="431"/>
        <w:jc w:val="both"/>
      </w:pPr>
      <w:r>
        <w:rPr>
          <w:rFonts w:ascii="微軟正黑體" w:cs="微軟正黑體" w:eastAsia="微軟正黑體" w:hAnsi="微軟正黑體"/>
          <w:sz w:val="22"/>
          <w:szCs w:val="22"/>
        </w:rPr>
        <w:t xml:space="preserve">OECD. (2023). Algorithmic accountability and registries.</w:t>
      </w:r>
    </w:p>
    <w:p>
      <w:pPr>
        <w:spacing w:after="200" w:line="360"/>
        <w:ind w:firstLine="431"/>
        <w:jc w:val="both"/>
      </w:pPr>
      <w:r>
        <w:rPr>
          <w:rFonts w:ascii="微軟正黑體" w:cs="微軟正黑體" w:eastAsia="微軟正黑體" w:hAnsi="微軟正黑體"/>
          <w:sz w:val="22"/>
          <w:szCs w:val="22"/>
        </w:rPr>
        <w:t xml:space="preserve">陳敦源、黃心怡(2023)。演算法治理與可解釋性。《行政暨政策學報》,76。</w:t>
      </w:r>
    </w:p>
    <w:p>
      <w:pPr>
        <w:spacing w:after="200" w:line="360"/>
        <w:ind w:firstLine="431"/>
        <w:jc w:val="both"/>
      </w:pPr>
      <w:r>
        <w:rPr>
          <w:rFonts w:ascii="微軟正黑體" w:cs="微軟正黑體" w:eastAsia="微軟正黑體" w:hAnsi="微軟正黑體"/>
          <w:sz w:val="22"/>
          <w:szCs w:val="22"/>
        </w:rPr>
        <w:t xml:space="preserve">歐盟(2024)。EU Artificial Intelligence Act。</w:t>
      </w:r>
    </w:p>
    <w:p>
      <w:pPr>
        <w:spacing w:after="200" w:line="360"/>
        <w:ind w:firstLine="431"/>
        <w:jc w:val="both"/>
      </w:pPr>
      <w:r>
        <w:rPr>
          <w:rFonts w:ascii="微軟正黑體" w:cs="微軟正黑體" w:eastAsia="微軟正黑體" w:hAnsi="微軟正黑體"/>
          <w:sz w:val="22"/>
          <w:szCs w:val="22"/>
        </w:rPr>
        <w:t xml:space="preserve">國家發展委員會(2018修正)。《公共政策網路參與實施要點》。</w:t>
      </w:r>
    </w:p>
    <w:p>
      <w:pPr>
        <w:spacing w:after="200" w:line="360"/>
        <w:ind w:firstLine="431"/>
        <w:jc w:val="both"/>
      </w:pPr>
      <w:r>
        <w:rPr>
          <w:rFonts w:ascii="微軟正黑體" w:cs="微軟正黑體" w:eastAsia="微軟正黑體" w:hAnsi="微軟正黑體"/>
          <w:sz w:val="22"/>
          <w:szCs w:val="22"/>
        </w:rPr>
        <w:t xml:space="preserve">吳定(2020)。公共政策辭典(五版)。五南。</w:t>
      </w:r>
    </w:p>
    <w:p>
      <w:pPr>
        <w:spacing w:after="200" w:line="360"/>
        <w:ind w:firstLine="431"/>
        <w:jc w:val="both"/>
      </w:pPr>
      <w:r>
        <w:rPr>
          <w:rFonts w:ascii="微軟正黑體" w:cs="微軟正黑體" w:eastAsia="微軟正黑體" w:hAnsi="微軟正黑體"/>
          <w:sz w:val="22"/>
          <w:szCs w:val="22"/>
        </w:rPr>
        <w:t xml:space="preserve">丘昌泰(2022)。公共政策基礎篇(六版)。五南。</w:t>
      </w:r>
    </w:p>
    <w:p>
      <w:pPr>
        <w:spacing w:after="200" w:line="360"/>
        <w:ind w:firstLine="431"/>
        <w:jc w:val="both"/>
      </w:pPr>
      <w:r>
        <w:rPr>
          <w:rFonts w:ascii="微軟正黑體" w:cs="微軟正黑體" w:eastAsia="微軟正黑體" w:hAnsi="微軟正黑體"/>
          <w:sz w:val="22"/>
          <w:szCs w:val="22"/>
        </w:rPr>
        <w:t xml:space="preserve">中央社(2025年12月23日)。立院三讀人工智慧基本法 國科會為主管機關。</w:t>
      </w:r>
    </w:p>
    <w:p>
      <w:pPr>
        <w:spacing w:after="200" w:line="360"/>
        <w:ind w:firstLine="431"/>
        <w:jc w:val="both"/>
      </w:pPr>
      <w:r>
        <w:rPr>
          <w:rFonts w:ascii="微軟正黑體" w:cs="微軟正黑體" w:eastAsia="微軟正黑體" w:hAnsi="微軟正黑體"/>
          <w:sz w:val="22"/>
          <w:szCs w:val="22"/>
        </w:rPr>
        <w:t xml:space="preserve">法源法律網(2025年12月24日)。人工智慧基本法三讀通過 明定政府推動AI應遵循7原則。</w:t>
      </w:r>
    </w:p>
    <w:p>
      <w:pPr>
        <w:spacing w:after="200" w:line="360"/>
        <w:ind w:firstLine="431"/>
        <w:jc w:val="both"/>
      </w:pPr>
      <w:r>
        <w:rPr>
          <w:rFonts w:ascii="微軟正黑體" w:cs="微軟正黑體" w:eastAsia="微軟正黑體" w:hAnsi="微軟正黑體"/>
          <w:sz w:val="22"/>
          <w:szCs w:val="22"/>
        </w:rPr>
        <w:t xml:space="preserve">數位發展部(2025)。立法院三讀通過《人工智慧基本法》構築我國AI創新與安全治理基石(新聞稿)。</w:t>
      </w:r>
    </w:p>
    <w:p>
      <w:pPr>
        <w:spacing w:after="200" w:line="360"/>
        <w:ind w:firstLine="431"/>
        <w:jc w:val="both"/>
      </w:pPr>
      <w:r>
        <w:rPr>
          <w:rFonts w:ascii="微軟正黑體" w:cs="微軟正黑體" w:eastAsia="微軟正黑體" w:hAnsi="微軟正黑體"/>
          <w:sz w:val="22"/>
          <w:szCs w:val="22"/>
        </w:rPr>
        <w:t xml:space="preserve">行政院環境部(2024)。氣候變遷因應法碳費徵收相關子法說明。</w:t>
      </w:r>
    </w:p>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前瞻:通往第十三章</w:t>
            </w:r>
          </w:p>
          <w:p>
            <w:pPr>
              <w:spacing w:line="340"/>
              <w:jc w:val="both"/>
            </w:pPr>
            <w:r>
              <w:rPr>
                <w:rFonts w:ascii="微軟正黑體" w:cs="微軟正黑體" w:eastAsia="微軟正黑體" w:hAnsi="微軟正黑體"/>
                <w:sz w:val="21"/>
                <w:szCs w:val="21"/>
              </w:rPr>
              <w:t xml:space="preserve">本章確立了政策制訂(合法化)階段「方案如何取得正式地位、正當性如何被建構」之理論架構,並指出AI輔助決策系統介入後,權威鏈可能面臨「正當性危機」——制訂者的裁量恐怕只剩形式而無實質。下一章「政策執行」,將進一步追問:當政策已取得正式地位,官僚體系與街頭官僚如何將其付諸實行?由上而下與由下而上的執行落差,在AI與系統層官僚的協作下,又將呈現何種新的樣貌?</w:t>
            </w:r>
          </w:p>
        </w:tc>
      </w:tr>
    </w:tbl>
    <w:p>
      <w:r>
        <w:rPr>
          <w:b/>
          <w:sz w:val="28"/>
        </w:rPr>
        <w:t>補充專節　傳統政策合法化理論與AI治理的雙重累加</w:t>
      </w:r>
    </w:p>
    <w:p>
      <w:r>
        <w:rPr>
          <w:i w:val="0"/>
        </w:rPr>
        <w:t>本專節在不取代前述傳統理論的前提下，將政策合法化、行政裁量與審議民主，與近年人工智慧治理的風險導向、基本權保障及可問責設計加以整合。其核心不是以AI治理取代公共行政理論，而是將AI視為嵌入政策循環的制度性行動者與權力中介，重新檢驗誰能定義問題、誰能提出可接受的理由，以及誰有能力修正錯誤。換言之，傳統理論回答「政策為何具有正當性」，AI治理則進一步追問「資料、模型與系統如何影響正當性，以及如何讓影響可被發現、質疑與修正」。</w:t>
      </w:r>
    </w:p>
    <w:p>
      <w:r>
        <w:rPr>
          <w:i w:val="0"/>
        </w:rPr>
        <w:t>截至2026年，台灣已由政策指引逐步走向基本法與影響評估並行的治理架構。立法院於2025年12月23日三讀通過《人工智慧基本法》，其政策目的包括以人為本、促進產業發展、建立安全應用環境、落實數位平權與保障基本權利；立法資訊並顯示該案完成三讀且附帶決議五項。因此，本章原有的「AI輔助決策可能造成權威鏈正當性危機」不宜只停留在抽象警示，而應進一步轉化為主管機關、資料治理、影響評估、理由說明、人工覆核與救濟機制的制度設計。</w:t>
      </w:r>
    </w:p>
    <w:p>
      <w:r>
        <w:rPr>
          <w:b/>
          <w:sz w:val="24"/>
        </w:rPr>
        <w:t>一、傳統理論的累加：從合法化到公共理由</w:t>
      </w:r>
    </w:p>
    <w:p>
      <w:r>
        <w:rPr>
          <w:i w:val="0"/>
        </w:rPr>
        <w:t>政策合法化的傳統主幹至少可由四組理論互相補強。第一，韋伯的合法性類型提醒我們，政策接受可能建立在法定程序、傳統信念或領袖魅力之上；在現代行政國家，法定權威雖是必要條件，卻不足以單獨保證政策具有正當性。第二，Davis的裁量理論指出，規則不可能預先涵蓋所有情境，因此裁量必須透過界線、結構與事後審查加以控制。第三，Habermas的論述理論把正當性連結到公開、平等與可回應的公共論辯。第四，Arnstein的參與階梯及後續參與治理研究提醒我們，資訊告知、諮詢、共同決定與公民賦權並非同一層次，參與是否真能影響結果，才是判斷參與品質的關鍵。</w:t>
      </w:r>
    </w:p>
    <w:p>
      <w:r>
        <w:rPr>
          <w:i w:val="0"/>
        </w:rPr>
        <w:t>將上述理論放入AI情境，可以形成「四層正當性」分析：權限正當性檢驗誰依法有權決定；程序正當性檢驗是否提供公平參與、資訊與申訴；理由正當性檢驗決定是否能以可理解、可檢驗的理由辯護；結果正當性則檢驗政策是否造成不成比例的歧視、排除或權利侵害。AI系統的準確率只能部分回應結果品質，不能取代權限、程序與理由三層正當性。</w:t>
      </w:r>
    </w:p>
    <w:p>
      <w:r>
        <w:rPr>
          <w:b/>
          <w:sz w:val="24"/>
        </w:rPr>
        <w:t>二、AI治理的累加：從原則到可操作控制</w:t>
      </w:r>
    </w:p>
    <w:p>
      <w:r>
        <w:rPr>
          <w:i w:val="0"/>
        </w:rPr>
        <w:t>全球AI治理逐漸形成一組跨法域的共同語彙。OECD於2024年更新AI原則，核心包括包容性成長與福祉、人權與民主價值、透明與可解釋、穩健安全，以及問責；其目標是促成尊重人權、公平、透明、可解釋、穩健與安全的可信賴AI。UNESCO《人工智慧倫理建議書》則由193個會員國於2021年通過，強調人權與尊嚴、透明、公平、環境永續、人類監督、可稽核性、可追溯性及影響評估。美國NIST AI RMF 1.0進一步把可信賴性拆為有效可靠、安全、資安與韌性、問責透明、可解釋可理解、隱私強化，以及公平並管理有害偏誤等特性。</w:t>
      </w:r>
    </w:p>
    <w:p>
      <w:r>
        <w:rPr>
          <w:i w:val="0"/>
        </w:rPr>
        <w:t>歐盟《人工智慧法》採風險分級的硬法模式，Regulation (EU) 2024/1689於2024年公布，規範AI系統的開發、上市、投入服務與使用，並以健康、安全、基本權、民主、法治與環境保護為治理背景；官方資料載明其自2026年8月2日起全面適用。對本章而言，歐盟模式的重要啟示不是照搬分類，而是把「高風險」轉化為事前風險管理、資料治理、技術文件、紀錄保存、人類監督與事後監測等可驗證義務。</w:t>
      </w:r>
    </w:p>
    <w:p>
      <w:r>
        <w:rPr>
          <w:b/>
          <w:sz w:val="24"/>
        </w:rPr>
        <w:t>三、台灣制度脈絡：從生成式AI指引到基本法</w:t>
      </w:r>
    </w:p>
    <w:p>
      <w:r>
        <w:rPr>
          <w:i w:val="0"/>
        </w:rPr>
        <w:t>台灣目前可觀察到「軟法指引—基本法—影響評估」的漸進式治理路徑。行政院及所屬機關使用生成式AI參考指引要求，生成式AI輸出仍須由業務承辦人作客觀且專業的最終判斷，不得取代自主思維；機關不得以未經確認的輸出直接作成行政行為或作為公務決策的唯一依據，並應適當揭露AI的使用。國科會FAQ也明確說明，該指引不具法律強制力與罰則，但具有政策宣示與示範作用。</w:t>
      </w:r>
    </w:p>
    <w:p>
      <w:r>
        <w:rPr>
          <w:i w:val="0"/>
        </w:rPr>
        <w:t>數位發展部目前推動AI應用影響評估，採風險導向問卷與專家意見方式，評估兒少、人權及性別影響，並提出相應的風險處理方式。這使本章的演算法影響評估不再只是國外概念，而可與台灣行政實務的政策工具連結。對政策制訂者而言，影響評估應在「決定是否導入AI」之前完成，而不是系統發生爭議後才補作說明。</w:t>
      </w:r>
    </w:p>
    <w:p>
      <w:r>
        <w:rPr>
          <w:b/>
          <w:sz w:val="24"/>
        </w:rPr>
        <w:t>四、雙重累加矩陣：傳統理論與AI治理的對照</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Look w:firstColumn="1" w:firstRow="1" w:lastColumn="0" w:lastRow="0" w:noHBand="0" w:noVBand="1" w:val="04A0"/>
      </w:tblPr>
      <w:tblGrid>
        <w:gridCol w:w="1400"/>
        <w:gridCol w:w="2600"/>
        <w:gridCol w:w="2800"/>
        <w:gridCol w:w="2226"/>
      </w:tblGrid>
      <w:tr>
        <w:tc>
          <w:tcPr>
            <w:tcW w:type="dxa" w:w="1400"/>
            <w:shd w:val="clear" w:fill="1F4E79"/>
            <w:tcMar>
              <w:top w:type="dxa" w:w="80"/>
              <w:left w:type="dxa" w:w="100"/>
              <w:bottom w:type="dxa" w:w="80"/>
              <w:right w:type="dxa" w:w="100"/>
            </w:tcMar>
            <w:vAlign w:val="center"/>
          </w:tcPr>
          <w:p>
            <w:pPr>
              <w:spacing w:after="40"/>
              <w:jc w:val="center"/>
            </w:pPr>
            <w:r/>
            <w:r>
              <w:rPr>
                <w:rFonts w:ascii="微軟正黑體" w:hAnsi="微軟正黑體" w:eastAsia="微軟正黑體" w:cs="微軟正黑體"/>
                <w:b/>
                <w:color w:val="FFFFFF"/>
                <w:sz w:val="19"/>
              </w:rPr>
              <w:t>治理面向</w:t>
            </w:r>
          </w:p>
        </w:tc>
        <w:tc>
          <w:tcPr>
            <w:tcW w:type="dxa" w:w="2600"/>
            <w:shd w:val="clear" w:fill="1F4E79"/>
            <w:tcMar>
              <w:top w:type="dxa" w:w="80"/>
              <w:left w:type="dxa" w:w="100"/>
              <w:bottom w:type="dxa" w:w="80"/>
              <w:right w:type="dxa" w:w="100"/>
            </w:tcMar>
            <w:vAlign w:val="center"/>
          </w:tcPr>
          <w:p>
            <w:pPr>
              <w:spacing w:after="40"/>
              <w:jc w:val="center"/>
            </w:pPr>
            <w:r/>
            <w:r>
              <w:rPr>
                <w:rFonts w:ascii="微軟正黑體" w:hAnsi="微軟正黑體" w:eastAsia="微軟正黑體" w:cs="微軟正黑體"/>
                <w:b/>
                <w:color w:val="FFFFFF"/>
                <w:sz w:val="19"/>
              </w:rPr>
              <w:t>傳統理論核心工具</w:t>
            </w:r>
          </w:p>
        </w:tc>
        <w:tc>
          <w:tcPr>
            <w:tcW w:type="dxa" w:w="2800"/>
            <w:shd w:val="clear" w:fill="1F4E79"/>
            <w:tcMar>
              <w:top w:type="dxa" w:w="80"/>
              <w:left w:type="dxa" w:w="100"/>
              <w:bottom w:type="dxa" w:w="80"/>
              <w:right w:type="dxa" w:w="100"/>
            </w:tcMar>
            <w:vAlign w:val="center"/>
          </w:tcPr>
          <w:p>
            <w:pPr>
              <w:spacing w:after="40"/>
              <w:jc w:val="center"/>
            </w:pPr>
            <w:r/>
            <w:r>
              <w:rPr>
                <w:rFonts w:ascii="微軟正黑體" w:hAnsi="微軟正黑體" w:eastAsia="微軟正黑體" w:cs="微軟正黑體"/>
                <w:b/>
                <w:color w:val="FFFFFF"/>
                <w:sz w:val="19"/>
              </w:rPr>
              <w:t>AI治理對照工具</w:t>
            </w:r>
          </w:p>
        </w:tc>
        <w:tc>
          <w:tcPr>
            <w:tcW w:type="dxa" w:w="2226"/>
            <w:shd w:val="clear" w:fill="1F4E79"/>
            <w:tcMar>
              <w:top w:type="dxa" w:w="80"/>
              <w:left w:type="dxa" w:w="100"/>
              <w:bottom w:type="dxa" w:w="80"/>
              <w:right w:type="dxa" w:w="100"/>
            </w:tcMar>
            <w:vAlign w:val="center"/>
          </w:tcPr>
          <w:p>
            <w:pPr>
              <w:spacing w:after="40"/>
              <w:jc w:val="center"/>
            </w:pPr>
            <w:r/>
            <w:r>
              <w:rPr>
                <w:rFonts w:ascii="微軟正黑體" w:hAnsi="微軟正黑體" w:eastAsia="微軟正黑體" w:cs="微軟正黑體"/>
                <w:b/>
                <w:color w:val="FFFFFF"/>
                <w:sz w:val="19"/>
              </w:rPr>
              <w:t>整合措施</w:t>
            </w:r>
          </w:p>
        </w:tc>
      </w:tr>
      <w:tr>
        <w:tc>
          <w:tcPr>
            <w:tcW w:type="dxa" w:w="14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合法性／正當性</w:t>
            </w:r>
          </w:p>
        </w:tc>
        <w:tc>
          <w:tcPr>
            <w:tcW w:type="dxa" w:w="26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法定權限、程序遵循、公共理由與可接受性</w:t>
            </w:r>
          </w:p>
        </w:tc>
        <w:tc>
          <w:tcPr>
            <w:tcW w:type="dxa" w:w="28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AI用途合法依據、基本權影響、透明揭露與可爭訟性</w:t>
            </w:r>
          </w:p>
        </w:tc>
        <w:tc>
          <w:tcPr>
            <w:tcW w:type="dxa" w:w="2226"/>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權限審查＋影響評估＋公開理由</w:t>
            </w:r>
          </w:p>
        </w:tc>
      </w:tr>
      <w:tr>
        <w:tc>
          <w:tcPr>
            <w:tcW w:type="dxa" w:w="14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行政裁量</w:t>
            </w:r>
          </w:p>
        </w:tc>
        <w:tc>
          <w:tcPr>
            <w:tcW w:type="dxa" w:w="26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確認範圍、建立結構、事後審查</w:t>
            </w:r>
          </w:p>
        </w:tc>
        <w:tc>
          <w:tcPr>
            <w:tcW w:type="dxa" w:w="28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用途界定、人工監督、日誌保存、模型與資料稽核</w:t>
            </w:r>
          </w:p>
        </w:tc>
        <w:tc>
          <w:tcPr>
            <w:tcW w:type="dxa" w:w="2226"/>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禁止自動化越權＋採納／不採納理由</w:t>
            </w:r>
          </w:p>
        </w:tc>
      </w:tr>
      <w:tr>
        <w:tc>
          <w:tcPr>
            <w:tcW w:type="dxa" w:w="14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審議民主</w:t>
            </w:r>
          </w:p>
        </w:tc>
        <w:tc>
          <w:tcPr>
            <w:tcW w:type="dxa" w:w="26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平等發言、資訊充分、理由交換與意見回應</w:t>
            </w:r>
          </w:p>
        </w:tc>
        <w:tc>
          <w:tcPr>
            <w:tcW w:type="dxa" w:w="28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資料代表性、模型摘要偏誤、數位落差與少數意見保留</w:t>
            </w:r>
          </w:p>
        </w:tc>
        <w:tc>
          <w:tcPr>
            <w:tcW w:type="dxa" w:w="2226"/>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原始意見可追溯＋人工複核＋異議管道</w:t>
            </w:r>
          </w:p>
        </w:tc>
      </w:tr>
      <w:tr>
        <w:tc>
          <w:tcPr>
            <w:tcW w:type="dxa" w:w="14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課責</w:t>
            </w:r>
          </w:p>
        </w:tc>
        <w:tc>
          <w:tcPr>
            <w:tcW w:type="dxa" w:w="26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具名決定者、議會監督、司法救濟與行政責任</w:t>
            </w:r>
          </w:p>
        </w:tc>
        <w:tc>
          <w:tcPr>
            <w:tcW w:type="dxa" w:w="28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多手問題、供應商責任、模型更新與資料鏈責任</w:t>
            </w:r>
          </w:p>
        </w:tc>
        <w:tc>
          <w:tcPr>
            <w:tcW w:type="dxa" w:w="2226"/>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責任矩陣＋契約義務＋獨立稽核</w:t>
            </w:r>
          </w:p>
        </w:tc>
      </w:tr>
      <w:tr>
        <w:tc>
          <w:tcPr>
            <w:tcW w:type="dxa" w:w="14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政策學習</w:t>
            </w:r>
          </w:p>
        </w:tc>
        <w:tc>
          <w:tcPr>
            <w:tcW w:type="dxa" w:w="26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事後評估、修正政策與回饋循環</w:t>
            </w:r>
          </w:p>
        </w:tc>
        <w:tc>
          <w:tcPr>
            <w:tcW w:type="dxa" w:w="28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漂移監測、偏誤測試、停止使用與復原機制</w:t>
            </w:r>
          </w:p>
        </w:tc>
        <w:tc>
          <w:tcPr>
            <w:tcW w:type="dxa" w:w="2226"/>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定期再評估＋落日條款＋可撤回權</w:t>
            </w:r>
          </w:p>
        </w:tc>
      </w:tr>
    </w:tbl>
    <w:p>
      <w:r>
        <w:rPr>
          <w:i w:val="0"/>
        </w:rPr>
        <w:t>表12-10　傳統政策合法化理論與AI治理工具的雙重累加矩陣</w:t>
      </w:r>
    </w:p>
    <w:p>
      <w:r>
        <w:rPr>
          <w:b/>
          <w:sz w:val="24"/>
        </w:rPr>
        <w:t>五、從四鏈七審到八項治理閘門</w:t>
      </w:r>
    </w:p>
    <w:p>
      <w:r>
        <w:rPr>
          <w:i w:val="0"/>
        </w:rPr>
        <w:t>原有四鏈七審可再加入「用途與停止」閘門，使治理不只追蹤系統如何影響決策，也能在風險升高時中止或撤回。八項治理閘門如下：</w:t>
      </w:r>
    </w:p>
    <w:p>
      <w:r>
        <w:t>• 用途與權限閘門：確認AI使用目的、法律依據、決策層級與不得自動化的事項。</w:t>
      </w:r>
    </w:p>
    <w:p>
      <w:r>
        <w:t>• 問題框定閘門：檢查資料與模型是否把政策問題縮減為可計算指標，並保留未被資料化的價值與經驗。</w:t>
      </w:r>
    </w:p>
    <w:p>
      <w:r>
        <w:t>• 資料與代表性閘門：檢查資料來源、品質、時效、偏誤、弱勢群體涵蓋與個資使用目的。</w:t>
      </w:r>
    </w:p>
    <w:p>
      <w:r>
        <w:t>• 模型與效能閘門：公布模型版本、適用範圍、錯誤率、不確定性與不同群體的差異效能。</w:t>
      </w:r>
    </w:p>
    <w:p>
      <w:r>
        <w:t>• 人類監督閘門：指定具名決定者，要求其能理解輸出、提出反證、拒絕建議並啟動升級審查。</w:t>
      </w:r>
    </w:p>
    <w:p>
      <w:r>
        <w:t>• 理由與參與閘門：提供一般人可理解的政策理由、AI角色、替代方案、反對意見與機關回應。</w:t>
      </w:r>
    </w:p>
    <w:p>
      <w:r>
        <w:t>• 救濟與修正閘門：提供更正資料、人工複核、申訴、重新決定、損害補救與外部監督。</w:t>
      </w:r>
    </w:p>
    <w:p>
      <w:r>
        <w:t>• 監測與退出閘門：設定事件通報、定期影響評估、模型漂移監測、落日條款、暫停與撤回條件。</w:t>
      </w:r>
    </w:p>
    <w:p>
      <w:r>
        <w:rPr>
          <w:i w:val="0"/>
        </w:rPr>
        <w:t>此八項閘門可與本章四鏈對應：第一至第三項主要防止情境建構鏈失真；第四至第五項防止權威鏈與裁量邊界被模型取代；第六項強化理由鏈；第七至第八項則使責任鏈具有補救、修正與撤回能力。其規範性重點是：可解釋並非只提供技術說明，而是讓受影響者有能力理解、質疑並改變決策。</w:t>
      </w:r>
    </w:p>
    <w:p>
      <w:r>
        <w:rPr>
          <w:b/>
          <w:sz w:val="24"/>
        </w:rPr>
        <w:t>六、政策制訂AI治理SOP</w:t>
      </w:r>
    </w:p>
    <w:p>
      <w:r>
        <w:rPr>
          <w:i w:val="0"/>
        </w:rPr>
        <w:t>為使本章由理論進入行政操作，可將政策制訂AI治理SOP設計為九步：</w:t>
      </w:r>
    </w:p>
    <w:p>
      <w:r>
        <w:t>• 界定問題與非AI替代方案：先說明公共問題、政策目標與不用AI的可行方法。</w:t>
      </w:r>
    </w:p>
    <w:p>
      <w:r>
        <w:t>• 確認法源與風險級別：判斷AI是否涉及基本權、重大資源分配、資格、制裁或高風險群體。</w:t>
      </w:r>
    </w:p>
    <w:p>
      <w:r>
        <w:t>• 完成影響評估：分析隱私、公平、性別、兒少、身心障礙、原住民族與數位落差影響。</w:t>
      </w:r>
    </w:p>
    <w:p>
      <w:r>
        <w:t>• 建立資料與模型檔案：記錄來源、清理、變數、版本、限制、測試結果與供應商資訊。</w:t>
      </w:r>
    </w:p>
    <w:p>
      <w:r>
        <w:t>• 設計多方案審議：不得只呈現模型排名，應同步呈現替代方案、分配效果、利益受損者與不確定性。</w:t>
      </w:r>
    </w:p>
    <w:p>
      <w:r>
        <w:t>• 執行人工獨立判斷：決定者須記錄採納、修改或不採納AI建議的理由。</w:t>
      </w:r>
    </w:p>
    <w:p>
      <w:r>
        <w:t>• 公開與參與：揭露AI角色、重要資料與評估結果，提供公民、專家及受影響群體回應機會。</w:t>
      </w:r>
    </w:p>
    <w:p>
      <w:r>
        <w:t>• 設定救濟與責任：明定申訴窗口、人工覆核時限、責任人員、供應商義務與外部稽核方式。</w:t>
      </w:r>
    </w:p>
    <w:p>
      <w:r>
        <w:t>• 持續監測與退出：設定再評估週期、偏誤門檻、重大事件通報及暫停或撤回條件。</w:t>
      </w:r>
    </w:p>
    <w:p>
      <w:r>
        <w:rPr>
          <w:b/>
          <w:sz w:val="24"/>
        </w:rPr>
        <w:t>七、台灣與全球文獻的教學整合</w:t>
      </w:r>
    </w:p>
    <w:p>
      <w:r>
        <w:rPr>
          <w:i w:val="0"/>
        </w:rPr>
        <w:t>台灣文獻與政策材料宜負責處理制度脈絡、行政法制、數位政府與在地參與經驗；全球文獻則可用來建立比較分析與規範性框架。建議學生不要把國際原則當成台灣制度的直接答案，而應追問三個轉譯問題：第一，國際原則如何進入我國法律授權、行政規則與採購契約；第二，誰負責將抽象原則轉為可稽核指標；第三，人民在台灣現行行政救濟、資訊公開與個資制度下，能否實際行使知情、質疑、補正與撤回等權利。</w:t>
      </w:r>
    </w:p>
    <w:p>
      <w:r>
        <w:rPr>
          <w:i w:val="0"/>
        </w:rPr>
        <w:t>在研究設計上，可採「傳統理論＋AI治理」的雙層編碼：第一層以合法性、正當性、裁量、審議、代表性與課責作為理論碼；第二層以透明、可解釋、公平、隱私、安全、人工監督、可爭訟性、可修正性與可撤回性作為治理碼。如此既能保持公共行政與政策科學的學科主體性，又能避免AI治理研究只剩技術合規清單。</w:t>
      </w:r>
    </w:p>
    <w:p>
      <w:r>
        <w:rPr>
          <w:b/>
          <w:sz w:val="24"/>
        </w:rPr>
        <w:t>補充案例：AI輔助青年住宅政策制訂</w:t>
      </w:r>
    </w:p>
    <w:p>
      <w:r>
        <w:rPr>
          <w:i w:val="0"/>
        </w:rPr>
        <w:t>某中央機關以人口、所得、租金、交通與歷年申請資料建立青年住宅政策模擬系統，產出三種方案並標示效益與財政風險。依傳統政策分析，機關應先進行問題界定、利害關係人分析、成本效益比較與政治可行性評估；依AI治理要求，還應檢查歷年申請資料是否排除未曾申請者、租金資料是否反映非都會區、交通指標是否對身心障礙者與照顧者不利，以及模型是否把「可量化的入住效率」誤當成唯一公共價值。</w:t>
      </w:r>
    </w:p>
    <w:p>
      <w:r>
        <w:rPr>
          <w:i w:val="0"/>
        </w:rPr>
        <w:t>在正式制訂前，機關至少應公開三套方案的假設、資料限制、預測區間、分配結果與未採用理由，並邀請青年、租屋族、地方政府、房東、社福團體、身心障礙者及區域代表參與審議。若AI排名與公民審議結果不一致，決策者不能以「模型較準確」作為終止討論的理由，而應說明採用何種公共價值排序、如何處理少數受損者，以及為何仍認為該方案符合比例原則與公平要求。</w:t>
      </w:r>
    </w:p>
    <w:p>
      <w:r>
        <w:rPr>
          <w:b/>
          <w:sz w:val="24"/>
        </w:rPr>
        <w:t>補充小結</w:t>
      </w:r>
    </w:p>
    <w:p>
      <w:r>
        <w:rPr>
          <w:i w:val="0"/>
        </w:rPr>
        <w:t>本章的傳統理論與AI治理並非兩條平行線。政策合法化提供權限、程序、理由與接受性的規範基礎；行政裁量理論提供人類判斷不可被技術默默取代的制度理由；審議民主則要求受影響者不只被告知，而要有理解、回應與影響政策的實質機會。AI治理再把這些要求落實為風險分級、資料治理、影響評估、人工監督、可追溯紀錄、申訴補救與停止使用機制。</w:t>
      </w:r>
    </w:p>
    <w:p>
      <w:r>
        <w:rPr>
          <w:i w:val="0"/>
        </w:rPr>
        <w:t>因此，AI輔助政策制訂的最低標準不是「模型是否準確」，而是「具名決定者是否仍能在充分資訊、可公開辯護與可事後審查的條件下，作成獨立判斷，並在必要時修正、暫停或撤回系統」。這一標準正是傳統政策合法化理論與當代AI治理的雙重累加。</w:t>
      </w:r>
    </w:p>
    <w:p>
      <w:r>
        <w:rPr>
          <w:b/>
          <w:sz w:val="24"/>
        </w:rPr>
        <w:t>增補參考文獻與政策資料</w:t>
      </w:r>
    </w:p>
    <w:p>
      <w:r>
        <w:t>• Arnstein, S. R. (1969). A ladder of citizen participation. Journal of the American Institute of Planners, 35(4), 216–224.</w:t>
      </w:r>
    </w:p>
    <w:p>
      <w:r>
        <w:t>• Busuioc, M. (2021). Accountable artificial intelligence: Holding algorithms to account. Public Management Review, 23(5), 729–746.</w:t>
      </w:r>
    </w:p>
    <w:p>
      <w:r>
        <w:t>• European Parliament and Council of the European Union. (2024). Regulation (EU) 2024/1689 (Artificial Intelligence Act). Official Journal of the European Union.</w:t>
      </w:r>
    </w:p>
    <w:p>
      <w:r>
        <w:t>• Erman, E., &amp; Furendal, M. (2024). Artificial intelligence and the political legitimacy of global governance. Political Studies.</w:t>
      </w:r>
    </w:p>
    <w:p>
      <w:r>
        <w:t>• National Institute of Standards and Technology. (2023). Artificial Intelligence Risk Management Framework (AI RMF 1.0). NIST AI 100-1.</w:t>
      </w:r>
    </w:p>
    <w:p>
      <w:r>
        <w:t>• OECD. (2024). OECD AI Principles: Updated principles for responsible stewardship of trustworthy AI.</w:t>
      </w:r>
    </w:p>
    <w:p>
      <w:r>
        <w:t>• UNESCO. (2021). Recommendation on the Ethics of Artificial Intelligence.</w:t>
      </w:r>
    </w:p>
    <w:p>
      <w:r>
        <w:t>• 國家科學及技術委員會（2023）。《行政院及所屬機關（構）使用生成式AI參考指引》及常見問答。</w:t>
      </w:r>
    </w:p>
    <w:p>
      <w:r>
        <w:t>• 國家發展委員會（2018）。《公共政策網路參與實施要點》及公共政策網路參與平臺相關資料。</w:t>
      </w:r>
    </w:p>
    <w:p>
      <w:r>
        <w:t>• 數位發展部（2026）。AI應用影響評估：治理與評測。</w:t>
      </w:r>
    </w:p>
    <w:p>
      <w:r>
        <w:t>• 立法院（2025）。《人工智慧基本法》立法及三讀議案資料。</w:t>
      </w:r>
    </w:p>
    <w:p>
      <w:r>
        <w:t>• 陳敦源、黃心怡（2023）。演算法治理與可解釋性。《行政暨政策學報》，76。</w:t>
      </w:r>
    </w:p>
    <w:p>
      <w:r>
        <w:t>• 臺灣大學（2023）。《公共治理與人工智慧的交引纏繞》。</w:t>
      </w:r>
    </w:p>
    <w:p>
      <w:r>
        <w:rPr>
          <w:i/>
        </w:rPr>
        <w:t>資料查核註：本次補充所列台灣法制與政策動態，係依立法院、行政院、國科會、數位發展部及國家發展委員會公開資料整理；全球規範則參考歐盟、OECD、UNESCO與NIST官方資料。正式出版前仍建議逐筆核對法規施行日期、版本、頁碼與DOI。</w:t>
      </w:r>
    </w:p>
    <w:p>
      <w:r>
        <w:rPr>
          <w:b/>
          <w:sz w:val="28"/>
        </w:rPr>
        <w:t>補充專節二　政策制訂前的決策模式：從理性到多源流的六大途徑</w:t>
      </w:r>
    </w:p>
    <w:p>
      <w:r>
        <w:rPr>
          <w:i w:val="0"/>
        </w:rPr>
        <w:t>本章前述各節聚焦於政策「合法化」階段——亦即方案一旦形成後，如何取得法定權限、程序遵循與公共理由的支持。但在合法化之前，政策方案是「如何被制訂出來」的，本身即涉及不同的決策邏輯與理性假設。這些決策模式不僅決定了哪些方案會被端上議程，也預先形塑了該方案日後需要何種形式的正當性論證——理性廣博式的方案通常訴諸成本效益的技術理由，漸進調整式的方案則更依賴政治協商與可接受性。因此，本補充專節先介紹政策制訂領域六大經典決策模式，再以Kingdon的多源流架構為重點深化說明，最後銜接回本章「政策合法化」的核心關懷。</w:t>
      </w:r>
    </w:p>
    <w:p>
      <w:r>
        <w:rPr>
          <w:b/>
          <w:sz w:val="24"/>
        </w:rPr>
        <w:t>一、六大政策決策模式的理論脈絡與比較</w:t>
      </w:r>
    </w:p>
    <w:p>
      <w:r>
        <w:rPr>
          <w:i w:val="0"/>
        </w:rPr>
        <w:t>公共政策制訂領域自1950年代以降，累積出多種彼此競爭又相互補充的決策模式，從強調完全理性計算的理性廣博模型，到承認資訊與時間有限而主張漸進調整的漸進主義，再到強調組織無政府狀態下隨機碰撞的垃圾桶模型與多源流架構，呈現出政策制訂理論從「應然的理性」逐步轉向「實然的政治過程」的發展軌跡。表12-11彙整六大模式的核心代表學者、原始文獻與制訂邏輯特徵。</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Look w:firstColumn="1" w:firstRow="1" w:lastColumn="0" w:lastRow="0" w:noHBand="0" w:noVBand="1" w:val="04A0"/>
      </w:tblPr>
      <w:tblGrid>
        <w:gridCol w:w="1700"/>
        <w:gridCol w:w="3100"/>
        <w:gridCol w:w="4226"/>
      </w:tblGrid>
      <w:tr>
        <w:tc>
          <w:tcPr>
            <w:tcW w:type="dxa" w:w="1700"/>
            <w:shd w:val="clear" w:fill="1F4E79"/>
            <w:tcMar>
              <w:top w:type="dxa" w:w="80"/>
              <w:left w:type="dxa" w:w="100"/>
              <w:bottom w:type="dxa" w:w="80"/>
              <w:right w:type="dxa" w:w="100"/>
            </w:tcMar>
            <w:vAlign w:val="center"/>
          </w:tcPr>
          <w:p>
            <w:pPr>
              <w:spacing w:after="40"/>
              <w:jc w:val="center"/>
            </w:pPr>
            <w:r/>
            <w:r>
              <w:rPr>
                <w:rFonts w:ascii="微軟正黑體" w:hAnsi="微軟正黑體" w:eastAsia="微軟正黑體" w:cs="微軟正黑體"/>
                <w:b/>
                <w:color w:val="FFFFFF"/>
                <w:sz w:val="19"/>
              </w:rPr>
              <w:t>理論模型</w:t>
            </w:r>
          </w:p>
        </w:tc>
        <w:tc>
          <w:tcPr>
            <w:tcW w:type="dxa" w:w="3100"/>
            <w:shd w:val="clear" w:fill="1F4E79"/>
            <w:tcMar>
              <w:top w:type="dxa" w:w="80"/>
              <w:left w:type="dxa" w:w="100"/>
              <w:bottom w:type="dxa" w:w="80"/>
              <w:right w:type="dxa" w:w="100"/>
            </w:tcMar>
            <w:vAlign w:val="center"/>
          </w:tcPr>
          <w:p>
            <w:pPr>
              <w:spacing w:after="40"/>
              <w:jc w:val="center"/>
            </w:pPr>
            <w:r/>
            <w:r>
              <w:rPr>
                <w:rFonts w:ascii="微軟正黑體" w:hAnsi="微軟正黑體" w:eastAsia="微軟正黑體" w:cs="微軟正黑體"/>
                <w:b/>
                <w:color w:val="FFFFFF"/>
                <w:sz w:val="19"/>
              </w:rPr>
              <w:t>核心代表學者與文獻</w:t>
            </w:r>
          </w:p>
        </w:tc>
        <w:tc>
          <w:tcPr>
            <w:tcW w:type="dxa" w:w="4226"/>
            <w:shd w:val="clear" w:fill="1F4E79"/>
            <w:tcMar>
              <w:top w:type="dxa" w:w="80"/>
              <w:left w:type="dxa" w:w="100"/>
              <w:bottom w:type="dxa" w:w="80"/>
              <w:right w:type="dxa" w:w="100"/>
            </w:tcMar>
            <w:vAlign w:val="center"/>
          </w:tcPr>
          <w:p>
            <w:pPr>
              <w:spacing w:after="40"/>
              <w:jc w:val="center"/>
            </w:pPr>
            <w:r/>
            <w:r>
              <w:rPr>
                <w:rFonts w:ascii="微軟正黑體" w:hAnsi="微軟正黑體" w:eastAsia="微軟正黑體" w:cs="微軟正黑體"/>
                <w:b/>
                <w:color w:val="FFFFFF"/>
                <w:sz w:val="19"/>
              </w:rPr>
              <w:t>政策制訂邏輯與特徵</w:t>
            </w:r>
          </w:p>
        </w:tc>
      </w:tr>
      <w:tr>
        <w:tc>
          <w:tcPr>
            <w:tcW w:type="dxa" w:w="17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理性廣博模型</w:t>
              <w:br/>
            </w:r>
            <w:r>
              <w:rPr>
                <w:rFonts w:ascii="微軟正黑體" w:hAnsi="微軟正黑體" w:eastAsia="微軟正黑體" w:cs="微軟正黑體"/>
                <w:sz w:val="18"/>
              </w:rPr>
              <w:t>（Rational-Comprehensive）</w:t>
            </w:r>
          </w:p>
        </w:tc>
        <w:tc>
          <w:tcPr>
            <w:tcW w:type="dxa" w:w="31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Herbert A. Simon（Administrative Behavior, 1947）</w:t>
            </w:r>
          </w:p>
        </w:tc>
        <w:tc>
          <w:tcPr>
            <w:tcW w:type="dxa" w:w="4226"/>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假設決策者擁有完整資訊，能窮盡所有可行方案並計算最佳成本效益，追求極大化目標。</w:t>
            </w:r>
          </w:p>
        </w:tc>
      </w:tr>
      <w:tr>
        <w:tc>
          <w:tcPr>
            <w:tcW w:type="dxa" w:w="17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漸進主義模型</w:t>
              <w:br/>
            </w:r>
            <w:r>
              <w:rPr>
                <w:rFonts w:ascii="微軟正黑體" w:hAnsi="微軟正黑體" w:eastAsia="微軟正黑體" w:cs="微軟正黑體"/>
                <w:sz w:val="18"/>
              </w:rPr>
              <w:t>（Incrementalism）</w:t>
            </w:r>
          </w:p>
        </w:tc>
        <w:tc>
          <w:tcPr>
            <w:tcW w:type="dxa" w:w="31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Charles E. Lindblom（The Science of "Muddling Through", 1959）</w:t>
            </w:r>
          </w:p>
        </w:tc>
        <w:tc>
          <w:tcPr>
            <w:tcW w:type="dxa" w:w="4226"/>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著眼於現實資訊與時間限制，政策多為現行狀況的「微幅修正」（muddling through），透過政治協商達成妥協。</w:t>
            </w:r>
          </w:p>
        </w:tc>
      </w:tr>
      <w:tr>
        <w:tc>
          <w:tcPr>
            <w:tcW w:type="dxa" w:w="17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混合掃描模型</w:t>
              <w:br/>
            </w:r>
            <w:r>
              <w:rPr>
                <w:rFonts w:ascii="微軟正黑體" w:hAnsi="微軟正黑體" w:eastAsia="微軟正黑體" w:cs="微軟正黑體"/>
                <w:sz w:val="18"/>
              </w:rPr>
              <w:t>（Mixed-Scanning）</w:t>
            </w:r>
          </w:p>
        </w:tc>
        <w:tc>
          <w:tcPr>
            <w:tcW w:type="dxa" w:w="31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Amitai Etzioni（Mixed-Scanning: A "Third" Approach to Decision-Making, 1967）</w:t>
            </w:r>
          </w:p>
        </w:tc>
        <w:tc>
          <w:tcPr>
            <w:tcW w:type="dxa" w:w="4226"/>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折衷理性與漸進：對整體大方向進行廣界掃描（基本決策），對具體執行細節採漸進分析（微觀決策）。</w:t>
            </w:r>
          </w:p>
        </w:tc>
      </w:tr>
      <w:tr>
        <w:tc>
          <w:tcPr>
            <w:tcW w:type="dxa" w:w="17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垃圾桶模型</w:t>
              <w:br/>
            </w:r>
            <w:r>
              <w:rPr>
                <w:rFonts w:ascii="微軟正黑體" w:hAnsi="微軟正黑體" w:eastAsia="微軟正黑體" w:cs="微軟正黑體"/>
                <w:sz w:val="18"/>
              </w:rPr>
              <w:t>（Garbage Can Model）</w:t>
            </w:r>
          </w:p>
        </w:tc>
        <w:tc>
          <w:tcPr>
            <w:tcW w:type="dxa" w:w="31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Cohen, March &amp; Olsen（A Garbage Can Model of Organizational Choice, 1972）</w:t>
            </w:r>
          </w:p>
        </w:tc>
        <w:tc>
          <w:tcPr>
            <w:tcW w:type="dxa" w:w="4226"/>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適用於組織無政府狀態（organized anarchy），決策是「問題、方案、參與者、選擇機會」四股獨立流向隨機碰撞的結果。</w:t>
            </w:r>
          </w:p>
        </w:tc>
      </w:tr>
      <w:tr>
        <w:tc>
          <w:tcPr>
            <w:tcW w:type="dxa" w:w="17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多源流架構</w:t>
              <w:br/>
            </w:r>
            <w:r>
              <w:rPr>
                <w:rFonts w:ascii="微軟正黑體" w:hAnsi="微軟正黑體" w:eastAsia="微軟正黑體" w:cs="微軟正黑體"/>
                <w:sz w:val="18"/>
              </w:rPr>
              <w:t>（Multiple Streams）</w:t>
            </w:r>
          </w:p>
        </w:tc>
        <w:tc>
          <w:tcPr>
            <w:tcW w:type="dxa" w:w="31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John W. Kingdon（Agendas, Alternatives, and Public Policies, 1984）</w:t>
            </w:r>
          </w:p>
        </w:tc>
        <w:tc>
          <w:tcPr>
            <w:tcW w:type="dxa" w:w="4226"/>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當問題源流、政策方案源流與政治源流在特定時機（政策窗口）匯合時，倡議者即可推動政策順利登陸。</w:t>
            </w:r>
          </w:p>
        </w:tc>
      </w:tr>
      <w:tr>
        <w:tc>
          <w:tcPr>
            <w:tcW w:type="dxa" w:w="17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倡導聯盟架構</w:t>
              <w:br/>
            </w:r>
            <w:r>
              <w:rPr>
                <w:rFonts w:ascii="微軟正黑體" w:hAnsi="微軟正黑體" w:eastAsia="微軟正黑體" w:cs="微軟正黑體"/>
                <w:sz w:val="18"/>
              </w:rPr>
              <w:t>（Advocacy Coalition Framework）</w:t>
            </w:r>
          </w:p>
        </w:tc>
        <w:tc>
          <w:tcPr>
            <w:tcW w:type="dxa" w:w="31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Paul A. Sabatier &amp; Hank Jenkins-Smith（Policy Change and Learning, 1993）</w:t>
            </w:r>
          </w:p>
        </w:tc>
        <w:tc>
          <w:tcPr>
            <w:tcW w:type="dxa" w:w="4226"/>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聚焦於次系統內共享核心信仰（core beliefs）的倡導聯盟，透過長期政策學習與外部衝擊促成政策轉變。</w:t>
            </w:r>
          </w:p>
        </w:tc>
      </w:tr>
    </w:tbl>
    <w:p>
      <w:pPr>
        <w:spacing w:after="280" w:before="120"/>
        <w:jc w:val="center"/>
      </w:pPr>
      <w:r>
        <w:rPr>
          <w:rFonts w:ascii="微軟正黑體" w:cs="微軟正黑體" w:eastAsia="微軟正黑體" w:hAnsi="微軟正黑體"/>
          <w:i/>
          <w:iCs/>
          <w:color w:val="555555"/>
          <w:sz w:val="18"/>
          <w:szCs w:val="18"/>
        </w:rPr>
        <w:t>表12-11　六大政策決策模式比較</w:t>
      </w:r>
    </w:p>
    <w:p>
      <w:r>
        <w:rPr>
          <w:i w:val="0"/>
        </w:rPr>
        <w:t>整體而言，理性廣博、漸進主義與混合掃描三者的分歧，主要在於對決策者資訊處理能力與時間資源的假設寬嚴不同；垃圾桶模型、多源流架構與倡導聯盟架構則進一步引入組織與政治系統的不確定性，承認方案、問題與政治時機往往各自獨立演化，僅在特定條件下才會匯合成可執行的政策。這也說明了為何實務上「方案早已備妥、只待時機」的現象相當常見——這正是下一節多源流架構所要處理的核心問題。</w:t>
      </w:r>
    </w:p>
    <w:p>
      <w:r>
        <w:rPr>
          <w:b/>
          <w:sz w:val="24"/>
        </w:rPr>
        <w:t>二、多源流架構的深化：從源流匯合到政策窗口</w:t>
      </w:r>
    </w:p>
    <w:p>
      <w:r>
        <w:rPr>
          <w:i w:val="0"/>
        </w:rPr>
        <w:t>John Kingdon於1984年出版的《Agendas, Alternatives, and Public Policies》一書提出多源流架構（Multiple Streams Framework, MSF）。該理論修正了傳統「理性階段模型」將政策視為線性順序的假設，轉而將政策制訂視為一種在「有限理性」與「組織無政府狀態」（organized anarchy）下發生的動態、有機過程：問題、方案與政治時機被視為三條各自獨立演化的源流，僅在特定時機匯合，政策才得以順利登陸。</w:t>
      </w:r>
    </w:p>
    <w:p>
      <w:r>
        <w:rPr>
          <w:b/>
          <w:sz w:val="24"/>
        </w:rPr>
        <w:t>（一）三大源流的構成</w:t>
      </w:r>
    </w:p>
    <w:p>
      <w:r>
        <w:rPr>
          <w:i w:val="0"/>
        </w:rPr>
        <w:t>Kingdon認為，政策系統內部存在三條彼此獨立、依各自動態運行的源流。第一，問題源流（Problem Stream）處理「為什麼某些社會狀況會被視為需要政府處理的公共問題」，其推動機制包括系統性指標（如失業率急升、演算法偏誤通報率上升等數據惡化）、焦點事件（突發性重大危機、天災或公共醜聞，發揮警示作用），以及計畫評估與反饋（現行政策執行失敗或未達預期的運作報告）。第二，政策源流（Policy Stream）處理「解決問題的技術方案如何產生與篩選」：在由學者、智庫、文官與專家組成的政策社群中，各種方案如同在「原始湯」（primeval soup）中彼此碰撞與淘汰，方案須通過技術可行性與價值相容性的考量，往往需經歷漫長的「軟化過程」（softening-up process），即向大眾與決策者反覆宣導以建立共識。第三，政治源流（Politics Stream）處理「政治環境是否準備好接受改變」，決定要素包括國民情緒（社會大眾對特定議題的普遍氛圍或集體期待）、行政或立法機關的更迭（選舉帶來的政權輪替、執政黨變更或關鍵官員換人），以及利益團體的施壓與動員。</w:t>
      </w:r>
    </w:p>
    <w:p>
      <w:r>
        <w:rPr>
          <w:b/>
          <w:sz w:val="24"/>
        </w:rPr>
        <w:t>（二）政策窗口與政策企業家</w:t>
      </w:r>
    </w:p>
    <w:p>
      <w:r>
        <w:rPr>
          <w:i w:val="0"/>
        </w:rPr>
        <w:t>政策窗口（Policy Window）是指特定議題進入正式政府議程（governmental agenda）的短暫時機，通常由「問題源流」（如突發危機）或「政治源流」（如選舉後新政府上台）開啟，窗口開啟的時間極為短暫，若未及時把握便會關閉。政策企業家（Policy Entrepreneurs）則是具備高昂動機、專業資源與政治網絡的關鍵倡導者（可能是政務官、議員、學者或NGO領袖），其核心任務是在政策窗口開啟的瞬間進行「源流連結」（coupling of streams）——精準地將已準備好的政策方案（政策源流）包裝並對接至當前爆發的公共問題（問題源流），並順應政治氣氛（政治源流），促成政策合法化。圖12-1呈現三條源流經政策企業家連結、通過政策窗口、最終推動政策議題順利登陸的整體流程。</w:t>
      </w:r>
    </w:p>
    <w:p>
      <w:pPr>
        <w:jc w:val="center"/>
      </w:pPr>
      <w:r>
        <w:drawing>
          <wp:inline xmlns:a="http://schemas.openxmlformats.org/drawingml/2006/main" xmlns:pic="http://schemas.openxmlformats.org/drawingml/2006/picture">
            <wp:extent cx="5486400" cy="4498848"/>
            <wp:docPr id="1" name="Picture 1"/>
            <wp:cNvGraphicFramePr>
              <a:graphicFrameLocks noChangeAspect="1"/>
            </wp:cNvGraphicFramePr>
            <a:graphic>
              <a:graphicData uri="http://schemas.openxmlformats.org/drawingml/2006/picture">
                <pic:pic>
                  <pic:nvPicPr>
                    <pic:cNvPr id="0" name="new_fig12_1.jpg"/>
                    <pic:cNvPicPr/>
                  </pic:nvPicPr>
                  <pic:blipFill>
                    <a:blip r:embed="rId8"/>
                    <a:stretch>
                      <a:fillRect/>
                    </a:stretch>
                  </pic:blipFill>
                  <pic:spPr>
                    <a:xfrm>
                      <a:off x="0" y="0"/>
                      <a:ext cx="5486400" cy="4498848"/>
                    </a:xfrm>
                    <a:prstGeom prst="rect"/>
                  </pic:spPr>
                </pic:pic>
              </a:graphicData>
            </a:graphic>
          </wp:inline>
        </w:drawing>
      </w:r>
    </w:p>
    <w:p>
      <w:pPr>
        <w:spacing w:after="280" w:before="120"/>
        <w:jc w:val="center"/>
      </w:pPr>
      <w:r>
        <w:rPr>
          <w:rFonts w:ascii="微軟正黑體" w:cs="微軟正黑體" w:eastAsia="微軟正黑體" w:hAnsi="微軟正黑體"/>
          <w:i/>
          <w:iCs/>
          <w:color w:val="555555"/>
          <w:sz w:val="18"/>
          <w:szCs w:val="18"/>
        </w:rPr>
        <w:t>圖12-1　政策之窗與三源流匯流模型</w:t>
      </w:r>
    </w:p>
    <w:p>
      <w:r>
        <w:rPr>
          <w:i w:val="0"/>
        </w:rPr>
        <w:t>圖說：問題源流、政策源流與政治源流各自獨立演化；政策企業家在政策窗口開啟的短暫時機內，將三條源流連結起來，促成政策議題順利登陸並進入合法化程序。</w:t>
      </w:r>
    </w:p>
    <w:p>
      <w:r>
        <w:rPr>
          <w:b/>
          <w:sz w:val="24"/>
        </w:rPr>
        <w:t>三、多源流架構的案例分析應用：四步法</w:t>
      </w:r>
    </w:p>
    <w:p>
      <w:r>
        <w:rPr>
          <w:i w:val="0"/>
        </w:rPr>
        <w:t>在進行實際政策案例分析時，可運用多源流架構建立結構化的操作步驟，依序辨識三條源流的準備狀態、定位政策窗口的開啟時機、分析政策企業家的角色與策略，最後評估源流連結是否成功。表12-12提供可直接套用於個案分析的四步操作架構。</w:t>
      </w:r>
    </w:p>
    <w:tbl>
      <w:tblPr>
        <w:tblW w:type="dxa" w:w="9026"/>
        <w:tblBorders>
          <w:top w:val="single" w:color="auto" w:sz="4"/>
          <w:left w:val="single" w:color="auto" w:sz="4"/>
          <w:bottom w:val="single" w:color="auto" w:sz="4"/>
          <w:right w:val="single" w:color="auto" w:sz="4"/>
          <w:insideH w:val="single" w:color="auto" w:sz="4"/>
          <w:insideV w:val="single" w:color="auto" w:sz="4"/>
        </w:tblBorders>
        <w:tblLayout w:type="fixed"/>
        <w:tblLook w:firstColumn="1" w:firstRow="1" w:lastColumn="0" w:lastRow="0" w:noHBand="0" w:noVBand="1" w:val="04A0"/>
      </w:tblPr>
      <w:tblGrid>
        <w:gridCol w:w="1800"/>
        <w:gridCol w:w="3200"/>
        <w:gridCol w:w="4026"/>
      </w:tblGrid>
      <w:tr>
        <w:tc>
          <w:tcPr>
            <w:tcW w:type="dxa" w:w="1800"/>
            <w:shd w:val="clear" w:fill="1F4E79"/>
            <w:tcMar>
              <w:top w:type="dxa" w:w="80"/>
              <w:left w:type="dxa" w:w="100"/>
              <w:bottom w:type="dxa" w:w="80"/>
              <w:right w:type="dxa" w:w="100"/>
            </w:tcMar>
            <w:vAlign w:val="center"/>
          </w:tcPr>
          <w:p>
            <w:pPr>
              <w:spacing w:after="40"/>
              <w:jc w:val="center"/>
            </w:pPr>
            <w:r/>
            <w:r>
              <w:rPr>
                <w:rFonts w:ascii="微軟正黑體" w:hAnsi="微軟正黑體" w:eastAsia="微軟正黑體" w:cs="微軟正黑體"/>
                <w:b/>
                <w:color w:val="FFFFFF"/>
                <w:sz w:val="19"/>
              </w:rPr>
              <w:t>分析步驟</w:t>
            </w:r>
          </w:p>
        </w:tc>
        <w:tc>
          <w:tcPr>
            <w:tcW w:type="dxa" w:w="3200"/>
            <w:shd w:val="clear" w:fill="1F4E79"/>
            <w:tcMar>
              <w:top w:type="dxa" w:w="80"/>
              <w:left w:type="dxa" w:w="100"/>
              <w:bottom w:type="dxa" w:w="80"/>
              <w:right w:type="dxa" w:w="100"/>
            </w:tcMar>
            <w:vAlign w:val="center"/>
          </w:tcPr>
          <w:p>
            <w:pPr>
              <w:spacing w:after="40"/>
              <w:jc w:val="center"/>
            </w:pPr>
            <w:r/>
            <w:r>
              <w:rPr>
                <w:rFonts w:ascii="微軟正黑體" w:hAnsi="微軟正黑體" w:eastAsia="微軟正黑體" w:cs="微軟正黑體"/>
                <w:b/>
                <w:color w:val="FFFFFF"/>
                <w:sz w:val="19"/>
              </w:rPr>
              <w:t>案例分析聚焦重點</w:t>
            </w:r>
          </w:p>
        </w:tc>
        <w:tc>
          <w:tcPr>
            <w:tcW w:type="dxa" w:w="4026"/>
            <w:shd w:val="clear" w:fill="1F4E79"/>
            <w:tcMar>
              <w:top w:type="dxa" w:w="80"/>
              <w:left w:type="dxa" w:w="100"/>
              <w:bottom w:type="dxa" w:w="80"/>
              <w:right w:type="dxa" w:w="100"/>
            </w:tcMar>
            <w:vAlign w:val="center"/>
          </w:tcPr>
          <w:p>
            <w:pPr>
              <w:spacing w:after="40"/>
              <w:jc w:val="center"/>
            </w:pPr>
            <w:r/>
            <w:r>
              <w:rPr>
                <w:rFonts w:ascii="微軟正黑體" w:hAnsi="微軟正黑體" w:eastAsia="微軟正黑體" w:cs="微軟正黑體"/>
                <w:b/>
                <w:color w:val="FFFFFF"/>
                <w:sz w:val="19"/>
              </w:rPr>
              <w:t>實務檢驗指標</w:t>
            </w:r>
          </w:p>
        </w:tc>
      </w:tr>
      <w:tr>
        <w:tc>
          <w:tcPr>
            <w:tcW w:type="dxa" w:w="18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第一步：識別三條源流</w:t>
            </w:r>
          </w:p>
        </w:tc>
        <w:tc>
          <w:tcPr>
            <w:tcW w:type="dxa" w:w="32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釐清該政策在推動前，三條源流分別累積了什麼條件？</w:t>
            </w:r>
          </w:p>
        </w:tc>
        <w:tc>
          <w:tcPr>
            <w:tcW w:type="dxa" w:w="4026"/>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問題源流：觸發該政策的關鍵指標或焦點事件為何？政策源流：智庫或專家社群先前儲備了哪些方案？是否已完成軟化？政治源流：當時的民意氛圍、政黨態勢或執政者態度為何？</w:t>
            </w:r>
          </w:p>
        </w:tc>
      </w:tr>
      <w:tr>
        <w:tc>
          <w:tcPr>
            <w:tcW w:type="dxa" w:w="18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第二步：定位政策窗口</w:t>
            </w:r>
          </w:p>
        </w:tc>
        <w:tc>
          <w:tcPr>
            <w:tcW w:type="dxa" w:w="32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政策窗口何時開啟？由哪一條源流率先驅動？</w:t>
            </w:r>
          </w:p>
        </w:tc>
        <w:tc>
          <w:tcPr>
            <w:tcW w:type="dxa" w:w="4026"/>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是由問題驅動（如重大安全事故發生），還是由政治驅動（如新任元首就職宣示）？</w:t>
            </w:r>
          </w:p>
        </w:tc>
      </w:tr>
      <w:tr>
        <w:tc>
          <w:tcPr>
            <w:tcW w:type="dxa" w:w="18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第三步：分析政策企業家</w:t>
            </w:r>
          </w:p>
        </w:tc>
        <w:tc>
          <w:tcPr>
            <w:tcW w:type="dxa" w:w="32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誰是關鍵的政策企業家？採用了什麼策略？</w:t>
            </w:r>
          </w:p>
        </w:tc>
        <w:tc>
          <w:tcPr>
            <w:tcW w:type="dxa" w:w="4026"/>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該角色如何動用資源？如何在短時間內提出對應方案並向決策者進行倡議與連結？</w:t>
            </w:r>
          </w:p>
        </w:tc>
      </w:tr>
      <w:tr>
        <w:tc>
          <w:tcPr>
            <w:tcW w:type="dxa" w:w="18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第四步：評估連結與結果</w:t>
            </w:r>
          </w:p>
        </w:tc>
        <w:tc>
          <w:tcPr>
            <w:tcW w:type="dxa" w:w="3200"/>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三條源流是否成功匯合（coupling）？</w:t>
            </w:r>
          </w:p>
        </w:tc>
        <w:tc>
          <w:tcPr>
            <w:tcW w:type="dxa" w:w="4026"/>
            <w:shd w:val="clear" w:fill="FFFFFF"/>
            <w:tcMar>
              <w:top w:type="dxa" w:w="80"/>
              <w:left w:type="dxa" w:w="100"/>
              <w:bottom w:type="dxa" w:w="80"/>
              <w:right w:type="dxa" w:w="100"/>
            </w:tcMar>
            <w:vAlign w:val="center"/>
          </w:tcPr>
          <w:p>
            <w:pPr>
              <w:spacing w:after="40"/>
            </w:pPr>
            <w:r/>
            <w:r>
              <w:rPr>
                <w:rFonts w:ascii="微軟正黑體" w:hAnsi="微軟正黑體" w:eastAsia="微軟正黑體" w:cs="微軟正黑體"/>
                <w:sz w:val="18"/>
              </w:rPr>
              <w:t>若成功，政策順利列入優先議程並通過；若失敗，通常是因為方案未成熟（政策源流缺位）或政治阻力過大（政治源流不配合）。</w:t>
            </w:r>
          </w:p>
        </w:tc>
      </w:tr>
    </w:tbl>
    <w:p>
      <w:pPr>
        <w:spacing w:after="280" w:before="120"/>
        <w:jc w:val="center"/>
      </w:pPr>
      <w:r>
        <w:rPr>
          <w:rFonts w:ascii="微軟正黑體" w:cs="微軟正黑體" w:eastAsia="微軟正黑體" w:hAnsi="微軟正黑體"/>
          <w:i/>
          <w:iCs/>
          <w:color w:val="555555"/>
          <w:sz w:val="18"/>
          <w:szCs w:val="18"/>
        </w:rPr>
        <w:t>表12-12　多源流架構案例分析四步法應用</w:t>
      </w:r>
    </w:p>
    <w:p>
      <w:r>
        <w:rPr>
          <w:b/>
          <w:sz w:val="24"/>
        </w:rPr>
        <w:t>四、多源流架構的優勢與限制：兼論與政策合法化的銜接</w:t>
      </w:r>
    </w:p>
    <w:p>
      <w:r>
        <w:rPr>
          <w:i w:val="0"/>
        </w:rPr>
        <w:t>多源流架構的主要優勢，在於突破傳統直線型政策階段論的侷限，能夠解釋為何有些問題困擾已久卻突然被解決，以及為何危機（focusing events）能成為政策變遷的催化劑；其實務限制則在於三條源流在現實中有時難以完全獨立區分（例如政策企業家常同時運作問題包裝與政治動員），且模型對於政策窗口關閉後的「政策執行階段」解釋力相對較弱。</w:t>
      </w:r>
    </w:p>
    <w:p>
      <w:r>
        <w:rPr>
          <w:i w:val="0"/>
        </w:rPr>
        <w:t>值得注意的是，多源流架構所描述的「政策議題順利登陸」，僅是政策合法化的起點而非終點：一項方案即便成功通過政策窗口、獲得政治支持，仍必須依循本章前述的法定權限、程序參與、公共理由與可接受性等要件，才能完成真正的合法化程序，並在AI輔助決策日益普及的脈絡下，進一步接受用途審查、影響評估與課責追蹤等治理閘門的檢驗。換言之，決策模式決定了政策「如何被端上議程」，而政策合法化理論則決定了政策「能否被正當地推動」，兩者在教學上宜相互參照，而非互相取代。</w:t>
      </w:r>
    </w:p>
    <w:p>
      <w:r>
        <w:rPr>
          <w:b/>
          <w:sz w:val="24"/>
        </w:rPr>
        <w:t>補充小結二</w:t>
      </w:r>
    </w:p>
    <w:p>
      <w:r>
        <w:rPr>
          <w:i w:val="0"/>
        </w:rPr>
        <w:t>本補充專節說明了政策制訂領域六大經典決策模式的理論脈絡，並以Kingdon多源流架構為重點，介紹三源流構成、政策窗口與政策企業家的運作機制，以及可供案例分析套用的四步操作架構。這些內容補足了政策合法化之前「方案從何而來、何時被端上議程」的環節，讀者可將決策模式視為政策合法化的「前置條件」：不同的決策邏輯將對應不同的正當性論證策略，值得在教學上與本章主軸相互參照。</w:t>
      </w:r>
    </w:p>
    <w:sectPr>
      <w:pgSz w:w="11906" w:h="16838" w:orient="portrait"/>
      <w:pgMar w:top="1440" w:right="1440" w:bottom="144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ntTable" Target="fontTable.xml"/><Relationship Id="rId8" Type="http://schemas.openxmlformats.org/officeDocument/2006/relationships/image" Target="media/image1.jp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2026-08-31T05:40:40.922Z</dcterms:created>
  <dcterms:modified xsi:type="dcterms:W3CDTF">2026-08-31T05:40:40.922Z</dcterms:modified>
</cp:coreProperties>
</file>

<file path=docProps/custom.xml><?xml version="1.0" encoding="utf-8"?>
<Properties xmlns="http://schemas.openxmlformats.org/officeDocument/2006/custom-properties" xmlns:vt="http://schemas.openxmlformats.org/officeDocument/2006/docPropsVTypes"/>
</file>