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center"/>
      </w:pPr>
      <w:r>
        <w:rPr>
          <w:rFonts w:ascii="Microsoft JhengHei" w:cs="Microsoft JhengHei" w:eastAsia="Microsoft JhengHei" w:hAnsi="Microsoft JhengHei"/>
          <w:b/>
          <w:bCs/>
          <w:color w:val="1F4E79"/>
          <w:sz w:val="32"/>
          <w:szCs w:val="32"/>
        </w:rPr>
        <w:t xml:space="preserve">第九章　治理典範</w:t>
      </w:r>
    </w:p>
    <w:p>
      <w:pPr>
        <w:spacing w:after="300"/>
        <w:jc w:val="center"/>
      </w:pPr>
      <w:r>
        <w:rPr>
          <w:rFonts w:ascii="Microsoft JhengHei" w:cs="Microsoft JhengHei" w:eastAsia="Microsoft JhengHei" w:hAnsi="Microsoft JhengHei"/>
          <w:i/>
          <w:iCs/>
          <w:sz w:val="22"/>
          <w:szCs w:val="22"/>
        </w:rPr>
        <w:t xml:space="preserve">——從新公共服務到數位與AI治理：制度結構層次的整合總結</w:t>
      </w:r>
    </w:p>
    <w:p>
      <w:pPr>
        <w:pBdr>
          <w:top w:val="single" w:color="1F4E79" w:sz="8"/>
          <w:left w:val="single" w:color="1F4E79" w:sz="8"/>
          <w:bottom w:val="single" w:color="1F4E79" w:sz="8"/>
          <w:right w:val="single" w:color="1F4E79" w:sz="8"/>
        </w:pBdr>
        <w:shd w:fill="E7F3FF" w:val="clear"/>
        <w:spacing w:after="120" w:before="200"/>
      </w:pPr>
      <w:r>
        <w:rPr>
          <w:rFonts w:ascii="Microsoft JhengHei" w:cs="Microsoft JhengHei" w:eastAsia="Microsoft JhengHei" w:hAnsi="Microsoft JhengHei"/>
          <w:b/>
          <w:bCs/>
          <w:sz w:val="22"/>
          <w:szCs w:val="22"/>
        </w:rPr>
        <w:t xml:space="preserve">本章在25座標的位置</w:t>
      </w:r>
    </w:p>
    <w:p>
      <w:pPr>
        <w:spacing w:after="200"/>
      </w:pPr>
      <w:r>
        <w:rPr>
          <w:rFonts w:ascii="Microsoft JhengHei" w:cs="Microsoft JhengHei" w:eastAsia="Microsoft JhengHei" w:hAnsi="Microsoft JhengHei"/>
          <w:sz w:val="20"/>
          <w:szCs w:val="20"/>
        </w:rPr>
        <w:t xml:space="preserve">本章定位於垂直「第二層至第三層交界」的「制度結構層次——治理典範整合」，水平則橫跨「組織間」至「制度/社會」層次，作為全書第二層（制度結構）的總結章。與其他章節的關聯：第一、四章建立的公共性與公共價值，回答「何謂公共」的哲學價值層提問；第二、三章的理論演進與分析層次，構成「如何理解理論」的典範理論層；第五章民主政治與官僚體制，到第七章行政環境，構成制度結構層前半，處理威權與民主的結構安排；第八章政府與市場的抉擇，處理市場機制作為治理手段。本章則整合官僚、市場、網絡三種治理結構，指出當代治理已從單一官僚統治轉為網絡協作，並以新公共服務、新公共治理、數位與AI治理作為典範總結，為後續政策、倫理與未來治理鋪墊制度基礎——本章正是從「為何要有政府」到「如何與眾共治」的制度樞紐。</w:t>
      </w:r>
    </w:p>
    <w:p>
      <w:pPr>
        <w:pStyle w:val="Heading1"/>
      </w:pPr>
      <w:r>
        <w:t xml:space="preserve">學習目標</w:t>
      </w:r>
    </w:p>
    <w:p>
      <w:pPr>
        <w:pStyle w:val="ListParagraph"/>
        <w:numPr>
          <w:ilvl w:val="0"/>
          <w:numId w:val="2"/>
        </w:numPr>
      </w:pPr>
      <w:r>
        <w:rPr>
          <w:sz w:val="20"/>
          <w:szCs w:val="20"/>
        </w:rPr>
        <w:t xml:space="preserve">能整合治理的多重定義（World Bank、Rhodes、UNDP、全球治理委員會），辨析government、governance、good governance的差異，並闡釋治理以網絡為基礎的形成邏輯。</w:t>
      </w:r>
    </w:p>
    <w:p>
      <w:pPr>
        <w:pStyle w:val="ListParagraph"/>
        <w:numPr>
          <w:ilvl w:val="0"/>
          <w:numId w:val="2"/>
        </w:numPr>
      </w:pPr>
      <w:r>
        <w:rPr>
          <w:sz w:val="20"/>
          <w:szCs w:val="20"/>
        </w:rPr>
        <w:t xml:space="preserve">能闡釋治理結構從官僚、市場到網絡的三階段演進，掌握Peters四種治理模式（市場、參與、彈性、鬆綁）與World Bank治理四面向的意涵與限制。</w:t>
      </w:r>
    </w:p>
    <w:p>
      <w:pPr>
        <w:pStyle w:val="ListParagraph"/>
        <w:numPr>
          <w:ilvl w:val="0"/>
          <w:numId w:val="2"/>
        </w:numPr>
      </w:pPr>
      <w:r>
        <w:rPr>
          <w:sz w:val="20"/>
          <w:szCs w:val="20"/>
        </w:rPr>
        <w:t xml:space="preserve">能建立官僚、市場、網絡三種治理邏輯的失靈比較架構，並掌握當代政府因應治理失靈所需具備的六項治理能力（整合、協作、數位、法規、反思、民主課責）。</w:t>
      </w:r>
    </w:p>
    <w:p>
      <w:pPr>
        <w:pStyle w:val="ListParagraph"/>
        <w:numPr>
          <w:ilvl w:val="0"/>
          <w:numId w:val="2"/>
        </w:numPr>
      </w:pPr>
      <w:r>
        <w:rPr>
          <w:sz w:val="20"/>
          <w:szCs w:val="20"/>
        </w:rPr>
        <w:t xml:space="preserve">能系統性說明治理的類型學，包含參與治理、全球治理、良善治理八特徵、公司治理、環境治理、電子治理（G2C/G2B/G2G/G2E）與跨域治理。</w:t>
      </w:r>
    </w:p>
    <w:p>
      <w:pPr>
        <w:pStyle w:val="ListParagraph"/>
        <w:numPr>
          <w:ilvl w:val="0"/>
          <w:numId w:val="2"/>
        </w:numPr>
      </w:pPr>
      <w:r>
        <w:rPr>
          <w:sz w:val="20"/>
          <w:szCs w:val="20"/>
        </w:rPr>
        <w:t xml:space="preserve">能闡釋新公共服務（NPS）七原則及其理論基礎，並對照新公共治理（NPG）與公共服務邏輯（Public Service Logic），理解治理作為共同創造的意涵。</w:t>
      </w:r>
    </w:p>
    <w:p>
      <w:pPr>
        <w:pStyle w:val="ListParagraph"/>
        <w:numPr>
          <w:ilvl w:val="0"/>
          <w:numId w:val="2"/>
        </w:numPr>
      </w:pPr>
      <w:r>
        <w:rPr>
          <w:sz w:val="20"/>
          <w:szCs w:val="20"/>
        </w:rPr>
        <w:t xml:space="preserve">能掌握2020-2024年從電子治理到數位與AI治理的典範轉移，包含協同治理與韌性治理、數位公共領域治理，以及OECD與EU AI Act的AI治理框架。</w:t>
      </w:r>
    </w:p>
    <w:p>
      <w:pPr>
        <w:pStyle w:val="ListParagraph"/>
        <w:numPr>
          <w:ilvl w:val="0"/>
          <w:numId w:val="2"/>
        </w:numPr>
      </w:pPr>
      <w:r>
        <w:rPr>
          <w:sz w:val="20"/>
          <w:szCs w:val="20"/>
        </w:rPr>
        <w:t xml:space="preserve">能批判性評估演算法治理下的課責、透明與民主課題，並運用25-3-3-4-7架構，分析協同治理納入AI代理人後的權力位移。</w:t>
      </w:r>
    </w:p>
    <w:p>
      <w:pPr>
        <w:pStyle w:val="ListParagraph"/>
        <w:numPr>
          <w:ilvl w:val="0"/>
          <w:numId w:val="2"/>
        </w:numPr>
      </w:pPr>
      <w:r>
        <w:rPr>
          <w:sz w:val="20"/>
          <w:szCs w:val="20"/>
        </w:rPr>
        <w:t xml:space="preserve">能整合本書第二層（制度結構層）前五章的討論，說明官僚、市場、網絡三種治理邏輯如何在AI世代重新整合為元治理架構。</w:t>
      </w:r>
    </w:p>
    <w:p>
      <w:pPr>
        <w:pStyle w:val="ListParagraph"/>
        <w:numPr>
          <w:ilvl w:val="0"/>
          <w:numId w:val="2"/>
        </w:numPr>
        <w:spacing w:after="200"/>
      </w:pPr>
      <w:r>
        <w:rPr>
          <w:sz w:val="20"/>
          <w:szCs w:val="20"/>
        </w:rPr>
        <w:t xml:space="preserve">能分析AI治理的包容性課題，理解數位落差對弱勢群體的差異影響，並辨析緊急治理措施延伸為常態治理時，在法律授權與監督上須重新檢視的制度要求。</w:t>
      </w:r>
    </w:p>
    <w:p>
      <w:pPr>
        <w:pStyle w:val="Heading1"/>
      </w:pPr>
      <w:r>
        <w:t xml:space="preserve">開場與定位</w:t>
      </w:r>
    </w:p>
    <w:p>
      <w:pPr>
        <w:spacing w:after="120" w:before="120"/>
        <w:ind w:left="400" w:right="400"/>
      </w:pPr>
      <w:r>
        <w:rPr>
          <w:i/>
          <w:iCs/>
          <w:sz w:val="20"/>
          <w:szCs w:val="20"/>
        </w:rPr>
        <w:t xml:space="preserve">「公共行政最重要也最有價值的，在於我們為公民服務，以促進共同善。最終，重點不在我們多有效率地完成工作，而在我們如何為所有人創造更美好的生活。」——Denhardt &amp; Denhardt，《The New Public Service》，2007:4</w:t>
      </w:r>
    </w:p>
    <w:p>
      <w:pPr>
        <w:spacing w:after="160"/>
      </w:pPr>
      <w:r>
        <w:rPr>
          <w:sz w:val="20"/>
          <w:szCs w:val="20"/>
        </w:rPr>
        <w:t xml:space="preserve">第八章「政府與市場的抉擇」處理了政府該做什麼、市場能做什麼、第三部門又能補上哪些缺口，但這終究只回答了「誰來提供服務」的問題，卻尚未回答「治理本身應如何運作」這個更根本的提問。本章正是回應這個提問，並作為全書第二層「制度結構」的總結章——整合官僚、市場、網絡三種治理結構，說明當代治理已從單一官僚統治，轉為跨部門、跨層級的網絡協作。</w:t>
      </w:r>
    </w:p>
    <w:p>
      <w:pPr>
        <w:spacing w:after="200"/>
      </w:pPr>
      <w:r>
        <w:rPr>
          <w:sz w:val="20"/>
          <w:szCs w:val="20"/>
        </w:rPr>
        <w:t xml:space="preserve">本章從治理的整合性定義出發，經治理結構官僚—市場—網絡的三階段演進，到治理失靈的比較架構與當代政府治理能力，再到Peters四模式與World Bank四面向；接著系統性介紹治理的類型學，以及新公共服務與新公共治理的典範對話。讀完前六節後，本章第七節將處理2020年後從電子治理邁向數位與AI治理的典範轉移，第八節則作為全書第二層的總結。最後，本章將以獨立一節，運用25-3-3-4-7架構，深入分析演算法治理、協同AI治理、元治理工具與AI治理的包容性課題所帶來的權力位移與制度挑戰。</w:t>
      </w:r>
    </w:p>
    <w:p>
      <w:pPr>
        <w:pStyle w:val="Heading1"/>
      </w:pPr>
      <w:r>
        <w:t xml:space="preserve">第一節　治理的意涵與形成：從政府到治理</w:t>
      </w:r>
    </w:p>
    <w:p>
      <w:pPr>
        <w:pStyle w:val="Heading2"/>
      </w:pPr>
      <w:r>
        <w:t xml:space="preserve">一、治理的整合性定義</w:t>
      </w:r>
    </w:p>
    <w:p>
      <w:pPr>
        <w:spacing w:after="160"/>
      </w:pPr>
      <w:r>
        <w:rPr>
          <w:sz w:val="20"/>
          <w:szCs w:val="20"/>
        </w:rPr>
        <w:t xml:space="preserve">治理（Governance）一詞在1989年世界銀行《撒哈拉以南非洲：從危機到永續成長》報告中被重新引介，原指制度改革與更有效率的公共部門，後於1992年《Governance and Development》中正式定義為「行使權力以管理國家經濟與社會資源以促進發展的方式」。此定義將治理與政府（Government）做出區隔，強調治理涉及公民社會行動者。聯合國全球治理委員會（Commission on Global Governance, 1995）提出經典定義：「治理是各種公共的與私人的個人與機構管理其共同事務的諸多方式之總稱，它是調和相互衝突利益並採取聯合行動的持續過程，包括有權迫使人們服從的正式制度與規則，以及由人們同意或認為符合其利益的非正式制度安排。」這個定義點出治理作為「持續互動的協調過程」，排除單一機構獨斷宰制，強調共同規劃與共同行動。英國學者羅茲（Rhodes, 1997）則從網絡觀點定義治理為「自我組織、跨組織間的網絡，其特徵為相互依賴、資源交換、賽局規則以及相當程度的國家自主性」——治理的核心在於自主且互賴的行動者，透過信任與談判所自我組織的網絡。聯合國開發計畫署（UNDP, 1997）的定義則強調永續人類發展：治理是在國家、市場與公民社會互動中，於各層次行使經濟、政治與行政權威以管理國家事務的所有機制、過程與制度。至此，治理已從World Bank的經濟發展工具論，擴張為包含國家、市場與公民社會三部門協力、正式與非正式規則並重、跨層次互動的整體性概念。</w:t>
      </w:r>
    </w:p>
    <w:p>
      <w:pPr>
        <w:pStyle w:val="Heading2"/>
      </w:pPr>
      <w:r>
        <w:t xml:space="preserve">二、治理的形成：以網絡為基礎</w:t>
      </w:r>
    </w:p>
    <w:p>
      <w:pPr>
        <w:spacing w:after="160"/>
      </w:pPr>
      <w:r>
        <w:rPr>
          <w:sz w:val="20"/>
          <w:szCs w:val="20"/>
        </w:rPr>
        <w:t xml:space="preserve">治理基礎是眾多行動者之間基於資源互賴所形成的穩定互動網絡。在水平的網絡關係中，公部門、企業與第三部門（或志願部門）行動者均具有合理的目標與利益取向，並擁有相對自主而非相等之治理能力——公部門擁有高權、合法行使暴力之獨占權，但私部門亦擁有專業知識、資金或信任等不可取代的權力來源。治理的本質是互賴與相對自主，而非齊頭式平等。治理形成有五大驅力：國家財政危機（1970年代石油危機後福利國家財政負荷過重）；市場意識形態興起（公共選擇理論、代理人理論）；全球化與國家失靈（跨國議題使主權國家能力受限）；新公共管理的反動（過度市場化造成碎片化與空洞化）；社會變遷複雜化（棘手問題需眾多利害關係人共解）。</w:t>
      </w:r>
    </w:p>
    <w:p>
      <w:pPr>
        <w:pStyle w:val="Heading2"/>
      </w:pPr>
      <w:r>
        <w:t xml:space="preserve">三、治理的實踐：公私協力與社會資本</w:t>
      </w:r>
    </w:p>
    <w:p>
      <w:pPr>
        <w:spacing w:after="160"/>
      </w:pPr>
      <w:r>
        <w:rPr>
          <w:sz w:val="20"/>
          <w:szCs w:val="20"/>
        </w:rPr>
        <w:t xml:space="preserve">治理的實踐集中於公私協力（Public-Private Partnership, PPP）。廣義而言，PPP指公私部門基於互利互惠共同提供公共服務並分擔風險，如我國促參法的BOT、ROT、OT、BTO；狹義而言，則更強調公共性與非營利精神，如2021年台積電、鴻海永齡與慈濟協同政府採購BNT疫苗。普特南（Putnam, 1993, 2000）指出，協力能否成功取決於社會資本（信任、規範、網絡）的存量。我國九二一地震、八八風災重建與社區保母制度，皆體現「政府有限、民力無窮」的網絡治理精神。</w:t>
      </w:r>
    </w:p>
    <w:p>
      <w:pPr>
        <w:shd w:fill="FFF2CC" w:val="clear"/>
        <w:spacing w:after="80" w:before="160"/>
      </w:pPr>
      <w:r>
        <w:rPr>
          <w:b/>
          <w:bCs/>
          <w:sz w:val="20"/>
          <w:szCs w:val="20"/>
        </w:rPr>
        <w:t xml:space="preserve">觀念釐清：政府、治理與良善治理</w:t>
      </w:r>
    </w:p>
    <w:p>
      <w:pPr>
        <w:spacing w:after="200"/>
      </w:pPr>
      <w:r>
        <w:rPr>
          <w:sz w:val="20"/>
          <w:szCs w:val="20"/>
        </w:rPr>
        <w:t xml:space="preserve">政府（Government）指具合法暴力獨占與課稅權的正式權威結構；治理（Governance）指政府與非政府行動者共同管理事務的協調過程與網絡；良善治理（Good Governance）則是治理的規範性版本，加入民主、人權、有效性等價值判準。三者為描述性至規範性之光譜，不可混用。另須重申：依法行政的正確表述，是公部門為「法無授權即禁止」（法律保留與法律優位原則），私部門則為「法無禁止即自由」，二者不可顛倒——這一點，呼應第一、七章對「依法行政」正確表述的強調。</w:t>
      </w:r>
    </w:p>
    <w:p>
      <w:pPr>
        <w:pStyle w:val="Heading1"/>
      </w:pPr>
      <w:r>
        <w:t xml:space="preserve">第二節　治理結構的演進：官僚—市場—網絡</w:t>
      </w:r>
    </w:p>
    <w:p>
      <w:pPr>
        <w:spacing w:after="160"/>
      </w:pPr>
      <w:r>
        <w:rPr>
          <w:sz w:val="20"/>
          <w:szCs w:val="20"/>
        </w:rPr>
        <w:t xml:space="preserve">治理結構可區分三階段典範轉移，雖然三者常並存，但在不同年代有主導邏輯：官僚治理以層級節制、依法行政與永業化為核心邏輯，主導於1970年代以前，政府扮演操槳者與划槳者合一的統治角色，其失靈型態是僵化與繁文縟節；市場治理以競爭、價格、顧客選擇與契約外包為核心邏輯，於1980至2000年新公共管理主導期間興起，政府轉為掌舵者與領航者（政府領航、民間操槳），其失靈型態是不平等、外部性與公共性流失；網絡治理以信任、互賴、協商與共同創造為核心邏輯，自1990年代末後NPM主流時期迄今持續擴張，政府轉為服務者、促進者與編織者，其失靈型態則是課責模糊、交易成本高與信任崩解。</w:t>
      </w:r>
    </w:p>
    <w:p>
      <w:pPr>
        <w:spacing w:after="80" w:before="120"/>
        <w:jc w:val="center"/>
      </w:pPr>
      <w:r>
        <w:rPr>
          <w:b/>
          <w:bCs/>
          <w:sz w:val="18"/>
          <w:szCs w:val="18"/>
        </w:rPr>
        <w:t xml:space="preserve">表9-1　治理結構三階段演進</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600"/>
        <w:gridCol w:w="2400"/>
        <w:gridCol w:w="2000"/>
        <w:gridCol w:w="2200"/>
        <w:gridCol w:w="1438"/>
      </w:tblGrid>
      <w:tr>
        <w:tc>
          <w:tcPr>
            <w:tcW w:type="dxa" w:w="1600"/>
            <w:tcBorders>
              <w:top w:val="single" w:color="1F4E79" w:sz="1"/>
              <w:left w:val="single" w:color="1F4E79" w:sz="1"/>
              <w:bottom w:val="single" w:color="1F4E79" w:sz="1"/>
              <w:right w:val="single" w:color="1F4E79" w:sz="1"/>
            </w:tcBorders>
            <w:shd w:fill="1F4E79" w:val="clear"/>
            <w:tcMar>
              <w:top w:type="dxa" w:w="60"/>
              <w:left w:type="dxa" w:w="80"/>
              <w:bottom w:type="dxa" w:w="60"/>
              <w:right w:type="dxa" w:w="80"/>
            </w:tcMar>
            <w:vAlign w:val="center"/>
          </w:tcPr>
          <w:p>
            <w:pPr>
              <w:jc w:val="center"/>
            </w:pPr>
            <w:r>
              <w:rPr>
                <w:rFonts w:ascii="Microsoft JhengHei" w:cs="Microsoft JhengHei" w:eastAsia="Microsoft JhengHei" w:hAnsi="Microsoft JhengHei"/>
                <w:b/>
                <w:bCs/>
                <w:color w:val="FFFFFF"/>
                <w:sz w:val="18"/>
                <w:szCs w:val="18"/>
              </w:rPr>
              <w:t xml:space="preserve">階段</w:t>
            </w:r>
          </w:p>
        </w:tc>
        <w:tc>
          <w:tcPr>
            <w:tcW w:type="dxa" w:w="2400"/>
            <w:tcBorders>
              <w:top w:val="single" w:color="1F4E79" w:sz="1"/>
              <w:left w:val="single" w:color="1F4E79" w:sz="1"/>
              <w:bottom w:val="single" w:color="1F4E79" w:sz="1"/>
              <w:right w:val="single" w:color="1F4E79" w:sz="1"/>
            </w:tcBorders>
            <w:shd w:fill="1F4E79" w:val="clear"/>
            <w:tcMar>
              <w:top w:type="dxa" w:w="60"/>
              <w:left w:type="dxa" w:w="80"/>
              <w:bottom w:type="dxa" w:w="60"/>
              <w:right w:type="dxa" w:w="80"/>
            </w:tcMar>
            <w:vAlign w:val="center"/>
          </w:tcPr>
          <w:p>
            <w:pPr>
              <w:jc w:val="center"/>
            </w:pPr>
            <w:r>
              <w:rPr>
                <w:rFonts w:ascii="Microsoft JhengHei" w:cs="Microsoft JhengHei" w:eastAsia="Microsoft JhengHei" w:hAnsi="Microsoft JhengHei"/>
                <w:b/>
                <w:bCs/>
                <w:color w:val="FFFFFF"/>
                <w:sz w:val="18"/>
                <w:szCs w:val="18"/>
              </w:rPr>
              <w:t xml:space="preserve">核心邏輯</w:t>
            </w:r>
          </w:p>
        </w:tc>
        <w:tc>
          <w:tcPr>
            <w:tcW w:type="dxa" w:w="2000"/>
            <w:tcBorders>
              <w:top w:val="single" w:color="1F4E79" w:sz="1"/>
              <w:left w:val="single" w:color="1F4E79" w:sz="1"/>
              <w:bottom w:val="single" w:color="1F4E79" w:sz="1"/>
              <w:right w:val="single" w:color="1F4E79" w:sz="1"/>
            </w:tcBorders>
            <w:shd w:fill="1F4E79" w:val="clear"/>
            <w:tcMar>
              <w:top w:type="dxa" w:w="60"/>
              <w:left w:type="dxa" w:w="80"/>
              <w:bottom w:type="dxa" w:w="60"/>
              <w:right w:type="dxa" w:w="80"/>
            </w:tcMar>
            <w:vAlign w:val="center"/>
          </w:tcPr>
          <w:p>
            <w:pPr>
              <w:jc w:val="center"/>
            </w:pPr>
            <w:r>
              <w:rPr>
                <w:rFonts w:ascii="Microsoft JhengHei" w:cs="Microsoft JhengHei" w:eastAsia="Microsoft JhengHei" w:hAnsi="Microsoft JhengHei"/>
                <w:b/>
                <w:bCs/>
                <w:color w:val="FFFFFF"/>
                <w:sz w:val="18"/>
                <w:szCs w:val="18"/>
              </w:rPr>
              <w:t xml:space="preserve">主導時期</w:t>
            </w:r>
          </w:p>
        </w:tc>
        <w:tc>
          <w:tcPr>
            <w:tcW w:type="dxa" w:w="2200"/>
            <w:tcBorders>
              <w:top w:val="single" w:color="1F4E79" w:sz="1"/>
              <w:left w:val="single" w:color="1F4E79" w:sz="1"/>
              <w:bottom w:val="single" w:color="1F4E79" w:sz="1"/>
              <w:right w:val="single" w:color="1F4E79" w:sz="1"/>
            </w:tcBorders>
            <w:shd w:fill="1F4E79" w:val="clear"/>
            <w:tcMar>
              <w:top w:type="dxa" w:w="60"/>
              <w:left w:type="dxa" w:w="80"/>
              <w:bottom w:type="dxa" w:w="60"/>
              <w:right w:type="dxa" w:w="80"/>
            </w:tcMar>
            <w:vAlign w:val="center"/>
          </w:tcPr>
          <w:p>
            <w:pPr>
              <w:jc w:val="center"/>
            </w:pPr>
            <w:r>
              <w:rPr>
                <w:rFonts w:ascii="Microsoft JhengHei" w:cs="Microsoft JhengHei" w:eastAsia="Microsoft JhengHei" w:hAnsi="Microsoft JhengHei"/>
                <w:b/>
                <w:bCs/>
                <w:color w:val="FFFFFF"/>
                <w:sz w:val="18"/>
                <w:szCs w:val="18"/>
              </w:rPr>
              <w:t xml:space="preserve">政府角色</w:t>
            </w:r>
          </w:p>
        </w:tc>
        <w:tc>
          <w:tcPr>
            <w:tcW w:type="dxa" w:w="1438"/>
            <w:tcBorders>
              <w:top w:val="single" w:color="1F4E79" w:sz="1"/>
              <w:left w:val="single" w:color="1F4E79" w:sz="1"/>
              <w:bottom w:val="single" w:color="1F4E79" w:sz="1"/>
              <w:right w:val="single" w:color="1F4E79" w:sz="1"/>
            </w:tcBorders>
            <w:shd w:fill="1F4E79" w:val="clear"/>
            <w:tcMar>
              <w:top w:type="dxa" w:w="60"/>
              <w:left w:type="dxa" w:w="80"/>
              <w:bottom w:type="dxa" w:w="60"/>
              <w:right w:type="dxa" w:w="80"/>
            </w:tcMar>
            <w:vAlign w:val="center"/>
          </w:tcPr>
          <w:p>
            <w:pPr>
              <w:jc w:val="center"/>
            </w:pPr>
            <w:r>
              <w:rPr>
                <w:rFonts w:ascii="Microsoft JhengHei" w:cs="Microsoft JhengHei" w:eastAsia="Microsoft JhengHei" w:hAnsi="Microsoft JhengHei"/>
                <w:b/>
                <w:bCs/>
                <w:color w:val="FFFFFF"/>
                <w:sz w:val="18"/>
                <w:szCs w:val="18"/>
              </w:rPr>
              <w:t xml:space="preserve">失靈類型</w:t>
            </w:r>
          </w:p>
        </w:tc>
      </w:tr>
      <w:tr>
        <w:tc>
          <w:tcPr>
            <w:tcW w:type="dxa" w:w="1600"/>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jc w:val="left"/>
            </w:pPr>
            <w:r>
              <w:rPr>
                <w:rFonts w:ascii="Microsoft JhengHei" w:cs="Microsoft JhengHei" w:eastAsia="Microsoft JhengHei" w:hAnsi="Microsoft JhengHei"/>
                <w:b w:val="false"/>
                <w:bCs w:val="false"/>
                <w:color w:val="000000"/>
                <w:sz w:val="18"/>
                <w:szCs w:val="18"/>
              </w:rPr>
              <w:t xml:space="preserve">官僚治理</w:t>
            </w:r>
          </w:p>
        </w:tc>
        <w:tc>
          <w:tcPr>
            <w:tcW w:type="dxa" w:w="2400"/>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jc w:val="left"/>
            </w:pPr>
            <w:r>
              <w:rPr>
                <w:rFonts w:ascii="Microsoft JhengHei" w:cs="Microsoft JhengHei" w:eastAsia="Microsoft JhengHei" w:hAnsi="Microsoft JhengHei"/>
                <w:b w:val="false"/>
                <w:bCs w:val="false"/>
                <w:color w:val="000000"/>
                <w:sz w:val="18"/>
                <w:szCs w:val="18"/>
              </w:rPr>
              <w:t xml:space="preserve">層級節制、依法行政、永業化</w:t>
            </w:r>
          </w:p>
        </w:tc>
        <w:tc>
          <w:tcPr>
            <w:tcW w:type="dxa" w:w="2000"/>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jc w:val="left"/>
            </w:pPr>
            <w:r>
              <w:rPr>
                <w:rFonts w:ascii="Microsoft JhengHei" w:cs="Microsoft JhengHei" w:eastAsia="Microsoft JhengHei" w:hAnsi="Microsoft JhengHei"/>
                <w:b w:val="false"/>
                <w:bCs w:val="false"/>
                <w:color w:val="000000"/>
                <w:sz w:val="18"/>
                <w:szCs w:val="18"/>
              </w:rPr>
              <w:t xml:space="preserve">1970年代以前</w:t>
            </w:r>
          </w:p>
        </w:tc>
        <w:tc>
          <w:tcPr>
            <w:tcW w:type="dxa" w:w="2200"/>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jc w:val="left"/>
            </w:pPr>
            <w:r>
              <w:rPr>
                <w:rFonts w:ascii="Microsoft JhengHei" w:cs="Microsoft JhengHei" w:eastAsia="Microsoft JhengHei" w:hAnsi="Microsoft JhengHei"/>
                <w:b w:val="false"/>
                <w:bCs w:val="false"/>
                <w:color w:val="000000"/>
                <w:sz w:val="18"/>
                <w:szCs w:val="18"/>
              </w:rPr>
              <w:t xml:space="preserve">操槳者與划槳者合一（統治）</w:t>
            </w:r>
          </w:p>
        </w:tc>
        <w:tc>
          <w:tcPr>
            <w:tcW w:type="dxa" w:w="1438"/>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jc w:val="left"/>
            </w:pPr>
            <w:r>
              <w:rPr>
                <w:rFonts w:ascii="Microsoft JhengHei" w:cs="Microsoft JhengHei" w:eastAsia="Microsoft JhengHei" w:hAnsi="Microsoft JhengHei"/>
                <w:b w:val="false"/>
                <w:bCs w:val="false"/>
                <w:color w:val="000000"/>
                <w:sz w:val="18"/>
                <w:szCs w:val="18"/>
              </w:rPr>
              <w:t xml:space="preserve">僵化、繁文縟節</w:t>
            </w:r>
          </w:p>
        </w:tc>
      </w:tr>
      <w:tr>
        <w:tc>
          <w:tcPr>
            <w:tcW w:type="dxa" w:w="1600"/>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jc w:val="left"/>
            </w:pPr>
            <w:r>
              <w:rPr>
                <w:rFonts w:ascii="Microsoft JhengHei" w:cs="Microsoft JhengHei" w:eastAsia="Microsoft JhengHei" w:hAnsi="Microsoft JhengHei"/>
                <w:b w:val="false"/>
                <w:bCs w:val="false"/>
                <w:color w:val="000000"/>
                <w:sz w:val="18"/>
                <w:szCs w:val="18"/>
              </w:rPr>
              <w:t xml:space="preserve">市場治理</w:t>
            </w:r>
          </w:p>
        </w:tc>
        <w:tc>
          <w:tcPr>
            <w:tcW w:type="dxa" w:w="2400"/>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jc w:val="left"/>
            </w:pPr>
            <w:r>
              <w:rPr>
                <w:rFonts w:ascii="Microsoft JhengHei" w:cs="Microsoft JhengHei" w:eastAsia="Microsoft JhengHei" w:hAnsi="Microsoft JhengHei"/>
                <w:b w:val="false"/>
                <w:bCs w:val="false"/>
                <w:color w:val="000000"/>
                <w:sz w:val="18"/>
                <w:szCs w:val="18"/>
              </w:rPr>
              <w:t xml:space="preserve">競爭、價格、顧客選擇、契約外包</w:t>
            </w:r>
          </w:p>
        </w:tc>
        <w:tc>
          <w:tcPr>
            <w:tcW w:type="dxa" w:w="2000"/>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jc w:val="left"/>
            </w:pPr>
            <w:r>
              <w:rPr>
                <w:rFonts w:ascii="Microsoft JhengHei" w:cs="Microsoft JhengHei" w:eastAsia="Microsoft JhengHei" w:hAnsi="Microsoft JhengHei"/>
                <w:b w:val="false"/>
                <w:bCs w:val="false"/>
                <w:color w:val="000000"/>
                <w:sz w:val="18"/>
                <w:szCs w:val="18"/>
              </w:rPr>
              <w:t xml:space="preserve">1980-2000（NPM主導）</w:t>
            </w:r>
          </w:p>
        </w:tc>
        <w:tc>
          <w:tcPr>
            <w:tcW w:type="dxa" w:w="2200"/>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jc w:val="left"/>
            </w:pPr>
            <w:r>
              <w:rPr>
                <w:rFonts w:ascii="Microsoft JhengHei" w:cs="Microsoft JhengHei" w:eastAsia="Microsoft JhengHei" w:hAnsi="Microsoft JhengHei"/>
                <w:b w:val="false"/>
                <w:bCs w:val="false"/>
                <w:color w:val="000000"/>
                <w:sz w:val="18"/>
                <w:szCs w:val="18"/>
              </w:rPr>
              <w:t xml:space="preserve">掌舵者、領航者</w:t>
            </w:r>
          </w:p>
        </w:tc>
        <w:tc>
          <w:tcPr>
            <w:tcW w:type="dxa" w:w="1438"/>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jc w:val="left"/>
            </w:pPr>
            <w:r>
              <w:rPr>
                <w:rFonts w:ascii="Microsoft JhengHei" w:cs="Microsoft JhengHei" w:eastAsia="Microsoft JhengHei" w:hAnsi="Microsoft JhengHei"/>
                <w:b w:val="false"/>
                <w:bCs w:val="false"/>
                <w:color w:val="000000"/>
                <w:sz w:val="18"/>
                <w:szCs w:val="18"/>
              </w:rPr>
              <w:t xml:space="preserve">不平等、外部性、公共性流失</w:t>
            </w:r>
          </w:p>
        </w:tc>
      </w:tr>
      <w:tr>
        <w:tc>
          <w:tcPr>
            <w:tcW w:type="dxa" w:w="1600"/>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jc w:val="left"/>
            </w:pPr>
            <w:r>
              <w:rPr>
                <w:rFonts w:ascii="Microsoft JhengHei" w:cs="Microsoft JhengHei" w:eastAsia="Microsoft JhengHei" w:hAnsi="Microsoft JhengHei"/>
                <w:b w:val="false"/>
                <w:bCs w:val="false"/>
                <w:color w:val="000000"/>
                <w:sz w:val="18"/>
                <w:szCs w:val="18"/>
              </w:rPr>
              <w:t xml:space="preserve">網絡治理</w:t>
            </w:r>
          </w:p>
        </w:tc>
        <w:tc>
          <w:tcPr>
            <w:tcW w:type="dxa" w:w="2400"/>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jc w:val="left"/>
            </w:pPr>
            <w:r>
              <w:rPr>
                <w:rFonts w:ascii="Microsoft JhengHei" w:cs="Microsoft JhengHei" w:eastAsia="Microsoft JhengHei" w:hAnsi="Microsoft JhengHei"/>
                <w:b w:val="false"/>
                <w:bCs w:val="false"/>
                <w:color w:val="000000"/>
                <w:sz w:val="18"/>
                <w:szCs w:val="18"/>
              </w:rPr>
              <w:t xml:space="preserve">信任、互賴、協商、共同創造</w:t>
            </w:r>
          </w:p>
        </w:tc>
        <w:tc>
          <w:tcPr>
            <w:tcW w:type="dxa" w:w="2000"/>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jc w:val="left"/>
            </w:pPr>
            <w:r>
              <w:rPr>
                <w:rFonts w:ascii="Microsoft JhengHei" w:cs="Microsoft JhengHei" w:eastAsia="Microsoft JhengHei" w:hAnsi="Microsoft JhengHei"/>
                <w:b w:val="false"/>
                <w:bCs w:val="false"/>
                <w:color w:val="000000"/>
                <w:sz w:val="18"/>
                <w:szCs w:val="18"/>
              </w:rPr>
              <w:t xml:space="preserve">1990年代末迄今</w:t>
            </w:r>
          </w:p>
        </w:tc>
        <w:tc>
          <w:tcPr>
            <w:tcW w:type="dxa" w:w="2200"/>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jc w:val="left"/>
            </w:pPr>
            <w:r>
              <w:rPr>
                <w:rFonts w:ascii="Microsoft JhengHei" w:cs="Microsoft JhengHei" w:eastAsia="Microsoft JhengHei" w:hAnsi="Microsoft JhengHei"/>
                <w:b w:val="false"/>
                <w:bCs w:val="false"/>
                <w:color w:val="000000"/>
                <w:sz w:val="18"/>
                <w:szCs w:val="18"/>
              </w:rPr>
              <w:t xml:space="preserve">服務者、促進者、編織者</w:t>
            </w:r>
          </w:p>
        </w:tc>
        <w:tc>
          <w:tcPr>
            <w:tcW w:type="dxa" w:w="1438"/>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jc w:val="left"/>
            </w:pPr>
            <w:r>
              <w:rPr>
                <w:rFonts w:ascii="Microsoft JhengHei" w:cs="Microsoft JhengHei" w:eastAsia="Microsoft JhengHei" w:hAnsi="Microsoft JhengHei"/>
                <w:b w:val="false"/>
                <w:bCs w:val="false"/>
                <w:color w:val="000000"/>
                <w:sz w:val="18"/>
                <w:szCs w:val="18"/>
              </w:rPr>
              <w:t xml:space="preserve">課責模糊、交易成本高、信任崩解</w:t>
            </w:r>
          </w:p>
        </w:tc>
      </w:tr>
    </w:tbl>
    <w:p>
      <w:pPr>
        <w:spacing w:after="200" w:before="160"/>
      </w:pPr>
      <w:r>
        <w:rPr>
          <w:sz w:val="20"/>
          <w:szCs w:val="20"/>
        </w:rPr>
        <w:t xml:space="preserve">這個演進回應「從政府到治理」的核心命題：傳統公共行政視政府為唯一公共服務提供者，新公共管理將服務外包給市場，新公共治理與新公共服務則主張政府應與公民及網絡共同創造公共價值。空洞國家（hollow state）與碎裂化政府的危機，正是市場治理過度發展後的反動，催生了網絡治理的整合需求。</w:t>
      </w:r>
    </w:p>
    <w:p>
      <w:pPr>
        <w:pStyle w:val="Heading1"/>
      </w:pPr>
      <w:r>
        <w:t xml:space="preserve">第三節　治理失靈與治理能力</w:t>
      </w:r>
    </w:p>
    <w:p>
      <w:pPr>
        <w:pStyle w:val="Heading2"/>
      </w:pPr>
      <w:r>
        <w:t xml:space="preserve">治理失靈的比較架構</w:t>
      </w:r>
    </w:p>
    <w:p>
      <w:pPr>
        <w:spacing w:after="160"/>
      </w:pPr>
      <w:r>
        <w:rPr>
          <w:sz w:val="20"/>
          <w:szCs w:val="20"/>
        </w:rPr>
        <w:t xml:space="preserve">治理失靈並非單一治理模式的問題，而是不同治理邏輯在特定條件下產生的制度性限制。官僚治理容易出現僵化、層級壅塞與回應緩慢；市場治理可能造成公共性流失、資訊不對稱與弱勢排除；網絡治理則可能產生責任分散、參與不平等與協調成本過高等問題。因此，當代治理的重點不是在官僚、市場與網絡之間擇一，而是依據問題性質進行制度配置——涉及基本權利與公平分配的政策，仍須以官僚體制的法治與正式責任為基礎；涉及效率與資源配置的服務，可適度引進市場競爭；面對氣候變遷、疫情與地方創生等複雜問題，則需要透過網絡協作與共同創造處理。</w:t>
      </w:r>
    </w:p>
    <w:p>
      <w:pPr>
        <w:spacing w:after="80" w:before="120"/>
        <w:jc w:val="center"/>
      </w:pPr>
      <w:r>
        <w:rPr>
          <w:b/>
          <w:bCs/>
          <w:sz w:val="18"/>
          <w:szCs w:val="18"/>
        </w:rPr>
        <w:t xml:space="preserve">表9-2　三種治理邏輯之優勢、失靈與必要補強</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600"/>
        <w:gridCol w:w="2200"/>
        <w:gridCol w:w="2800"/>
        <w:gridCol w:w="3038"/>
      </w:tblGrid>
      <w:tr>
        <w:tc>
          <w:tcPr>
            <w:tcW w:type="dxa" w:w="1600"/>
            <w:tcBorders>
              <w:top w:val="single" w:color="1F4E79" w:sz="1"/>
              <w:left w:val="single" w:color="1F4E79" w:sz="1"/>
              <w:bottom w:val="single" w:color="1F4E79" w:sz="1"/>
              <w:right w:val="single" w:color="1F4E79" w:sz="1"/>
            </w:tcBorders>
            <w:shd w:fill="1F4E79" w:val="clear"/>
            <w:tcMar>
              <w:top w:type="dxa" w:w="60"/>
              <w:left w:type="dxa" w:w="80"/>
              <w:bottom w:type="dxa" w:w="60"/>
              <w:right w:type="dxa" w:w="80"/>
            </w:tcMar>
            <w:vAlign w:val="center"/>
          </w:tcPr>
          <w:p>
            <w:pPr>
              <w:jc w:val="center"/>
            </w:pPr>
            <w:r>
              <w:rPr>
                <w:rFonts w:ascii="Microsoft JhengHei" w:cs="Microsoft JhengHei" w:eastAsia="Microsoft JhengHei" w:hAnsi="Microsoft JhengHei"/>
                <w:b/>
                <w:bCs/>
                <w:color w:val="FFFFFF"/>
                <w:sz w:val="18"/>
                <w:szCs w:val="18"/>
              </w:rPr>
              <w:t xml:space="preserve">治理模式</w:t>
            </w:r>
          </w:p>
        </w:tc>
        <w:tc>
          <w:tcPr>
            <w:tcW w:type="dxa" w:w="2200"/>
            <w:tcBorders>
              <w:top w:val="single" w:color="1F4E79" w:sz="1"/>
              <w:left w:val="single" w:color="1F4E79" w:sz="1"/>
              <w:bottom w:val="single" w:color="1F4E79" w:sz="1"/>
              <w:right w:val="single" w:color="1F4E79" w:sz="1"/>
            </w:tcBorders>
            <w:shd w:fill="1F4E79" w:val="clear"/>
            <w:tcMar>
              <w:top w:type="dxa" w:w="60"/>
              <w:left w:type="dxa" w:w="80"/>
              <w:bottom w:type="dxa" w:w="60"/>
              <w:right w:type="dxa" w:w="80"/>
            </w:tcMar>
            <w:vAlign w:val="center"/>
          </w:tcPr>
          <w:p>
            <w:pPr>
              <w:jc w:val="center"/>
            </w:pPr>
            <w:r>
              <w:rPr>
                <w:rFonts w:ascii="Microsoft JhengHei" w:cs="Microsoft JhengHei" w:eastAsia="Microsoft JhengHei" w:hAnsi="Microsoft JhengHei"/>
                <w:b/>
                <w:bCs/>
                <w:color w:val="FFFFFF"/>
                <w:sz w:val="18"/>
                <w:szCs w:val="18"/>
              </w:rPr>
              <w:t xml:space="preserve">主要優勢</w:t>
            </w:r>
          </w:p>
        </w:tc>
        <w:tc>
          <w:tcPr>
            <w:tcW w:type="dxa" w:w="2800"/>
            <w:tcBorders>
              <w:top w:val="single" w:color="1F4E79" w:sz="1"/>
              <w:left w:val="single" w:color="1F4E79" w:sz="1"/>
              <w:bottom w:val="single" w:color="1F4E79" w:sz="1"/>
              <w:right w:val="single" w:color="1F4E79" w:sz="1"/>
            </w:tcBorders>
            <w:shd w:fill="1F4E79" w:val="clear"/>
            <w:tcMar>
              <w:top w:type="dxa" w:w="60"/>
              <w:left w:type="dxa" w:w="80"/>
              <w:bottom w:type="dxa" w:w="60"/>
              <w:right w:type="dxa" w:w="80"/>
            </w:tcMar>
            <w:vAlign w:val="center"/>
          </w:tcPr>
          <w:p>
            <w:pPr>
              <w:jc w:val="center"/>
            </w:pPr>
            <w:r>
              <w:rPr>
                <w:rFonts w:ascii="Microsoft JhengHei" w:cs="Microsoft JhengHei" w:eastAsia="Microsoft JhengHei" w:hAnsi="Microsoft JhengHei"/>
                <w:b/>
                <w:bCs/>
                <w:color w:val="FFFFFF"/>
                <w:sz w:val="18"/>
                <w:szCs w:val="18"/>
              </w:rPr>
              <w:t xml:space="preserve">典型失靈</w:t>
            </w:r>
          </w:p>
        </w:tc>
        <w:tc>
          <w:tcPr>
            <w:tcW w:type="dxa" w:w="3038"/>
            <w:tcBorders>
              <w:top w:val="single" w:color="1F4E79" w:sz="1"/>
              <w:left w:val="single" w:color="1F4E79" w:sz="1"/>
              <w:bottom w:val="single" w:color="1F4E79" w:sz="1"/>
              <w:right w:val="single" w:color="1F4E79" w:sz="1"/>
            </w:tcBorders>
            <w:shd w:fill="1F4E79" w:val="clear"/>
            <w:tcMar>
              <w:top w:type="dxa" w:w="60"/>
              <w:left w:type="dxa" w:w="80"/>
              <w:bottom w:type="dxa" w:w="60"/>
              <w:right w:type="dxa" w:w="80"/>
            </w:tcMar>
            <w:vAlign w:val="center"/>
          </w:tcPr>
          <w:p>
            <w:pPr>
              <w:jc w:val="center"/>
            </w:pPr>
            <w:r>
              <w:rPr>
                <w:rFonts w:ascii="Microsoft JhengHei" w:cs="Microsoft JhengHei" w:eastAsia="Microsoft JhengHei" w:hAnsi="Microsoft JhengHei"/>
                <w:b/>
                <w:bCs/>
                <w:color w:val="FFFFFF"/>
                <w:sz w:val="18"/>
                <w:szCs w:val="18"/>
              </w:rPr>
              <w:t xml:space="preserve">必要補強</w:t>
            </w:r>
          </w:p>
        </w:tc>
      </w:tr>
      <w:tr>
        <w:tc>
          <w:tcPr>
            <w:tcW w:type="dxa" w:w="1600"/>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jc w:val="left"/>
            </w:pPr>
            <w:r>
              <w:rPr>
                <w:rFonts w:ascii="Microsoft JhengHei" w:cs="Microsoft JhengHei" w:eastAsia="Microsoft JhengHei" w:hAnsi="Microsoft JhengHei"/>
                <w:b w:val="false"/>
                <w:bCs w:val="false"/>
                <w:color w:val="000000"/>
                <w:sz w:val="18"/>
                <w:szCs w:val="18"/>
              </w:rPr>
              <w:t xml:space="preserve">官僚治理</w:t>
            </w:r>
          </w:p>
        </w:tc>
        <w:tc>
          <w:tcPr>
            <w:tcW w:type="dxa" w:w="2200"/>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jc w:val="left"/>
            </w:pPr>
            <w:r>
              <w:rPr>
                <w:rFonts w:ascii="Microsoft JhengHei" w:cs="Microsoft JhengHei" w:eastAsia="Microsoft JhengHei" w:hAnsi="Microsoft JhengHei"/>
                <w:b w:val="false"/>
                <w:bCs w:val="false"/>
                <w:color w:val="000000"/>
                <w:sz w:val="18"/>
                <w:szCs w:val="18"/>
              </w:rPr>
              <w:t xml:space="preserve">法治、穩定、責任明確</w:t>
            </w:r>
          </w:p>
        </w:tc>
        <w:tc>
          <w:tcPr>
            <w:tcW w:type="dxa" w:w="2800"/>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jc w:val="left"/>
            </w:pPr>
            <w:r>
              <w:rPr>
                <w:rFonts w:ascii="Microsoft JhengHei" w:cs="Microsoft JhengHei" w:eastAsia="Microsoft JhengHei" w:hAnsi="Microsoft JhengHei"/>
                <w:b w:val="false"/>
                <w:bCs w:val="false"/>
                <w:color w:val="000000"/>
                <w:sz w:val="18"/>
                <w:szCs w:val="18"/>
              </w:rPr>
              <w:t xml:space="preserve">僵化、遲延、程序主義</w:t>
            </w:r>
          </w:p>
        </w:tc>
        <w:tc>
          <w:tcPr>
            <w:tcW w:type="dxa" w:w="3038"/>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jc w:val="left"/>
            </w:pPr>
            <w:r>
              <w:rPr>
                <w:rFonts w:ascii="Microsoft JhengHei" w:cs="Microsoft JhengHei" w:eastAsia="Microsoft JhengHei" w:hAnsi="Microsoft JhengHei"/>
                <w:b w:val="false"/>
                <w:bCs w:val="false"/>
                <w:color w:val="000000"/>
                <w:sz w:val="18"/>
                <w:szCs w:val="18"/>
              </w:rPr>
              <w:t xml:space="preserve">授權、數位化、回應性</w:t>
            </w:r>
          </w:p>
        </w:tc>
      </w:tr>
      <w:tr>
        <w:tc>
          <w:tcPr>
            <w:tcW w:type="dxa" w:w="1600"/>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jc w:val="left"/>
            </w:pPr>
            <w:r>
              <w:rPr>
                <w:rFonts w:ascii="Microsoft JhengHei" w:cs="Microsoft JhengHei" w:eastAsia="Microsoft JhengHei" w:hAnsi="Microsoft JhengHei"/>
                <w:b w:val="false"/>
                <w:bCs w:val="false"/>
                <w:color w:val="000000"/>
                <w:sz w:val="18"/>
                <w:szCs w:val="18"/>
              </w:rPr>
              <w:t xml:space="preserve">市場治理</w:t>
            </w:r>
          </w:p>
        </w:tc>
        <w:tc>
          <w:tcPr>
            <w:tcW w:type="dxa" w:w="2200"/>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jc w:val="left"/>
            </w:pPr>
            <w:r>
              <w:rPr>
                <w:rFonts w:ascii="Microsoft JhengHei" w:cs="Microsoft JhengHei" w:eastAsia="Microsoft JhengHei" w:hAnsi="Microsoft JhengHei"/>
                <w:b w:val="false"/>
                <w:bCs w:val="false"/>
                <w:color w:val="000000"/>
                <w:sz w:val="18"/>
                <w:szCs w:val="18"/>
              </w:rPr>
              <w:t xml:space="preserve">效率、選擇、創新</w:t>
            </w:r>
          </w:p>
        </w:tc>
        <w:tc>
          <w:tcPr>
            <w:tcW w:type="dxa" w:w="2800"/>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jc w:val="left"/>
            </w:pPr>
            <w:r>
              <w:rPr>
                <w:rFonts w:ascii="Microsoft JhengHei" w:cs="Microsoft JhengHei" w:eastAsia="Microsoft JhengHei" w:hAnsi="Microsoft JhengHei"/>
                <w:b w:val="false"/>
                <w:bCs w:val="false"/>
                <w:color w:val="000000"/>
                <w:sz w:val="18"/>
                <w:szCs w:val="18"/>
              </w:rPr>
              <w:t xml:space="preserve">不平等、外部性、公共性流失</w:t>
            </w:r>
          </w:p>
        </w:tc>
        <w:tc>
          <w:tcPr>
            <w:tcW w:type="dxa" w:w="3038"/>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jc w:val="left"/>
            </w:pPr>
            <w:r>
              <w:rPr>
                <w:rFonts w:ascii="Microsoft JhengHei" w:cs="Microsoft JhengHei" w:eastAsia="Microsoft JhengHei" w:hAnsi="Microsoft JhengHei"/>
                <w:b w:val="false"/>
                <w:bCs w:val="false"/>
                <w:color w:val="000000"/>
                <w:sz w:val="18"/>
                <w:szCs w:val="18"/>
              </w:rPr>
              <w:t xml:space="preserve">管制、契約課責、弱勢保障</w:t>
            </w:r>
          </w:p>
        </w:tc>
      </w:tr>
      <w:tr>
        <w:tc>
          <w:tcPr>
            <w:tcW w:type="dxa" w:w="1600"/>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jc w:val="left"/>
            </w:pPr>
            <w:r>
              <w:rPr>
                <w:rFonts w:ascii="Microsoft JhengHei" w:cs="Microsoft JhengHei" w:eastAsia="Microsoft JhengHei" w:hAnsi="Microsoft JhengHei"/>
                <w:b w:val="false"/>
                <w:bCs w:val="false"/>
                <w:color w:val="000000"/>
                <w:sz w:val="18"/>
                <w:szCs w:val="18"/>
              </w:rPr>
              <w:t xml:space="preserve">網絡治理</w:t>
            </w:r>
          </w:p>
        </w:tc>
        <w:tc>
          <w:tcPr>
            <w:tcW w:type="dxa" w:w="2200"/>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jc w:val="left"/>
            </w:pPr>
            <w:r>
              <w:rPr>
                <w:rFonts w:ascii="Microsoft JhengHei" w:cs="Microsoft JhengHei" w:eastAsia="Microsoft JhengHei" w:hAnsi="Microsoft JhengHei"/>
                <w:b w:val="false"/>
                <w:bCs w:val="false"/>
                <w:color w:val="000000"/>
                <w:sz w:val="18"/>
                <w:szCs w:val="18"/>
              </w:rPr>
              <w:t xml:space="preserve">協力、彈性、知識整合</w:t>
            </w:r>
          </w:p>
        </w:tc>
        <w:tc>
          <w:tcPr>
            <w:tcW w:type="dxa" w:w="2800"/>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jc w:val="left"/>
            </w:pPr>
            <w:r>
              <w:rPr>
                <w:rFonts w:ascii="Microsoft JhengHei" w:cs="Microsoft JhengHei" w:eastAsia="Microsoft JhengHei" w:hAnsi="Microsoft JhengHei"/>
                <w:b w:val="false"/>
                <w:bCs w:val="false"/>
                <w:color w:val="000000"/>
                <w:sz w:val="18"/>
                <w:szCs w:val="18"/>
              </w:rPr>
              <w:t xml:space="preserve">責任模糊、協調成本高、代表性不足</w:t>
            </w:r>
          </w:p>
        </w:tc>
        <w:tc>
          <w:tcPr>
            <w:tcW w:type="dxa" w:w="3038"/>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jc w:val="left"/>
            </w:pPr>
            <w:r>
              <w:rPr>
                <w:rFonts w:ascii="Microsoft JhengHei" w:cs="Microsoft JhengHei" w:eastAsia="Microsoft JhengHei" w:hAnsi="Microsoft JhengHei"/>
                <w:b w:val="false"/>
                <w:bCs w:val="false"/>
                <w:color w:val="000000"/>
                <w:sz w:val="18"/>
                <w:szCs w:val="18"/>
              </w:rPr>
              <w:t xml:space="preserve">元治理、程序設計、透明監督</w:t>
            </w:r>
          </w:p>
        </w:tc>
      </w:tr>
    </w:tbl>
    <w:p>
      <w:pPr>
        <w:spacing w:after="160" w:before="160"/>
      </w:pPr>
      <w:r>
        <w:rPr>
          <w:sz w:val="20"/>
          <w:szCs w:val="20"/>
        </w:rPr>
        <w:t xml:space="preserve">官僚、市場、網絡三結構是治理章的骨架。後面的失靈、能力與模式，都是這三格如何組合、如何失敗，而不是另起一套分類。這一節可直接銜接後文的元治理討論，使元治理不只是AI時代的新概念，而是回應多重治理失靈的制度安排——當官僚、市場與網絡三種邏輯各自存在失靈風險時，政府所需要的，便是能夠依問題性質靈活配置制度、並在配置後持續監督的後設能力。</w:t>
      </w:r>
    </w:p>
    <w:p>
      <w:pPr>
        <w:pStyle w:val="Heading2"/>
      </w:pPr>
      <w:r>
        <w:t xml:space="preserve">當代政府治理能力</w:t>
      </w:r>
    </w:p>
    <w:p>
      <w:pPr>
        <w:spacing w:after="200"/>
      </w:pPr>
      <w:r>
        <w:rPr>
          <w:sz w:val="20"/>
          <w:szCs w:val="20"/>
        </w:rPr>
        <w:t xml:space="preserve">治理結構與治理典範的討論，最終須回答一個實務問題：政府要成功推動網絡治理，究竟需要哪些能力？當代政府至少須具備六項治理能力：整合能力（跨部門、跨層級整合資訊、資源與政策目標）；協作能力（建立信任、協商衝突並維持長期合作）；數位能力（理解資料、平台、演算法與AI系統）；法規能力（將新興技術轉化為可執行的法律與行政規範）；反思能力（從政策結果與失誤中學習，修正制度設計）；民主課責能力（確保人民能理解、參與、質疑並挑戰治理決策）。這六項能力，特別適合與下一章公共政策制定過程銜接。</w:t>
      </w:r>
    </w:p>
    <w:p>
      <w:pPr>
        <w:pStyle w:val="Heading1"/>
      </w:pPr>
      <w:r>
        <w:t xml:space="preserve">第四節　當代治理模式：Peters四模式與World Bank四面向</w:t>
      </w:r>
    </w:p>
    <w:p>
      <w:pPr>
        <w:pStyle w:val="Heading2"/>
      </w:pPr>
      <w:r>
        <w:t xml:space="preserve">一、Peters四種未來治理模式</w:t>
      </w:r>
    </w:p>
    <w:p>
      <w:pPr>
        <w:spacing w:after="160"/>
      </w:pPr>
      <w:r>
        <w:rPr>
          <w:sz w:val="20"/>
          <w:szCs w:val="20"/>
        </w:rPr>
        <w:t xml:space="preserve">彼得斯（Guy Peters, 1996, 2010）提出四種新治理模式，作為對傳統韋伯官僚的改革處方：市場模式（公共選擇與代理人理論，分權化、引進市場與競爭、契約化）；參與模式（新左派、公民授能與審議民主，扁平化、團隊、公民直接參與）；彈性模式（新管理主義與永業文官反省，彈性化、任務編組、任期制）；鬆綁模式（新右派、反官僚、去管制，簡化規則、賦能基層）。</w:t>
      </w:r>
    </w:p>
    <w:p>
      <w:pPr>
        <w:spacing w:after="80" w:before="120"/>
        <w:jc w:val="center"/>
      </w:pPr>
      <w:r>
        <w:rPr>
          <w:b/>
          <w:bCs/>
          <w:sz w:val="18"/>
          <w:szCs w:val="18"/>
        </w:rPr>
        <w:t xml:space="preserve">表9-3　Peters四種治理模式比較</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600"/>
        <w:gridCol w:w="2009"/>
        <w:gridCol w:w="2009"/>
        <w:gridCol w:w="2010"/>
        <w:gridCol w:w="2010"/>
      </w:tblGrid>
      <w:tr>
        <w:tc>
          <w:tcPr>
            <w:tcW w:type="dxa" w:w="1600"/>
            <w:tcBorders>
              <w:top w:val="single" w:color="1F4E79" w:sz="1"/>
              <w:left w:val="single" w:color="1F4E79" w:sz="1"/>
              <w:bottom w:val="single" w:color="1F4E79" w:sz="1"/>
              <w:right w:val="single" w:color="1F4E79" w:sz="1"/>
            </w:tcBorders>
            <w:shd w:fill="1F4E79" w:val="clear"/>
            <w:tcMar>
              <w:top w:type="dxa" w:w="60"/>
              <w:left w:type="dxa" w:w="80"/>
              <w:bottom w:type="dxa" w:w="60"/>
              <w:right w:type="dxa" w:w="80"/>
            </w:tcMar>
            <w:vAlign w:val="center"/>
          </w:tcPr>
          <w:p>
            <w:pPr>
              <w:jc w:val="center"/>
            </w:pPr>
            <w:r>
              <w:rPr>
                <w:rFonts w:ascii="Microsoft JhengHei" w:cs="Microsoft JhengHei" w:eastAsia="Microsoft JhengHei" w:hAnsi="Microsoft JhengHei"/>
                <w:b/>
                <w:bCs/>
                <w:color w:val="FFFFFF"/>
                <w:sz w:val="16"/>
                <w:szCs w:val="16"/>
              </w:rPr>
              <w:t xml:space="preserve">構面</w:t>
            </w:r>
          </w:p>
        </w:tc>
        <w:tc>
          <w:tcPr>
            <w:tcW w:type="dxa" w:w="2009"/>
            <w:tcBorders>
              <w:top w:val="single" w:color="1F4E79" w:sz="1"/>
              <w:left w:val="single" w:color="1F4E79" w:sz="1"/>
              <w:bottom w:val="single" w:color="1F4E79" w:sz="1"/>
              <w:right w:val="single" w:color="1F4E79" w:sz="1"/>
            </w:tcBorders>
            <w:shd w:fill="1F4E79" w:val="clear"/>
            <w:tcMar>
              <w:top w:type="dxa" w:w="60"/>
              <w:left w:type="dxa" w:w="80"/>
              <w:bottom w:type="dxa" w:w="60"/>
              <w:right w:type="dxa" w:w="80"/>
            </w:tcMar>
            <w:vAlign w:val="center"/>
          </w:tcPr>
          <w:p>
            <w:pPr>
              <w:jc w:val="center"/>
            </w:pPr>
            <w:r>
              <w:rPr>
                <w:rFonts w:ascii="Microsoft JhengHei" w:cs="Microsoft JhengHei" w:eastAsia="Microsoft JhengHei" w:hAnsi="Microsoft JhengHei"/>
                <w:b/>
                <w:bCs/>
                <w:color w:val="FFFFFF"/>
                <w:sz w:val="16"/>
                <w:szCs w:val="16"/>
              </w:rPr>
              <w:t xml:space="preserve">市場模式</w:t>
            </w:r>
          </w:p>
        </w:tc>
        <w:tc>
          <w:tcPr>
            <w:tcW w:type="dxa" w:w="2009"/>
            <w:tcBorders>
              <w:top w:val="single" w:color="1F4E79" w:sz="1"/>
              <w:left w:val="single" w:color="1F4E79" w:sz="1"/>
              <w:bottom w:val="single" w:color="1F4E79" w:sz="1"/>
              <w:right w:val="single" w:color="1F4E79" w:sz="1"/>
            </w:tcBorders>
            <w:shd w:fill="1F4E79" w:val="clear"/>
            <w:tcMar>
              <w:top w:type="dxa" w:w="60"/>
              <w:left w:type="dxa" w:w="80"/>
              <w:bottom w:type="dxa" w:w="60"/>
              <w:right w:type="dxa" w:w="80"/>
            </w:tcMar>
            <w:vAlign w:val="center"/>
          </w:tcPr>
          <w:p>
            <w:pPr>
              <w:jc w:val="center"/>
            </w:pPr>
            <w:r>
              <w:rPr>
                <w:rFonts w:ascii="Microsoft JhengHei" w:cs="Microsoft JhengHei" w:eastAsia="Microsoft JhengHei" w:hAnsi="Microsoft JhengHei"/>
                <w:b/>
                <w:bCs/>
                <w:color w:val="FFFFFF"/>
                <w:sz w:val="16"/>
                <w:szCs w:val="16"/>
              </w:rPr>
              <w:t xml:space="preserve">參與模式</w:t>
            </w:r>
          </w:p>
        </w:tc>
        <w:tc>
          <w:tcPr>
            <w:tcW w:type="dxa" w:w="2010"/>
            <w:tcBorders>
              <w:top w:val="single" w:color="1F4E79" w:sz="1"/>
              <w:left w:val="single" w:color="1F4E79" w:sz="1"/>
              <w:bottom w:val="single" w:color="1F4E79" w:sz="1"/>
              <w:right w:val="single" w:color="1F4E79" w:sz="1"/>
            </w:tcBorders>
            <w:shd w:fill="1F4E79" w:val="clear"/>
            <w:tcMar>
              <w:top w:type="dxa" w:w="60"/>
              <w:left w:type="dxa" w:w="80"/>
              <w:bottom w:type="dxa" w:w="60"/>
              <w:right w:type="dxa" w:w="80"/>
            </w:tcMar>
            <w:vAlign w:val="center"/>
          </w:tcPr>
          <w:p>
            <w:pPr>
              <w:jc w:val="center"/>
            </w:pPr>
            <w:r>
              <w:rPr>
                <w:rFonts w:ascii="Microsoft JhengHei" w:cs="Microsoft JhengHei" w:eastAsia="Microsoft JhengHei" w:hAnsi="Microsoft JhengHei"/>
                <w:b/>
                <w:bCs/>
                <w:color w:val="FFFFFF"/>
                <w:sz w:val="16"/>
                <w:szCs w:val="16"/>
              </w:rPr>
              <w:t xml:space="preserve">彈性模式</w:t>
            </w:r>
          </w:p>
        </w:tc>
        <w:tc>
          <w:tcPr>
            <w:tcW w:type="dxa" w:w="2010"/>
            <w:tcBorders>
              <w:top w:val="single" w:color="1F4E79" w:sz="1"/>
              <w:left w:val="single" w:color="1F4E79" w:sz="1"/>
              <w:bottom w:val="single" w:color="1F4E79" w:sz="1"/>
              <w:right w:val="single" w:color="1F4E79" w:sz="1"/>
            </w:tcBorders>
            <w:shd w:fill="1F4E79" w:val="clear"/>
            <w:tcMar>
              <w:top w:type="dxa" w:w="60"/>
              <w:left w:type="dxa" w:w="80"/>
              <w:bottom w:type="dxa" w:w="60"/>
              <w:right w:type="dxa" w:w="80"/>
            </w:tcMar>
            <w:vAlign w:val="center"/>
          </w:tcPr>
          <w:p>
            <w:pPr>
              <w:jc w:val="center"/>
            </w:pPr>
            <w:r>
              <w:rPr>
                <w:rFonts w:ascii="Microsoft JhengHei" w:cs="Microsoft JhengHei" w:eastAsia="Microsoft JhengHei" w:hAnsi="Microsoft JhengHei"/>
                <w:b/>
                <w:bCs/>
                <w:color w:val="FFFFFF"/>
                <w:sz w:val="16"/>
                <w:szCs w:val="16"/>
              </w:rPr>
              <w:t xml:space="preserve">鬆綁模式</w:t>
            </w:r>
          </w:p>
        </w:tc>
      </w:tr>
      <w:tr>
        <w:tc>
          <w:tcPr>
            <w:tcW w:type="dxa" w:w="1600"/>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jc w:val="left"/>
            </w:pPr>
            <w:r>
              <w:rPr>
                <w:rFonts w:ascii="Microsoft JhengHei" w:cs="Microsoft JhengHei" w:eastAsia="Microsoft JhengHei" w:hAnsi="Microsoft JhengHei"/>
                <w:b w:val="false"/>
                <w:bCs w:val="false"/>
                <w:color w:val="000000"/>
                <w:sz w:val="16"/>
                <w:szCs w:val="16"/>
              </w:rPr>
              <w:t xml:space="preserve">意識形態</w:t>
            </w:r>
          </w:p>
        </w:tc>
        <w:tc>
          <w:tcPr>
            <w:tcW w:type="dxa" w:w="2009"/>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jc w:val="left"/>
            </w:pPr>
            <w:r>
              <w:rPr>
                <w:rFonts w:ascii="Microsoft JhengHei" w:cs="Microsoft JhengHei" w:eastAsia="Microsoft JhengHei" w:hAnsi="Microsoft JhengHei"/>
                <w:b w:val="false"/>
                <w:bCs w:val="false"/>
                <w:color w:val="000000"/>
                <w:sz w:val="16"/>
                <w:szCs w:val="16"/>
              </w:rPr>
              <w:t xml:space="preserve">公共選擇、代理人理論</w:t>
            </w:r>
          </w:p>
        </w:tc>
        <w:tc>
          <w:tcPr>
            <w:tcW w:type="dxa" w:w="2009"/>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jc w:val="left"/>
            </w:pPr>
            <w:r>
              <w:rPr>
                <w:rFonts w:ascii="Microsoft JhengHei" w:cs="Microsoft JhengHei" w:eastAsia="Microsoft JhengHei" w:hAnsi="Microsoft JhengHei"/>
                <w:b w:val="false"/>
                <w:bCs w:val="false"/>
                <w:color w:val="000000"/>
                <w:sz w:val="16"/>
                <w:szCs w:val="16"/>
              </w:rPr>
              <w:t xml:space="preserve">新左派、公民授能、審議民主</w:t>
            </w:r>
          </w:p>
        </w:tc>
        <w:tc>
          <w:tcPr>
            <w:tcW w:type="dxa" w:w="2010"/>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jc w:val="left"/>
            </w:pPr>
            <w:r>
              <w:rPr>
                <w:rFonts w:ascii="Microsoft JhengHei" w:cs="Microsoft JhengHei" w:eastAsia="Microsoft JhengHei" w:hAnsi="Microsoft JhengHei"/>
                <w:b w:val="false"/>
                <w:bCs w:val="false"/>
                <w:color w:val="000000"/>
                <w:sz w:val="16"/>
                <w:szCs w:val="16"/>
              </w:rPr>
              <w:t xml:space="preserve">新管理主義、永業文官反省</w:t>
            </w:r>
          </w:p>
        </w:tc>
        <w:tc>
          <w:tcPr>
            <w:tcW w:type="dxa" w:w="2010"/>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jc w:val="left"/>
            </w:pPr>
            <w:r>
              <w:rPr>
                <w:rFonts w:ascii="Microsoft JhengHei" w:cs="Microsoft JhengHei" w:eastAsia="Microsoft JhengHei" w:hAnsi="Microsoft JhengHei"/>
                <w:b w:val="false"/>
                <w:bCs w:val="false"/>
                <w:color w:val="000000"/>
                <w:sz w:val="16"/>
                <w:szCs w:val="16"/>
              </w:rPr>
              <w:t xml:space="preserve">新右派、反官僚、去管制</w:t>
            </w:r>
          </w:p>
        </w:tc>
      </w:tr>
      <w:tr>
        <w:tc>
          <w:tcPr>
            <w:tcW w:type="dxa" w:w="1600"/>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jc w:val="left"/>
            </w:pPr>
            <w:r>
              <w:rPr>
                <w:rFonts w:ascii="Microsoft JhengHei" w:cs="Microsoft JhengHei" w:eastAsia="Microsoft JhengHei" w:hAnsi="Microsoft JhengHei"/>
                <w:b w:val="false"/>
                <w:bCs w:val="false"/>
                <w:color w:val="000000"/>
                <w:sz w:val="16"/>
                <w:szCs w:val="16"/>
              </w:rPr>
              <w:t xml:space="preserve">診斷</w:t>
            </w:r>
          </w:p>
        </w:tc>
        <w:tc>
          <w:tcPr>
            <w:tcW w:type="dxa" w:w="2009"/>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jc w:val="left"/>
            </w:pPr>
            <w:r>
              <w:rPr>
                <w:rFonts w:ascii="Microsoft JhengHei" w:cs="Microsoft JhengHei" w:eastAsia="Microsoft JhengHei" w:hAnsi="Microsoft JhengHei"/>
                <w:b w:val="false"/>
                <w:bCs w:val="false"/>
                <w:color w:val="000000"/>
                <w:sz w:val="16"/>
                <w:szCs w:val="16"/>
              </w:rPr>
              <w:t xml:space="preserve">缺乏競爭與獨占</w:t>
            </w:r>
          </w:p>
        </w:tc>
        <w:tc>
          <w:tcPr>
            <w:tcW w:type="dxa" w:w="2009"/>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jc w:val="left"/>
            </w:pPr>
            <w:r>
              <w:rPr>
                <w:rFonts w:ascii="Microsoft JhengHei" w:cs="Microsoft JhengHei" w:eastAsia="Microsoft JhengHei" w:hAnsi="Microsoft JhengHei"/>
                <w:b w:val="false"/>
                <w:bCs w:val="false"/>
                <w:color w:val="000000"/>
                <w:sz w:val="16"/>
                <w:szCs w:val="16"/>
              </w:rPr>
              <w:t xml:space="preserve">層級節制、封閉、公民疏離</w:t>
            </w:r>
          </w:p>
        </w:tc>
        <w:tc>
          <w:tcPr>
            <w:tcW w:type="dxa" w:w="2010"/>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jc w:val="left"/>
            </w:pPr>
            <w:r>
              <w:rPr>
                <w:rFonts w:ascii="Microsoft JhengHei" w:cs="Microsoft JhengHei" w:eastAsia="Microsoft JhengHei" w:hAnsi="Microsoft JhengHei"/>
                <w:b w:val="false"/>
                <w:bCs w:val="false"/>
                <w:color w:val="000000"/>
                <w:sz w:val="16"/>
                <w:szCs w:val="16"/>
              </w:rPr>
              <w:t xml:space="preserve">永業制、年資主義、僵化人事</w:t>
            </w:r>
          </w:p>
        </w:tc>
        <w:tc>
          <w:tcPr>
            <w:tcW w:type="dxa" w:w="2010"/>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jc w:val="left"/>
            </w:pPr>
            <w:r>
              <w:rPr>
                <w:rFonts w:ascii="Microsoft JhengHei" w:cs="Microsoft JhengHei" w:eastAsia="Microsoft JhengHei" w:hAnsi="Microsoft JhengHei"/>
                <w:b w:val="false"/>
                <w:bCs w:val="false"/>
                <w:color w:val="000000"/>
                <w:sz w:val="16"/>
                <w:szCs w:val="16"/>
              </w:rPr>
              <w:t xml:space="preserve">過度規則、繁文縟節</w:t>
            </w:r>
          </w:p>
        </w:tc>
      </w:tr>
      <w:tr>
        <w:tc>
          <w:tcPr>
            <w:tcW w:type="dxa" w:w="1600"/>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jc w:val="left"/>
            </w:pPr>
            <w:r>
              <w:rPr>
                <w:rFonts w:ascii="Microsoft JhengHei" w:cs="Microsoft JhengHei" w:eastAsia="Microsoft JhengHei" w:hAnsi="Microsoft JhengHei"/>
                <w:b w:val="false"/>
                <w:bCs w:val="false"/>
                <w:color w:val="000000"/>
                <w:sz w:val="16"/>
                <w:szCs w:val="16"/>
              </w:rPr>
              <w:t xml:space="preserve">處方</w:t>
            </w:r>
          </w:p>
        </w:tc>
        <w:tc>
          <w:tcPr>
            <w:tcW w:type="dxa" w:w="2009"/>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jc w:val="left"/>
            </w:pPr>
            <w:r>
              <w:rPr>
                <w:rFonts w:ascii="Microsoft JhengHei" w:cs="Microsoft JhengHei" w:eastAsia="Microsoft JhengHei" w:hAnsi="Microsoft JhengHei"/>
                <w:b w:val="false"/>
                <w:bCs w:val="false"/>
                <w:color w:val="000000"/>
                <w:sz w:val="16"/>
                <w:szCs w:val="16"/>
              </w:rPr>
              <w:t xml:space="preserve">分權化、市場競爭、契約化</w:t>
            </w:r>
          </w:p>
        </w:tc>
        <w:tc>
          <w:tcPr>
            <w:tcW w:type="dxa" w:w="2009"/>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jc w:val="left"/>
            </w:pPr>
            <w:r>
              <w:rPr>
                <w:rFonts w:ascii="Microsoft JhengHei" w:cs="Microsoft JhengHei" w:eastAsia="Microsoft JhengHei" w:hAnsi="Microsoft JhengHei"/>
                <w:b w:val="false"/>
                <w:bCs w:val="false"/>
                <w:color w:val="000000"/>
                <w:sz w:val="16"/>
                <w:szCs w:val="16"/>
              </w:rPr>
              <w:t xml:space="preserve">扁平化、團隊、公民參與</w:t>
            </w:r>
          </w:p>
        </w:tc>
        <w:tc>
          <w:tcPr>
            <w:tcW w:type="dxa" w:w="2010"/>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jc w:val="left"/>
            </w:pPr>
            <w:r>
              <w:rPr>
                <w:rFonts w:ascii="Microsoft JhengHei" w:cs="Microsoft JhengHei" w:eastAsia="Microsoft JhengHei" w:hAnsi="Microsoft JhengHei"/>
                <w:b w:val="false"/>
                <w:bCs w:val="false"/>
                <w:color w:val="000000"/>
                <w:sz w:val="16"/>
                <w:szCs w:val="16"/>
              </w:rPr>
              <w:t xml:space="preserve">彈性化、任務編組、任期制</w:t>
            </w:r>
          </w:p>
        </w:tc>
        <w:tc>
          <w:tcPr>
            <w:tcW w:type="dxa" w:w="2010"/>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jc w:val="left"/>
            </w:pPr>
            <w:r>
              <w:rPr>
                <w:rFonts w:ascii="Microsoft JhengHei" w:cs="Microsoft JhengHei" w:eastAsia="Microsoft JhengHei" w:hAnsi="Microsoft JhengHei"/>
                <w:b w:val="false"/>
                <w:bCs w:val="false"/>
                <w:color w:val="000000"/>
                <w:sz w:val="16"/>
                <w:szCs w:val="16"/>
              </w:rPr>
              <w:t xml:space="preserve">簡化規則、賦能基層</w:t>
            </w:r>
          </w:p>
        </w:tc>
      </w:tr>
      <w:tr>
        <w:tc>
          <w:tcPr>
            <w:tcW w:type="dxa" w:w="1600"/>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jc w:val="left"/>
            </w:pPr>
            <w:r>
              <w:rPr>
                <w:rFonts w:ascii="Microsoft JhengHei" w:cs="Microsoft JhengHei" w:eastAsia="Microsoft JhengHei" w:hAnsi="Microsoft JhengHei"/>
                <w:b w:val="false"/>
                <w:bCs w:val="false"/>
                <w:color w:val="000000"/>
                <w:sz w:val="16"/>
                <w:szCs w:val="16"/>
              </w:rPr>
              <w:t xml:space="preserve">台灣實例</w:t>
            </w:r>
          </w:p>
        </w:tc>
        <w:tc>
          <w:tcPr>
            <w:tcW w:type="dxa" w:w="2009"/>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jc w:val="left"/>
            </w:pPr>
            <w:r>
              <w:rPr>
                <w:rFonts w:ascii="Microsoft JhengHei" w:cs="Microsoft JhengHei" w:eastAsia="Microsoft JhengHei" w:hAnsi="Microsoft JhengHei"/>
                <w:b w:val="false"/>
                <w:bCs w:val="false"/>
                <w:color w:val="000000"/>
                <w:sz w:val="16"/>
                <w:szCs w:val="16"/>
              </w:rPr>
              <w:t xml:space="preserve">BOT高鐵、採購外包</w:t>
            </w:r>
          </w:p>
        </w:tc>
        <w:tc>
          <w:tcPr>
            <w:tcW w:type="dxa" w:w="2009"/>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jc w:val="left"/>
            </w:pPr>
            <w:r>
              <w:rPr>
                <w:rFonts w:ascii="Microsoft JhengHei" w:cs="Microsoft JhengHei" w:eastAsia="Microsoft JhengHei" w:hAnsi="Microsoft JhengHei"/>
                <w:b w:val="false"/>
                <w:bCs w:val="false"/>
                <w:color w:val="000000"/>
                <w:sz w:val="16"/>
                <w:szCs w:val="16"/>
              </w:rPr>
              <w:t xml:space="preserve">Join平臺、參與式預算</w:t>
            </w:r>
          </w:p>
        </w:tc>
        <w:tc>
          <w:tcPr>
            <w:tcW w:type="dxa" w:w="2010"/>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jc w:val="left"/>
            </w:pPr>
            <w:r>
              <w:rPr>
                <w:rFonts w:ascii="Microsoft JhengHei" w:cs="Microsoft JhengHei" w:eastAsia="Microsoft JhengHei" w:hAnsi="Microsoft JhengHei"/>
                <w:b w:val="false"/>
                <w:bCs w:val="false"/>
                <w:color w:val="000000"/>
                <w:sz w:val="16"/>
                <w:szCs w:val="16"/>
              </w:rPr>
              <w:t xml:space="preserve">約聘僱、計畫型任務編組</w:t>
            </w:r>
          </w:p>
        </w:tc>
        <w:tc>
          <w:tcPr>
            <w:tcW w:type="dxa" w:w="2010"/>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jc w:val="left"/>
            </w:pPr>
            <w:r>
              <w:rPr>
                <w:rFonts w:ascii="Microsoft JhengHei" w:cs="Microsoft JhengHei" w:eastAsia="Microsoft JhengHei" w:hAnsi="Microsoft JhengHei"/>
                <w:b w:val="false"/>
                <w:bCs w:val="false"/>
                <w:color w:val="000000"/>
                <w:sz w:val="16"/>
                <w:szCs w:val="16"/>
              </w:rPr>
              <w:t xml:space="preserve">法規鬆綁、一站式服務</w:t>
            </w:r>
          </w:p>
        </w:tc>
      </w:tr>
    </w:tbl>
    <w:p>
      <w:pPr>
        <w:pStyle w:val="Heading2"/>
      </w:pPr>
      <w:r>
        <w:t xml:space="preserve">二、World Bank治理四面向</w:t>
      </w:r>
    </w:p>
    <w:p>
      <w:pPr>
        <w:spacing w:after="120"/>
      </w:pPr>
      <w:r>
        <w:rPr>
          <w:sz w:val="20"/>
          <w:szCs w:val="20"/>
        </w:rPr>
        <w:t xml:space="preserve">依World Bank（1992）《Governance and Development》，治理有四個關鍵面向：公共部門管理、課責性、發展的法律框架、透明與資訊。2020年後分別延伸至數位公共建設與資料治理、演算法課責與AI可解釋性、數位法治與AI法制、開放資料與政府即平台。</w:t>
      </w:r>
    </w:p>
    <w:p>
      <w:pPr>
        <w:spacing w:before="160"/>
        <w:jc w:val="center"/>
      </w:pPr>
      <w:r>
        <w:drawing>
          <wp:inline xmlns:a="http://schemas.openxmlformats.org/drawingml/2006/main" xmlns:pic="http://schemas.openxmlformats.org/drawingml/2006/picture">
            <wp:extent cx="4005072" cy="3415932"/>
            <wp:docPr id="19" name="Picture 19"/>
            <wp:cNvGraphicFramePr>
              <a:graphicFrameLocks noChangeAspect="1"/>
            </wp:cNvGraphicFramePr>
            <a:graphic>
              <a:graphicData uri="http://schemas.openxmlformats.org/drawingml/2006/picture">
                <pic:pic>
                  <pic:nvPicPr>
                    <pic:cNvPr id="0" name="93a472b0bea1781056511d5b378e8cee0cc42e62.jpg"/>
                    <pic:cNvPicPr/>
                  </pic:nvPicPr>
                  <pic:blipFill>
                    <a:blip r:embed="rId19"/>
                    <a:stretch>
                      <a:fillRect/>
                    </a:stretch>
                  </pic:blipFill>
                  <pic:spPr>
                    <a:xfrm>
                      <a:off x="0" y="0"/>
                      <a:ext cx="4005072" cy="3415932"/>
                    </a:xfrm>
                    <a:prstGeom prst="rect"/>
                  </pic:spPr>
                </pic:pic>
              </a:graphicData>
            </a:graphic>
          </wp:inline>
        </w:drawing>
      </w:r>
    </w:p>
    <w:p>
      <w:pPr>
        <w:spacing w:after="80"/>
        <w:jc w:val="center"/>
      </w:pPr>
      <w:r>
        <w:rPr>
          <w:b/>
          <w:bCs/>
          <w:sz w:val="18"/>
          <w:szCs w:val="18"/>
        </w:rPr>
        <w:t xml:space="preserve">圖9-1　治理的層面（Dimensions of Governance）</w:t>
      </w:r>
    </w:p>
    <w:p>
      <w:pPr>
        <w:spacing w:after="200"/>
      </w:pPr>
      <w:r>
        <w:rPr>
          <w:color w:val="555555"/>
          <w:sz w:val="18"/>
          <w:szCs w:val="18"/>
        </w:rPr>
        <w:t xml:space="preserve">圖說：本圖呈現World Bank（1992）提出的治理四面向——公共部門管理（Public Sector Management）、課責性（Accountability）、發展的法律框架（The Legal framework for Development）、透明與資訊（Transparency and Information）。此四面向構成良善治理的體檢表，2020年後分別延伸至數位公共建設、演算法課責、數位法治與開放資料，成為當代政府評估治理品質的核心架構。</w:t>
      </w:r>
    </w:p>
    <w:p>
      <w:pPr>
        <w:pStyle w:val="Heading1"/>
      </w:pPr>
      <w:r>
        <w:t xml:space="preserve">第五節　治理的類型學：多元治理形態</w:t>
      </w:r>
    </w:p>
    <w:p>
      <w:pPr>
        <w:spacing w:after="120"/>
      </w:pPr>
      <w:r>
        <w:rPr>
          <w:sz w:val="20"/>
          <w:szCs w:val="20"/>
        </w:rPr>
        <w:t xml:space="preserve">治理依組織任務與場域而分殊，文獻常見七大類型，其分析層次與利害關係人網絡各異。</w:t>
      </w:r>
    </w:p>
    <w:p>
      <w:pPr>
        <w:spacing w:before="120"/>
        <w:jc w:val="center"/>
      </w:pPr>
      <w:r>
        <w:drawing>
          <wp:inline xmlns:a="http://schemas.openxmlformats.org/drawingml/2006/main" xmlns:pic="http://schemas.openxmlformats.org/drawingml/2006/picture">
            <wp:extent cx="3813048" cy="3305014"/>
            <wp:docPr id="20" name="Picture 20"/>
            <wp:cNvGraphicFramePr>
              <a:graphicFrameLocks noChangeAspect="1"/>
            </wp:cNvGraphicFramePr>
            <a:graphic>
              <a:graphicData uri="http://schemas.openxmlformats.org/drawingml/2006/picture">
                <pic:pic>
                  <pic:nvPicPr>
                    <pic:cNvPr id="0" name="e23ee124ea57bec65aceea0786d91c1b69dc19db.jpg"/>
                    <pic:cNvPicPr/>
                  </pic:nvPicPr>
                  <pic:blipFill>
                    <a:blip r:embed="rId20"/>
                    <a:stretch>
                      <a:fillRect/>
                    </a:stretch>
                  </pic:blipFill>
                  <pic:spPr>
                    <a:xfrm>
                      <a:off x="0" y="0"/>
                      <a:ext cx="3813048" cy="3305014"/>
                    </a:xfrm>
                    <a:prstGeom prst="rect"/>
                  </pic:spPr>
                </pic:pic>
              </a:graphicData>
            </a:graphic>
          </wp:inline>
        </w:drawing>
      </w:r>
    </w:p>
    <w:p>
      <w:pPr>
        <w:spacing w:after="60"/>
        <w:jc w:val="center"/>
      </w:pPr>
      <w:r>
        <w:rPr>
          <w:b/>
          <w:bCs/>
          <w:sz w:val="18"/>
          <w:szCs w:val="18"/>
        </w:rPr>
        <w:t xml:space="preserve">圖9-2　治理的類型（Types of Governance）</w:t>
      </w:r>
    </w:p>
    <w:p>
      <w:pPr>
        <w:spacing w:after="160"/>
      </w:pPr>
      <w:r>
        <w:rPr>
          <w:color w:val="555555"/>
          <w:sz w:val="18"/>
          <w:szCs w:val="18"/>
        </w:rPr>
        <w:t xml:space="preserve">圖說：本圖以「Governance」為中心，向外延伸出民主治理（Democratic Governance）、良善治理（Good Governance）、公司治理（Corporate Governance）、環境治理（Environmental Governance）、電子治理（E-Governance）與全球治理（Global Governance）等六大類型，呈現治理概念的多面向應用。</w:t>
      </w:r>
    </w:p>
    <w:p>
      <w:pPr>
        <w:pStyle w:val="Heading2"/>
      </w:pPr>
      <w:r>
        <w:t xml:space="preserve">一、參與或民主治理</w:t>
      </w:r>
    </w:p>
    <w:p>
      <w:pPr>
        <w:spacing w:after="120"/>
      </w:pPr>
      <w:r>
        <w:rPr>
          <w:sz w:val="20"/>
          <w:szCs w:val="20"/>
        </w:rPr>
        <w:t xml:space="preserve">參與治理確保公民透過選舉、公投、審議式民調、地方自治、抗議等方式參與決策與執行，其要旨在所有民主制度中落實服務遞送至社會各群體。近年民主治理已從代議民主延伸至審議民主與參與式治理。</w:t>
      </w:r>
    </w:p>
    <w:p>
      <w:pPr>
        <w:pStyle w:val="Heading2"/>
      </w:pPr>
      <w:r>
        <w:t xml:space="preserve">二、全球治理</w:t>
      </w:r>
    </w:p>
    <w:p>
      <w:pPr>
        <w:spacing w:after="120"/>
      </w:pPr>
      <w:r>
        <w:rPr>
          <w:sz w:val="20"/>
          <w:szCs w:val="20"/>
        </w:rPr>
        <w:t xml:space="preserve">羅森諾（Rosenau）最早使用全球治理一詞，定義為「從家庭到國際組織，所有人類活動層次中，透過權力行使以追求目標而具跨國後果的規則體系」。全球治理興起的背景，是民族國家與非國家行動者並存：國際組織、跨國企業、全球公民社會與NGO，使得內政與外交相互滲透，主權彈性與跨國代理人治理成為常態。</w:t>
      </w:r>
    </w:p>
    <w:p>
      <w:pPr>
        <w:pStyle w:val="Heading2"/>
      </w:pPr>
      <w:r>
        <w:t xml:space="preserve">三、良善治理與八特徵</w:t>
      </w:r>
    </w:p>
    <w:p>
      <w:pPr>
        <w:spacing w:after="120"/>
      </w:pPr>
      <w:r>
        <w:rPr>
          <w:sz w:val="20"/>
          <w:szCs w:val="20"/>
        </w:rPr>
        <w:t xml:space="preserve">良善治理是治理的規範性理想。UNDP定義良善治理為具參與性、透明性、課責性、有效且公平，促進法治，確保政治、社會、經濟優先順序基於廣泛共識，並讓最貧弱者的聲音被聽見。</w:t>
      </w:r>
    </w:p>
    <w:p>
      <w:pPr>
        <w:spacing w:before="120"/>
        <w:jc w:val="center"/>
      </w:pPr>
      <w:r>
        <w:drawing>
          <wp:inline xmlns:a="http://schemas.openxmlformats.org/drawingml/2006/main" xmlns:pic="http://schemas.openxmlformats.org/drawingml/2006/picture">
            <wp:extent cx="4005072" cy="2938323"/>
            <wp:docPr id="21" name="Picture 21"/>
            <wp:cNvGraphicFramePr>
              <a:graphicFrameLocks noChangeAspect="1"/>
            </wp:cNvGraphicFramePr>
            <a:graphic>
              <a:graphicData uri="http://schemas.openxmlformats.org/drawingml/2006/picture">
                <pic:pic>
                  <pic:nvPicPr>
                    <pic:cNvPr id="0" name="cf6406ac50c87aea81aba3ff4fed7c3a291ecf8a.jpg"/>
                    <pic:cNvPicPr/>
                  </pic:nvPicPr>
                  <pic:blipFill>
                    <a:blip r:embed="rId21"/>
                    <a:stretch>
                      <a:fillRect/>
                    </a:stretch>
                  </pic:blipFill>
                  <pic:spPr>
                    <a:xfrm>
                      <a:off x="0" y="0"/>
                      <a:ext cx="4005072" cy="2938323"/>
                    </a:xfrm>
                    <a:prstGeom prst="rect"/>
                  </pic:spPr>
                </pic:pic>
              </a:graphicData>
            </a:graphic>
          </wp:inline>
        </w:drawing>
      </w:r>
    </w:p>
    <w:p>
      <w:pPr>
        <w:spacing w:after="60"/>
        <w:jc w:val="center"/>
      </w:pPr>
      <w:r>
        <w:rPr>
          <w:b/>
          <w:bCs/>
          <w:sz w:val="18"/>
          <w:szCs w:val="18"/>
        </w:rPr>
        <w:t>圖9-3　良善治理的八特徵（Characteristics of Good Governance）</w:t>
      </w:r>
    </w:p>
    <w:p>
      <w:pPr>
        <w:spacing w:after="200"/>
      </w:pPr>
      <w:r>
        <w:rPr>
          <w:color w:val="555555"/>
          <w:sz w:val="18"/>
          <w:szCs w:val="18"/>
        </w:rPr>
        <w:t xml:space="preserve">圖說：本圖以「GOOD GOVERNANCE」為中心，周圍環繞八個六角形特徵：Participation（參與）、Rule of Law（法治）、Transparency（透明性）、Responsiveness（回應性）、Consensus Oriented（共識取向）、Equity and Inclusiveness（公正與包容）、Effectiveness and Efficiency（效能與效率）、Accountability（課責）。此八特徵已成為國際組織與各國政府評估治理品質的標準架構，台灣實務上可對應Join平臺、開放資料、1999專線與演算法稽核等制度設計。</w:t>
      </w:r>
    </w:p>
    <w:p>
      <w:pPr>
        <w:pStyle w:val="Heading2"/>
      </w:pPr>
      <w:r>
        <w:t xml:space="preserve">四、公司治理、環境治理、電子治理與跨域治理</w:t>
      </w:r>
    </w:p>
    <w:p>
      <w:pPr>
        <w:spacing w:after="120"/>
      </w:pPr>
      <w:r>
        <w:rPr>
          <w:sz w:val="20"/>
          <w:szCs w:val="20"/>
        </w:rPr>
        <w:t xml:space="preserve">公司治理指董事會為規範公司行為、保障股東與利害關係人的規則體系，近年已從股東中心轉向利害關係人資本主義與ESG。環境治理依UNEP定義，是達成永續發展的關鍵驅力。電子治理是ICT應用於治理，包含E-民主、E-服務、E-管理，可分為G2C、G2B、G2G、G2E四層次。</w:t>
      </w:r>
    </w:p>
    <w:p>
      <w:pPr>
        <w:spacing w:before="120"/>
        <w:jc w:val="center"/>
      </w:pPr>
      <w:r>
        <w:drawing>
          <wp:inline xmlns:a="http://schemas.openxmlformats.org/drawingml/2006/main" xmlns:pic="http://schemas.openxmlformats.org/drawingml/2006/picture">
            <wp:extent cx="4187952" cy="3471006"/>
            <wp:docPr id="22" name="Picture 22"/>
            <wp:cNvGraphicFramePr>
              <a:graphicFrameLocks noChangeAspect="1"/>
            </wp:cNvGraphicFramePr>
            <a:graphic>
              <a:graphicData uri="http://schemas.openxmlformats.org/drawingml/2006/picture">
                <pic:pic>
                  <pic:nvPicPr>
                    <pic:cNvPr id="0" name="b155b8d8548bd535df4f3fda608e383f08c5b39b.jpg"/>
                    <pic:cNvPicPr/>
                  </pic:nvPicPr>
                  <pic:blipFill>
                    <a:blip r:embed="rId22"/>
                    <a:stretch>
                      <a:fillRect/>
                    </a:stretch>
                  </pic:blipFill>
                  <pic:spPr>
                    <a:xfrm>
                      <a:off x="0" y="0"/>
                      <a:ext cx="4187952" cy="3471006"/>
                    </a:xfrm>
                    <a:prstGeom prst="rect"/>
                  </pic:spPr>
                </pic:pic>
              </a:graphicData>
            </a:graphic>
          </wp:inline>
        </w:drawing>
      </w:r>
    </w:p>
    <w:p>
      <w:pPr>
        <w:spacing w:after="60"/>
        <w:jc w:val="center"/>
      </w:pPr>
      <w:r>
        <w:rPr>
          <w:b/>
          <w:bCs/>
          <w:sz w:val="18"/>
          <w:szCs w:val="18"/>
        </w:rPr>
        <w:t>圖9-4　電子化治理的類型（Types of E-Governance）</w:t>
      </w:r>
    </w:p>
    <w:p>
      <w:pPr>
        <w:spacing w:after="200"/>
      </w:pPr>
      <w:r>
        <w:rPr>
          <w:color w:val="555555"/>
          <w:sz w:val="18"/>
          <w:szCs w:val="18"/>
        </w:rPr>
        <w:t xml:space="preserve">圖說：本圖以E-Governance為中心，向外連結四種互動類型：G2C（Government to Citizen，如交通、醫院、教育、線上求職）、G2G（Government to Government，如指紋驗證、電子公文、E-Police）、G2B（Government to Business，如電子稅務、證照申請）、G2E（Government to Employee，如e-learning、知識分享）。此分類清楚呈現電子治理的多元服務對象與應用場景。</w:t>
      </w:r>
    </w:p>
    <w:p>
      <w:pPr>
        <w:spacing w:after="120"/>
      </w:pPr>
      <w:r>
        <w:rPr>
          <w:sz w:val="20"/>
          <w:szCs w:val="20"/>
        </w:rPr>
        <w:t xml:space="preserve">跨域治理（Across Boundaries Governance）在後現代脈絡下，為解決複雜且跨界的問題而興起，意指跨越轄區與機關藩籬的整合治理。其特質有三：系統思維、兼顧宏觀與微觀、參與者相依性。我國法制依據為地方制度法第24條至24-3條。</w:t>
      </w:r>
    </w:p>
    <w:p>
      <w:pPr>
        <w:spacing w:before="120"/>
        <w:jc w:val="center"/>
      </w:pPr>
      <w:r>
        <w:drawing>
          <wp:inline xmlns:a="http://schemas.openxmlformats.org/drawingml/2006/main" xmlns:pic="http://schemas.openxmlformats.org/drawingml/2006/picture">
            <wp:extent cx="4005072" cy="3848972"/>
            <wp:docPr id="23" name="Picture 23"/>
            <wp:cNvGraphicFramePr>
              <a:graphicFrameLocks noChangeAspect="1"/>
            </wp:cNvGraphicFramePr>
            <a:graphic>
              <a:graphicData uri="http://schemas.openxmlformats.org/drawingml/2006/picture">
                <pic:pic>
                  <pic:nvPicPr>
                    <pic:cNvPr id="0" name="3f6adc92138478dbb431eba7880096196d38a422.jpg"/>
                    <pic:cNvPicPr/>
                  </pic:nvPicPr>
                  <pic:blipFill>
                    <a:blip r:embed="rId23"/>
                    <a:stretch>
                      <a:fillRect/>
                    </a:stretch>
                  </pic:blipFill>
                  <pic:spPr>
                    <a:xfrm>
                      <a:off x="0" y="0"/>
                      <a:ext cx="4005072" cy="3848972"/>
                    </a:xfrm>
                    <a:prstGeom prst="rect"/>
                  </pic:spPr>
                </pic:pic>
              </a:graphicData>
            </a:graphic>
          </wp:inline>
        </w:drawing>
      </w:r>
    </w:p>
    <w:p>
      <w:pPr>
        <w:spacing w:after="60"/>
        <w:jc w:val="center"/>
      </w:pPr>
      <w:r>
        <w:rPr>
          <w:b/>
          <w:bCs/>
          <w:sz w:val="18"/>
          <w:szCs w:val="18"/>
        </w:rPr>
        <w:t>圖9-5　整合型公共治理網絡圖</w:t>
      </w:r>
    </w:p>
    <w:p>
      <w:pPr>
        <w:spacing w:after="200"/>
      </w:pPr>
      <w:r>
        <w:rPr>
          <w:color w:val="555555"/>
          <w:sz w:val="18"/>
          <w:szCs w:val="18"/>
        </w:rPr>
        <w:t xml:space="preserve">圖說：本圖以「政府（包括公共行政）」為核心，周圍連結其他政府、利益團體、社區團體、非政府組織、國際組織、非營利組織、夥伴組織、包商等多元行動者。實線代表權威性影響，虛線代表網絡互動，點線代表分析性分際。此圖生動呈現網絡治理中政府從「唯一統治者」轉為「網絡編織者」的角色變遷，並強調「確定法治」與「確保回應」兩大核心任務。</w:t>
      </w:r>
    </w:p>
    <w:p>
      <w:pPr>
        <w:pStyle w:val="Heading1"/>
      </w:pPr>
      <w:r>
        <w:t xml:space="preserve">第六節　新公共服務與新公共治理：典範對話</w:t>
      </w:r>
    </w:p>
    <w:p>
      <w:pPr>
        <w:pStyle w:val="Heading2"/>
      </w:pPr>
      <w:r>
        <w:t xml:space="preserve">一、新公共服務七原則</w:t>
      </w:r>
    </w:p>
    <w:p>
      <w:pPr>
        <w:spacing w:after="160"/>
      </w:pPr>
      <w:r>
        <w:rPr>
          <w:sz w:val="20"/>
          <w:szCs w:val="20"/>
        </w:rPr>
        <w:t xml:space="preserve">鄧哈特夫婦（Denhardt &amp; Denhardt, 2000, 2015）提出新公共服務（New Public Service, NPS），作為對NPM顧客導向與市場邏輯的反動，主張政府職能既非操槳亦非領航，而在於服務。七原則包括：服務公民而非顧客、追尋公共利益、重視公民資格更勝企業精神、策略思維與民主行動、理解課責並不容易、服務而非領航、重視人性而非生產力。</w:t>
      </w:r>
    </w:p>
    <w:p>
      <w:pPr>
        <w:pStyle w:val="Heading2"/>
      </w:pPr>
      <w:r>
        <w:t xml:space="preserve">二、新公共治理與公共服務邏輯</w:t>
      </w:r>
    </w:p>
    <w:p>
      <w:pPr>
        <w:spacing w:after="200"/>
      </w:pPr>
      <w:r>
        <w:rPr>
          <w:sz w:val="20"/>
          <w:szCs w:val="20"/>
        </w:rPr>
        <w:t xml:space="preserve">歐斯本（Stephen Osborne, 2006, 2010）提出新公共治理（New Public Governance, NPG），作為後NPM的整合主流，奠基於組織社會學與網絡理論，認為公共服務由公、私、第三部門網絡共同執行。公共服務邏輯（Public Service Logic）進一步主張價值在服務使用中創造（value-in-use），政府為平台與生態系的編織者。</w:t>
      </w:r>
    </w:p>
    <w:p>
      <w:pPr>
        <w:pStyle w:val="Heading1"/>
      </w:pPr>
      <w:r>
        <w:t xml:space="preserve">第七節　從電子治理到數位與AI治理（2020-2024）</w:t>
      </w:r>
    </w:p>
    <w:p>
      <w:pPr>
        <w:spacing w:after="160"/>
      </w:pPr>
      <w:r>
        <w:rPr>
          <w:sz w:val="20"/>
          <w:szCs w:val="20"/>
        </w:rPr>
        <w:t xml:space="preserve">Dunleavy與Margetts（2023）指出數位時代治理已進入第三波，核心是資料科學與生成式AI。演算法治理（Algorithmic Governance）使政府使用自動化模型進行資格審查、風險預測與資源分配，卻帶來偏見、可解釋性與課責稀釋的挑戰。Habermas（2022/2023）指出數位公共領域面臨平台拒絕編輯責任與碎片化危機。OECD（2023）與EU AI Act（2024）建立風險分級管制框架，要求政府建立演算法影響評估、登記、可解釋性與救濟機制。台灣數位發展部（2025）《公部門人工智慧應用參考手冊》亦提供實務指引。</w:t>
      </w:r>
    </w:p>
    <w:p>
      <w:pPr>
        <w:spacing w:after="200"/>
      </w:pPr>
      <w:r>
        <w:rPr>
          <w:sz w:val="20"/>
          <w:szCs w:val="20"/>
        </w:rPr>
        <w:t xml:space="preserve">協同治理（Collaborative Governance）與韌性治理（Resilient Governance）成為疫情後的重要典範。元治理（Metagovernance）作為「治理治理者」的層級，當協同網絡納入AI代理人與私部門平台時，政府須透過制度設計、資源配置、敘事框架與監督評估四項工具，確保民主課責與可追溯性。AI治理的包容性要求保留非數位替代管道、真人服務與差異影響評估，以防數位落差擴大弱勢排除。緊急治理措施若延續為常態，亦須重新檢視法律授權與監督救濟機制。</w:t>
      </w:r>
    </w:p>
    <w:p>
      <w:pPr>
        <w:pStyle w:val="Heading1"/>
      </w:pPr>
      <w:r>
        <w:t xml:space="preserve">第八節　制度結構層的總結與前瞻</w:t>
      </w:r>
    </w:p>
    <w:p>
      <w:pPr>
        <w:spacing w:after="160"/>
      </w:pPr>
      <w:r>
        <w:rPr>
          <w:sz w:val="20"/>
          <w:szCs w:val="20"/>
        </w:rPr>
        <w:t xml:space="preserve">作為第二層制度結構的總結，本章指出：未來治理的績效不再僅以效率衡量，而應以公共性是否被實現、公共價值是否被共創、民主是否在數位韌性中存續為判準。台灣從官僚治理、市場治理、網絡治理，一路疊加至數位與韌性治理的路徑，正是理解下一章公共政策制定過程必須先掌握的制度背景。</w:t>
      </w:r>
    </w:p>
    <w:p>
      <w:pPr>
        <w:pStyle w:val="Heading1"/>
      </w:pPr>
      <w:r>
        <w:t>AI鑲嵌後的權力與結構變化：協同治理、元治理與AI代理人的課責挑戰</w:t>
      </w:r>
    </w:p>
    <w:p>
      <w:r>
        <w:rPr>
          <w:b w:val="0"/>
          <w:i w:val="0"/>
          <w:sz w:val="20"/>
        </w:rPr>
        <w:t>本章第七節指出，數位治理已從電子化服務邁向演算法治理與生成式AI協作，這正是本書25座標架構中「情境建構權（P1）」、「行政裁量權（P2）」與「公權力影響力（P3）」三種權力移轉最鮮明的當代場域。治理典範史本身即是一部權力配置史：官僚治理將三種權力集中於層級節制的科層體系；市場治理將P2、P3部分轉移給準市場機制與委外廠商；網絡治理則進一步將P1（議程設定、情境建構）擴散給多元行動者共同協商。當AI代理人（AI agents）以模型、演算法與自動化決策系統的形式加入這個治理網絡，第四次典範轉移於焉展開：從「網絡治理」邁向「演算法治理」與「元治理2.0」。以下五節分析此一轉移的動力與課責挑戰，並延續本書貫穿各章的四條治理鏈（情境建構鏈、權威鏈、理由鏈、責任鏈）與七項治理審計架構，說明其在治理典範論述中的具體應用。</w:t>
      </w:r>
    </w:p>
    <w:p>
      <w:pPr>
        <w:pStyle w:val="Heading2"/>
      </w:pPr>
      <w:r>
        <w:t>一、從網絡治理到演算法治理：治理典範的第四次轉移</w:t>
      </w:r>
    </w:p>
    <w:p>
      <w:r>
        <w:rPr>
          <w:b w:val="0"/>
          <w:i w:val="0"/>
          <w:sz w:val="20"/>
        </w:rPr>
        <w:t>Dunleavy與Margetts所指出的數位治理第三波，其核心已不只是流程電子化，而是資料科學與生成式AI開始承擔原本屬於網絡治理協調機制的功能：議程排序、資源配置優先順序，甚至部分政策草案的初稿生成。若將本章治理典範的三階段演進（官僚—市場—網絡）延伸，演算法治理可視為第四階段：治理不再僅是「政府、市場、公民社會」三方協商，而是加入以模型與資料為基礎的第四類行動者——AI代理人。Yeung（2018）稱此為「演算法管制」（algorithmic regulation），指出其特徵是決策迴路從「規則—裁量—執行」轉變為「資料—預測—自動化執行」，大幅壓縮傳統科層體制中人類行政官員的中介空間。這使本書第一層權力配置座標必須新增一類提問：當演算法承接部分情境建構與行政裁量功能時，究竟是政府仍握有P1、P2、P3三權，還是這些權力事實上已「委外」給演算法系統的設計者與訓練資料的提供者？</w:t>
      </w:r>
    </w:p>
    <w:p>
      <w:pPr>
        <w:pStyle w:val="Heading2"/>
      </w:pPr>
      <w:r>
        <w:t>二、協同治理納入AI代理人：元治理的新工具</w:t>
      </w:r>
    </w:p>
    <w:p>
      <w:r>
        <w:rPr>
          <w:b w:val="0"/>
          <w:i w:val="0"/>
          <w:sz w:val="20"/>
        </w:rPr>
        <w:t>Sørensen與Torfing（2009）提出的元治理（metagovernance）概念，原指政府作為網絡治理的「治理者的治理者」，透過議程設定、資源分配與規則框架等軟性手段引導自我組織的網絡，而非直接指揮。Klijn與Koppenjan（2016）進一步指出，元治理成功與否，繫於政府能否維持網絡的「後設課責」（meta-accountability）。當AI代理人加入協同治理網絡（如跨部會資料共享平台、風險評分系統），元治理出現新工具，也出現新弱點：政府可用AI強化對網絡整體績效的監看與資源調度（強化元治理能力），但若AI系統本身的訓練資料與演算法邏輯不透明，元治理所需的「後設課責」便可能落空——政府監督的對象從「人組成的網絡」變成「人與演算法混合的網絡」，而演算法那一端往往缺乏可供究責的自然人。</w:t>
      </w:r>
    </w:p>
    <w:p>
      <w:pPr>
        <w:pStyle w:val="Heading2"/>
      </w:pPr>
      <w:r>
        <w:t>三、數位公共領域與平台課責</w:t>
      </w:r>
    </w:p>
    <w:p>
      <w:r>
        <w:rPr>
          <w:b w:val="0"/>
          <w:i w:val="0"/>
          <w:sz w:val="20"/>
        </w:rPr>
        <w:t>本章第七節已引用Habermas對數位公共領域碎片化的批判。若將此一問題置於治理典範的脈絡下觀察，可以發現：網絡治理原本期待數位平台扮演公共審議的中介場域，但平台的演算法推薦機制實際上執行了部分P1（議程建構）功能，卻不受民主課責機制拘束。歐盟《數位服務法》（Digital Services Act, Regulation (EU) 2022/2065）正是嘗試將這部分「私有化的議程建構權」重新納入公法課責架構的代表性立法，其要求大型線上平台揭露推薦演算法邏輯、建立內容審核申訴機制，可視為對P1移轉的一種「回填式」課責設計。對公共行政而言，這也代表治理典範的第四次轉移不只是政府「主動」導入AI，也包括政府「被動」面對已由市場力量重塑的公共領域，並嘗試重新界定何謂公共課責的邊界。</w:t>
      </w:r>
    </w:p>
    <w:p>
      <w:pPr>
        <w:pStyle w:val="Heading2"/>
      </w:pPr>
      <w:r>
        <w:t>四、韌性治理與緊急治理常態化的課責危機</w:t>
      </w:r>
    </w:p>
    <w:p>
      <w:r>
        <w:rPr>
          <w:b w:val="0"/>
          <w:i w:val="0"/>
          <w:sz w:val="20"/>
        </w:rPr>
        <w:t>本章第七節提及韌性治理（Resilient Governance）與協同治理在後疫情時期的興起，但韌性治理若長期停留在「緊急狀態」的治理邏輯（如簡化行政程序、擴大行政裁量、以資料監測取代個案審查），便會產生「緊急治理常態化」的課責危機：原本應是暫時性的P2（行政裁量權）擴張，與P1（情境建構權，例如風險等級的認定）向技術官僚與演算法系統集中，可能在危機解除後未隨之收斂，形成跨格移動後未能歸位的結構性風險。台灣的簡訊實聯制與各類疫情警戒等級認定，即是觀察此一現象的實例：其資料蒐集與風險分級標準多由行政機關與技術系統共同決定，程序正義與資料保護的事後課責機制，往往落後於系統上線的速度。</w:t>
      </w:r>
    </w:p>
    <w:p>
      <w:pPr>
        <w:pStyle w:val="Heading2"/>
      </w:pPr>
      <w:r>
        <w:t>五、AI治理的包容性：數位落差與差異影響評估</w:t>
      </w:r>
    </w:p>
    <w:p>
      <w:r>
        <w:rPr>
          <w:b w:val="0"/>
          <w:i w:val="0"/>
          <w:sz w:val="20"/>
        </w:rPr>
        <w:t>本章關鍵詞彙已定義AI治理的包容性不僅止於模型錯誤率一致，更包括不同群體使用、理解與異議的能力。這項標準對治理典範的啟示在於：從官僚治理到網絡治理，理論上均假設公民有能力參與（申訴、協商、監督），但演算法治理進一步預設公民具備「演算法素養」（algorithmic literacy），能理解自動化決定的邏輯並提出異議。Eubanks（2018）在《自動化不平等》（Automating Inequality）中記錄美國多州以自動化風險評分系統分配社福資源，反而使既有的數位落差（近用能力、資訊素養、申訴資源）轉譯為新的分配不正義。對公共行政而言，這意味著任何導入AI的治理設計，均應內建差異影響評估（disparate impact assessment），檢視系統對高齡者、身心障礙者、原住民族、低教育程度族群等數位弱勢者的實質影響，而非僅檢驗模型在整體樣本上的準確率。</w:t>
      </w:r>
    </w:p>
    <w:p>
      <w:pPr>
        <w:pStyle w:val="Heading2"/>
      </w:pPr>
      <w:r>
        <w:t>六、三種權力移轉</w:t>
      </w:r>
    </w:p>
    <w:p>
      <w:r>
        <w:rPr>
          <w:b/>
          <w:i w:val="0"/>
          <w:sz w:val="20"/>
        </w:rPr>
        <w:t>P1情境建構權：</w:t>
      </w:r>
      <w:r>
        <w:rPr>
          <w:b w:val="0"/>
          <w:i w:val="0"/>
          <w:sz w:val="20"/>
        </w:rPr>
        <w:t>議程設定、風險等級認定與資源分配優先順序，逐步由平台演算法推薦機制與AI風險評分系統承接，政府從「議程主導者」轉為部分議程的「事後審核者」。</w:t>
      </w:r>
    </w:p>
    <w:p>
      <w:r>
        <w:rPr>
          <w:b/>
          <w:i w:val="0"/>
          <w:sz w:val="20"/>
        </w:rPr>
        <w:t>P2行政裁量權：</w:t>
      </w:r>
      <w:r>
        <w:rPr>
          <w:b w:val="0"/>
          <w:i w:val="0"/>
          <w:sz w:val="20"/>
        </w:rPr>
        <w:t>第一線公務人員的個案裁量，部分被自動化資格審查、風險評分與資源分配演算法取代或大幅限縮，裁量從「街頭官僚」移轉至「街頭演算法」（street-level algorithms）。</w:t>
      </w:r>
    </w:p>
    <w:p>
      <w:r>
        <w:rPr>
          <w:b/>
          <w:i w:val="0"/>
          <w:sz w:val="20"/>
        </w:rPr>
        <w:t>P3公權力影響力：</w:t>
      </w:r>
      <w:r>
        <w:rPr>
          <w:b w:val="0"/>
          <w:i w:val="0"/>
          <w:sz w:val="20"/>
        </w:rPr>
        <w:t>政府對平台與網絡行動者的規制與監督權，部分轉為對演算法系統本身（其訓練資料、模型邏輯、更新頻率）的技術性監理，公權力的行使對象從「人的行為」擴及「系統的行為」。</w:t>
      </w:r>
    </w:p>
    <w:p>
      <w:pPr>
        <w:pStyle w:val="Heading2"/>
      </w:pPr>
      <w:r>
        <w:t>七、三種結構性效應</w:t>
      </w:r>
    </w:p>
    <w:p>
      <w:r>
        <w:rPr>
          <w:b/>
          <w:i w:val="0"/>
          <w:sz w:val="20"/>
        </w:rPr>
        <w:t>跨格移動：</w:t>
      </w:r>
      <w:r>
        <w:rPr>
          <w:b w:val="0"/>
          <w:i w:val="0"/>
          <w:sz w:val="20"/>
        </w:rPr>
        <w:t>治理典範由官僚、市場走向網絡、演算法治理，使原本落在單一座標格（如「行政裁量、由行政機關負責」）的議題，因AI代理人加入而跨移至涉及技術廠商、資料提供者的多方座標格。</w:t>
      </w:r>
    </w:p>
    <w:p>
      <w:r>
        <w:rPr>
          <w:b/>
          <w:i w:val="0"/>
          <w:sz w:val="20"/>
        </w:rPr>
        <w:t>邊界消解：</w:t>
      </w:r>
      <w:r>
        <w:rPr>
          <w:b w:val="0"/>
          <w:i w:val="0"/>
          <w:sz w:val="20"/>
        </w:rPr>
        <w:t>政府與平台、政府與網絡行動者之間「誰是決策者、誰是執行者」的邊界日趨模糊，元治理原本用以維持後設課責的邊界（政府監督、網絡自主）在演算法混合網絡中變得難以界定。</w:t>
      </w:r>
    </w:p>
    <w:p>
      <w:r>
        <w:rPr>
          <w:b/>
          <w:i w:val="0"/>
          <w:sz w:val="20"/>
        </w:rPr>
        <w:t>權威重構：</w:t>
      </w:r>
      <w:r>
        <w:rPr>
          <w:b w:val="0"/>
          <w:i w:val="0"/>
          <w:sz w:val="20"/>
        </w:rPr>
        <w:t>傳統治理典範的權威來自法定職權與科層節制，演算法治理下的權威部分轉移至演算法設計標準、資料治理規範與技術稽核機制，形成「技術權威」與「法定權威」並存甚至競合的局面。</w:t>
      </w:r>
    </w:p>
    <w:p>
      <w:pPr>
        <w:pStyle w:val="Heading2"/>
      </w:pPr>
      <w:r>
        <w:t>八、台灣脈絡與案例</w:t>
      </w:r>
    </w:p>
    <w:p>
      <w:r>
        <w:rPr>
          <w:b w:val="0"/>
          <w:i w:val="0"/>
          <w:sz w:val="20"/>
        </w:rPr>
        <w:t>台灣近年治理典範轉移的具體案例，可從三個面向觀察。其一，公共政策網路參與平台（Join平台）自2015年上線以來，是政府嘗試以數位工具強化網絡治理與元治理能力的代表性建制，透過附議、意見徵集機制擴大P1情境建構權的參與基礎，但其議題篩選與後續政策轉化仍高度仰賴行政機關的裁量，顯示數位參與工具本身未必能自動解決課責落差。其二，立法院於114年12月23日三讀通過、總統於115年1月14日以華總一義字第11500001671號令公布施行之《人工智慧基本法》，以及數位發展部陸續發布之各項AI應用參考手冊，是台灣首度嘗試以專法與行政指引雙軌併行的方式，將演算法治理納入既有行政法體系，呼應本節「回填式課責」的觀察。其三，疫情期間的簡訊實聯制與振興券發放，展現行政裁量與資料蒐集標準快速集中於中央技術系統的過程：振興券的資格認定與防偽機制高度依賴數位身分驗證系統，簡訊實聯制的資料保存與使用範圍，事後才透過個資法補充規範加以限縮，均印證第四節「緊急治理常態化」課責危機的具體樣態。</w:t>
      </w:r>
    </w:p>
    <w:p>
      <w:pPr>
        <w:pStyle w:val="Heading1"/>
      </w:pPr>
      <w:r>
        <w:t>四鏈追蹤＋七項審計應用</w:t>
      </w:r>
    </w:p>
    <w:p>
      <w:r>
        <w:rPr>
          <w:b w:val="0"/>
          <w:i w:val="0"/>
          <w:sz w:val="20"/>
        </w:rPr>
        <w:t>延續本書四條治理鏈與七項治理審計架構，下表以治理典範轉移與AI代理人課責為例，說明本章關鍵議題與對應審計重點的映射關係。</w:t>
      </w:r>
    </w:p>
    <w:p>
      <w:pPr>
        <w:jc w:val="center"/>
      </w:pPr>
      <w:r>
        <w:rPr>
          <w:b/>
          <w:i w:val="0"/>
          <w:sz w:val="20"/>
        </w:rPr>
        <w:t>表9-4　四條治理鏈與七項治理審計：以治理典範轉移與AI代理人課責為例</w:t>
      </w:r>
    </w:p>
    <w:tbl>
      <w:tblPr>
        <w:tblW w:type="auto" w:w="0"/>
        <w:tblLook w:firstColumn="1" w:firstRow="1" w:lastColumn="0" w:lastRow="0" w:noHBand="0" w:noVBand="1" w:val="04A0"/>
      </w:tblPr>
      <w:tblGrid>
        <w:gridCol w:w="1400"/>
        <w:gridCol w:w="4800"/>
        <w:gridCol w:w="3400"/>
      </w:tblGrid>
      <w:tr>
        <w:tc>
          <w:tcPr>
            <w:tcW w:type="dxa" w:w="1400"/>
            <w:tcBorders>
              <w:top w:val="single" w:color="1F4E79" w:sz="1"/>
              <w:left w:val="single" w:color="1F4E79" w:sz="1"/>
              <w:bottom w:val="single" w:color="1F4E79" w:sz="1"/>
              <w:right w:val="single" w:color="1F4E79" w:sz="1"/>
            </w:tcBorders>
            <w:shd w:fill="1F4E79" w:val="clear"/>
            <w:tcMar>
              <w:top w:type="dxa" w:w="60"/>
              <w:left w:type="dxa" w:w="80"/>
              <w:bottom w:type="dxa" w:w="60"/>
              <w:right w:type="dxa" w:w="80"/>
            </w:tcMar>
            <w:vAlign w:val="center"/>
          </w:tcPr>
          <w:p>
            <w:pPr>
              <w:jc w:val="center"/>
            </w:pPr>
            <w:r/>
            <w:r>
              <w:rPr>
                <w:b/>
                <w:color w:val="FFFFFF"/>
                <w:sz w:val="18"/>
              </w:rPr>
              <w:t>治理鏈</w:t>
            </w:r>
          </w:p>
        </w:tc>
        <w:tc>
          <w:tcPr>
            <w:tcW w:type="dxa" w:w="4800"/>
            <w:tcBorders>
              <w:top w:val="single" w:color="1F4E79" w:sz="1"/>
              <w:left w:val="single" w:color="1F4E79" w:sz="1"/>
              <w:bottom w:val="single" w:color="1F4E79" w:sz="1"/>
              <w:right w:val="single" w:color="1F4E79" w:sz="1"/>
            </w:tcBorders>
            <w:shd w:fill="1F4E79" w:val="clear"/>
            <w:tcMar>
              <w:top w:type="dxa" w:w="60"/>
              <w:left w:type="dxa" w:w="80"/>
              <w:bottom w:type="dxa" w:w="60"/>
              <w:right w:type="dxa" w:w="80"/>
            </w:tcMar>
            <w:vAlign w:val="center"/>
          </w:tcPr>
          <w:p>
            <w:pPr>
              <w:jc w:val="center"/>
            </w:pPr>
            <w:r/>
            <w:r>
              <w:rPr>
                <w:b/>
                <w:color w:val="FFFFFF"/>
                <w:sz w:val="18"/>
              </w:rPr>
              <w:t>本章關鍵問題</w:t>
            </w:r>
          </w:p>
        </w:tc>
        <w:tc>
          <w:tcPr>
            <w:tcW w:type="dxa" w:w="3400"/>
            <w:tcBorders>
              <w:top w:val="single" w:color="1F4E79" w:sz="1"/>
              <w:left w:val="single" w:color="1F4E79" w:sz="1"/>
              <w:bottom w:val="single" w:color="1F4E79" w:sz="1"/>
              <w:right w:val="single" w:color="1F4E79" w:sz="1"/>
            </w:tcBorders>
            <w:shd w:fill="1F4E79" w:val="clear"/>
            <w:tcMar>
              <w:top w:type="dxa" w:w="60"/>
              <w:left w:type="dxa" w:w="80"/>
              <w:bottom w:type="dxa" w:w="60"/>
              <w:right w:type="dxa" w:w="80"/>
            </w:tcMar>
            <w:vAlign w:val="center"/>
          </w:tcPr>
          <w:p>
            <w:pPr>
              <w:jc w:val="center"/>
            </w:pPr>
            <w:r/>
            <w:r>
              <w:rPr>
                <w:b/>
                <w:color w:val="FFFFFF"/>
                <w:sz w:val="18"/>
              </w:rPr>
              <w:t>對應審計重點</w:t>
            </w:r>
          </w:p>
        </w:tc>
      </w:tr>
      <w:tr>
        <w:tc>
          <w:tcPr>
            <w:tcW w:type="dxa" w:w="1400"/>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r/>
            <w:r>
              <w:rPr>
                <w:b w:val="0"/>
                <w:sz w:val="18"/>
              </w:rPr>
              <w:t>情境建構鏈</w:t>
            </w:r>
          </w:p>
        </w:tc>
        <w:tc>
          <w:tcPr>
            <w:tcW w:type="dxa" w:w="4800"/>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r/>
            <w:r>
              <w:rPr>
                <w:b w:val="0"/>
                <w:sz w:val="18"/>
              </w:rPr>
              <w:t>演算法推薦機制與風險評分系統，如何承接原屬政府的議程設定與風險認定功能？</w:t>
            </w:r>
          </w:p>
        </w:tc>
        <w:tc>
          <w:tcPr>
            <w:tcW w:type="dxa" w:w="3400"/>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r/>
            <w:r>
              <w:rPr>
                <w:b w:val="0"/>
                <w:sz w:val="18"/>
              </w:rPr>
              <w:t>資料代表性審計、理由說明審計</w:t>
            </w:r>
          </w:p>
        </w:tc>
      </w:tr>
      <w:tr>
        <w:tc>
          <w:tcPr>
            <w:tcW w:type="dxa" w:w="1400"/>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r/>
            <w:r>
              <w:rPr>
                <w:b w:val="0"/>
                <w:sz w:val="18"/>
              </w:rPr>
              <w:t>權威鏈</w:t>
            </w:r>
          </w:p>
        </w:tc>
        <w:tc>
          <w:tcPr>
            <w:tcW w:type="dxa" w:w="4800"/>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r/>
            <w:r>
              <w:rPr>
                <w:b w:val="0"/>
                <w:sz w:val="18"/>
              </w:rPr>
              <w:t>技術權威（演算法設計標準、稽核機制）與法定權威如何劃分，是否存在權威真空？</w:t>
            </w:r>
          </w:p>
        </w:tc>
        <w:tc>
          <w:tcPr>
            <w:tcW w:type="dxa" w:w="3400"/>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r/>
            <w:r>
              <w:rPr>
                <w:b w:val="0"/>
                <w:sz w:val="18"/>
              </w:rPr>
              <w:t>組織能力審計、裁量邊界審計</w:t>
            </w:r>
          </w:p>
        </w:tc>
      </w:tr>
      <w:tr>
        <w:tc>
          <w:tcPr>
            <w:tcW w:type="dxa" w:w="1400"/>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r/>
            <w:r>
              <w:rPr>
                <w:b w:val="0"/>
                <w:sz w:val="18"/>
              </w:rPr>
              <w:t>理由鏈</w:t>
            </w:r>
          </w:p>
        </w:tc>
        <w:tc>
          <w:tcPr>
            <w:tcW w:type="dxa" w:w="4800"/>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r/>
            <w:r>
              <w:rPr>
                <w:b w:val="0"/>
                <w:sz w:val="18"/>
              </w:rPr>
              <w:t>自動化資格審查與資源分配決定，是否提供可為公務員與當事人理解的理由說明？</w:t>
            </w:r>
          </w:p>
        </w:tc>
        <w:tc>
          <w:tcPr>
            <w:tcW w:type="dxa" w:w="3400"/>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r/>
            <w:r>
              <w:rPr>
                <w:b w:val="0"/>
                <w:sz w:val="18"/>
              </w:rPr>
              <w:t>理由說明審計、隱私與資安審計</w:t>
            </w:r>
          </w:p>
        </w:tc>
      </w:tr>
      <w:tr>
        <w:tc>
          <w:tcPr>
            <w:tcW w:type="dxa" w:w="1400"/>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r/>
            <w:r>
              <w:rPr>
                <w:b w:val="0"/>
                <w:sz w:val="18"/>
              </w:rPr>
              <w:t>責任鏈</w:t>
            </w:r>
          </w:p>
        </w:tc>
        <w:tc>
          <w:tcPr>
            <w:tcW w:type="dxa" w:w="4800"/>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r/>
            <w:r>
              <w:rPr>
                <w:b w:val="0"/>
                <w:sz w:val="18"/>
              </w:rPr>
              <w:t>當AI代理人涉入跨部會協同治理，發生錯誤時責任應由設計者、資料提供者或執行機關何者承擔？</w:t>
            </w:r>
          </w:p>
        </w:tc>
        <w:tc>
          <w:tcPr>
            <w:tcW w:type="dxa" w:w="3400"/>
            <w:tcBorders>
              <w:top w:val="single" w:color="666666" w:sz="1"/>
              <w:left w:val="single" w:color="666666" w:sz="1"/>
              <w:bottom w:val="single" w:color="666666" w:sz="1"/>
              <w:right w:val="single" w:color="666666" w:sz="1"/>
            </w:tcBorders>
            <w:tcMar>
              <w:top w:type="dxa" w:w="60"/>
              <w:left w:type="dxa" w:w="80"/>
              <w:bottom w:type="dxa" w:w="60"/>
              <w:right w:type="dxa" w:w="80"/>
            </w:tcMar>
            <w:vAlign w:val="center"/>
          </w:tcPr>
          <w:p>
            <w:pPr/>
            <w:r/>
            <w:r>
              <w:rPr>
                <w:b w:val="0"/>
                <w:sz w:val="18"/>
              </w:rPr>
              <w:t>責任歸屬審計、民主課責審計</w:t>
            </w:r>
          </w:p>
        </w:tc>
      </w:tr>
    </w:tbl>
    <w:p>
      <w:pPr>
        <w:pStyle w:val="Heading1"/>
      </w:pPr>
      <w:r>
        <w:t>案例與思考討論</w:t>
      </w:r>
    </w:p>
    <w:p>
      <w:r>
        <w:rPr>
          <w:b/>
          <w:i w:val="0"/>
          <w:sz w:val="20"/>
        </w:rPr>
        <w:t>案例思考</w:t>
      </w:r>
    </w:p>
    <w:p>
      <w:r>
        <w:rPr>
          <w:b w:val="0"/>
          <w:i w:val="0"/>
          <w:sz w:val="20"/>
        </w:rPr>
        <w:t>某直轄市政府建置跨局處社會福利資源分配AI協作平台，整合戶政、社會局、衛生局資料，自動核算長者、身心障礙者與弱勢家庭之補助優先順序與資源配額。系統上線後，多名不諳線上申請流程的獨居長者與身心障礙者遭系統自動降級為低優先，家屬申訴時，社會局稱「核算邏輯屬資訊處與委外廠商權責」，資訊處則稱「配額規則係社會局訂定」，形成跨部門互踢皮球的責任真空，最終需由監察院介入調查始釐清權責。</w:t>
      </w:r>
    </w:p>
    <w:p>
      <w:r>
        <w:rPr>
          <w:b/>
          <w:i w:val="0"/>
          <w:sz w:val="20"/>
        </w:rPr>
        <w:t>延伸思考</w:t>
      </w:r>
    </w:p>
    <w:p>
      <w:r>
        <w:rPr>
          <w:b/>
          <w:i w:val="0"/>
          <w:sz w:val="20"/>
        </w:rPr>
        <w:t>1、</w:t>
      </w:r>
      <w:r>
        <w:rPr>
          <w:b w:val="0"/>
          <w:i w:val="0"/>
          <w:sz w:val="20"/>
        </w:rPr>
        <w:t>請運用本章「三種結構性效應」（跨格移動、邊界消解、權威重構），分析本案例中社會局、資訊處與委外廠商之間的責任如何隨AI代理人的加入而擴散？並說明表9-4中「責任鏈」對應之責任歸屬審計，應如何具體落實於本案例的申訴機制設計？</w:t>
      </w:r>
    </w:p>
    <w:p>
      <w:r>
        <w:rPr>
          <w:b/>
          <w:i w:val="0"/>
          <w:sz w:val="20"/>
        </w:rPr>
        <w:t>2、</w:t>
      </w:r>
      <w:r>
        <w:rPr>
          <w:b w:val="0"/>
          <w:i w:val="0"/>
          <w:sz w:val="20"/>
        </w:rPr>
        <w:t>本案例中的獨居長者與身心障礙者因不諳線上申請流程而被系統降級，請對照本章「AI治理的包容性」一節，說明差異影響評估應如何嵌入此類補助分配系統的設計與上線前審查程序？</w:t>
      </w:r>
    </w:p>
    <w:p>
      <w:r>
        <w:rPr>
          <w:b/>
          <w:i w:val="0"/>
          <w:sz w:val="20"/>
        </w:rPr>
        <w:t>3、</w:t>
      </w:r>
      <w:r>
        <w:rPr>
          <w:b w:val="0"/>
          <w:i w:val="0"/>
          <w:sz w:val="20"/>
        </w:rPr>
        <w:t>若將元治理概念應用於本案例，市政府作為「治理者的治理者」，應如何重新設計對社會局、資訊處與委外廠商三方的監督機制，才能避免「後設課責」隨AI代理人加入而落空？請具體說明至少兩項制度設計。</w:t>
      </w:r>
    </w:p>
    <w:p>
      <w:pPr>
        <w:pStyle w:val="Heading1"/>
      </w:pPr>
      <w:r>
        <w:t xml:space="preserve">本章小結</w:t>
      </w:r>
    </w:p>
    <w:p>
      <w:pPr>
        <w:spacing w:after="200"/>
      </w:pPr>
      <w:r>
        <w:rPr>
          <w:sz w:val="20"/>
          <w:szCs w:val="20"/>
        </w:rPr>
        <w:t xml:space="preserve">本章以整合性視角重構治理意涵，指出治理是正式與非正式制度、國家與非國家行動者基於資源互賴所形成的持續協調過程。結構演進上，並非線性取代，而是官僚、市場、網絡三邏輯並存。三種邏輯亦各自存在典型失靈，當代政府須具備六項治理能力。Peters四模式提供改革處方，World Bank四面向提供體檢表，七大治理類型提供多重鏡頭。典範對話上，新公共服務七原則反動市場邏輯，新公共治理與公共服務邏輯進一步提出「價值在使用中創造」。2020至2024年新增的理論脈絡顯示，治理已進入數位與AI世代，元治理與AI治理的包容性成為關鍵課題。</w:t>
      </w:r>
    </w:p>
    <w:p>
      <w:pPr>
        <w:pStyle w:val="Heading1"/>
      </w:pPr>
      <w:r>
        <w:t xml:space="preserve">關鍵詞彙</w:t>
      </w:r>
    </w:p>
    <w:p>
      <w:pPr>
        <w:spacing w:after="60"/>
      </w:pPr>
      <w:r>
        <w:rPr>
          <w:b/>
          <w:bCs/>
          <w:sz w:val="20"/>
          <w:szCs w:val="20"/>
        </w:rPr>
        <w:t xml:space="preserve">治理 Governance　</w:t>
      </w:r>
      <w:r>
        <w:rPr>
          <w:sz w:val="20"/>
          <w:szCs w:val="20"/>
        </w:rPr>
        <w:t xml:space="preserve">World Bank指管理經濟與社會資源以促發展的方式；Rhodes指自我組織、跨組織網絡。</w:t>
      </w:r>
    </w:p>
    <w:p>
      <w:pPr>
        <w:spacing w:after="60"/>
      </w:pPr>
      <w:r>
        <w:rPr>
          <w:b/>
          <w:bCs/>
          <w:sz w:val="20"/>
          <w:szCs w:val="20"/>
        </w:rPr>
        <w:t xml:space="preserve">網絡治理 Network Governance　</w:t>
      </w:r>
      <w:r>
        <w:rPr>
          <w:sz w:val="20"/>
          <w:szCs w:val="20"/>
        </w:rPr>
        <w:t xml:space="preserve">以信任與互賴為基礎，透過持續互動與協商達成共同目標的治理型態。</w:t>
      </w:r>
    </w:p>
    <w:p>
      <w:pPr>
        <w:spacing w:after="60"/>
      </w:pPr>
      <w:r>
        <w:rPr>
          <w:b/>
          <w:bCs/>
          <w:sz w:val="20"/>
          <w:szCs w:val="20"/>
        </w:rPr>
        <w:t xml:space="preserve">新公共服務 NPS　</w:t>
      </w:r>
      <w:r>
        <w:rPr>
          <w:sz w:val="20"/>
          <w:szCs w:val="20"/>
        </w:rPr>
        <w:t xml:space="preserve">Denhardt夫婦提出，服務公民而非顧客等七原則。</w:t>
      </w:r>
    </w:p>
    <w:p>
      <w:pPr>
        <w:spacing w:after="60"/>
      </w:pPr>
      <w:r>
        <w:rPr>
          <w:b/>
          <w:bCs/>
          <w:sz w:val="20"/>
          <w:szCs w:val="20"/>
        </w:rPr>
        <w:t xml:space="preserve">新公共治理 NPG　</w:t>
      </w:r>
      <w:r>
        <w:rPr>
          <w:sz w:val="20"/>
          <w:szCs w:val="20"/>
        </w:rPr>
        <w:t xml:space="preserve">Osborne提出，公私第三部門網絡共同執行公共管理。</w:t>
      </w:r>
    </w:p>
    <w:p>
      <w:pPr>
        <w:spacing w:after="60"/>
      </w:pPr>
      <w:r>
        <w:rPr>
          <w:b/>
          <w:bCs/>
          <w:sz w:val="20"/>
          <w:szCs w:val="20"/>
        </w:rPr>
        <w:t xml:space="preserve">元治理 Metagovernance　</w:t>
      </w:r>
      <w:r>
        <w:rPr>
          <w:sz w:val="20"/>
          <w:szCs w:val="20"/>
        </w:rPr>
        <w:t xml:space="preserve">治理治理者的層級，監督網絡整體運作的制度安排。</w:t>
      </w:r>
    </w:p>
    <w:p>
      <w:pPr>
        <w:spacing w:after="60"/>
      </w:pPr>
      <w:r>
        <w:rPr>
          <w:b/>
          <w:bCs/>
          <w:sz w:val="20"/>
          <w:szCs w:val="20"/>
        </w:rPr>
        <w:t xml:space="preserve">演算法治理 Algorithmic Governance　</w:t>
      </w:r>
      <w:r>
        <w:rPr>
          <w:sz w:val="20"/>
          <w:szCs w:val="20"/>
        </w:rPr>
        <w:t xml:space="preserve">政府使用自動化模型進行資格審查、風險預測與資源分配。</w:t>
      </w:r>
    </w:p>
    <w:p>
      <w:pPr>
        <w:spacing w:after="200"/>
      </w:pPr>
      <w:r>
        <w:rPr>
          <w:b/>
          <w:bCs/>
          <w:sz w:val="20"/>
          <w:szCs w:val="20"/>
        </w:rPr>
        <w:t xml:space="preserve">AI治理的包容性　</w:t>
      </w:r>
      <w:r>
        <w:rPr>
          <w:sz w:val="20"/>
          <w:szCs w:val="20"/>
        </w:rPr>
        <w:t xml:space="preserve">AI治理公平性不僅在於模型錯誤率一致，也包括不同群體是否具備使用、理解與異議的能力。</w:t>
      </w:r>
    </w:p>
    <w:p>
      <w:r>
        <w:rPr>
          <w:b/>
          <w:sz w:val="20"/>
        </w:rPr>
        <w:t xml:space="preserve">AI代理人 AI Agent　</w:t>
      </w:r>
      <w:r>
        <w:rPr>
          <w:b w:val="0"/>
          <w:sz w:val="20"/>
        </w:rPr>
        <w:t>以模型與演算法自主執行部分行政裁量與資源配置功能的自動化系統，其課責主體通常涉及設計者、資料提供者與執行機關三方。</w:t>
      </w:r>
    </w:p>
    <w:p>
      <w:r>
        <w:rPr>
          <w:b/>
          <w:sz w:val="20"/>
        </w:rPr>
        <w:t xml:space="preserve">差異影響評估 Disparate Impact Assessment　</w:t>
      </w:r>
      <w:r>
        <w:rPr>
          <w:b w:val="0"/>
          <w:sz w:val="20"/>
        </w:rPr>
        <w:t>檢視AI系統對高齡者、身心障礙者、原住民族等數位弱勢群體之實質影響，而非僅檢驗整體樣本準確率的審查機制。</w:t>
      </w:r>
    </w:p>
    <w:p>
      <w:pPr>
        <w:pStyle w:val="Heading1"/>
      </w:pPr>
      <w:r>
        <w:t xml:space="preserve">思考與討論</w:t>
      </w:r>
    </w:p>
    <w:p>
      <w:pPr>
        <w:pStyle w:val="ListParagraph"/>
        <w:numPr>
          <w:ilvl w:val="0"/>
          <w:numId w:val="3"/>
        </w:numPr>
        <w:spacing w:after="80"/>
      </w:pPr>
      <w:r>
        <w:rPr>
          <w:sz w:val="20"/>
          <w:szCs w:val="20"/>
        </w:rPr>
        <w:t xml:space="preserve">Peters四模式各有診斷與風險，試以我國數位發展部或國家發展委員會地方創生政策為例，分析採用參與模式與彈性模式時的制度設計與可能失靈，並提出協同治理的補強策略。</w:t>
      </w:r>
    </w:p>
    <w:p>
      <w:pPr>
        <w:pStyle w:val="ListParagraph"/>
        <w:numPr>
          <w:ilvl w:val="0"/>
          <w:numId w:val="3"/>
        </w:numPr>
        <w:spacing w:after="80"/>
      </w:pPr>
      <w:r>
        <w:rPr>
          <w:sz w:val="20"/>
          <w:szCs w:val="20"/>
        </w:rPr>
        <w:t xml:space="preserve">試比較NPM、NPS與NPG對公民角色、政府角色與績效觀的差異，並以公共服務邏輯（value-in-use）批評我國某項公共服務僅重視生產階段而忽略使用階段的現象。</w:t>
      </w:r>
    </w:p>
    <w:p>
      <w:pPr>
        <w:pStyle w:val="ListParagraph"/>
        <w:numPr>
          <w:ilvl w:val="0"/>
          <w:numId w:val="3"/>
        </w:numPr>
        <w:spacing w:after="80"/>
      </w:pPr>
      <w:r>
        <w:rPr>
          <w:sz w:val="20"/>
          <w:szCs w:val="20"/>
        </w:rPr>
        <w:t xml:space="preserve">跨域治理強調系統思維與相依性，然實務常面臨權責不清與預算審議難題。試以COVID-19防疫或河川流域保育為例，說明地方制度法24-1行政契約機制如何協調爭議。</w:t>
      </w:r>
    </w:p>
    <w:p>
      <w:pPr>
        <w:pStyle w:val="ListParagraph"/>
        <w:numPr>
          <w:ilvl w:val="0"/>
          <w:numId w:val="3"/>
        </w:numPr>
        <w:spacing w:after="80"/>
      </w:pPr>
      <w:r>
        <w:rPr>
          <w:sz w:val="20"/>
          <w:szCs w:val="20"/>
        </w:rPr>
        <w:t xml:space="preserve">Habermas指出數位公共領域面臨平台拒絕編輯責任與碎片化危機，試申論此對傳統民主治理的挑戰，並論政府是否應介入平台治理？</w:t>
      </w:r>
    </w:p>
    <w:p>
      <w:pPr>
        <w:pStyle w:val="ListParagraph"/>
        <w:numPr>
          <w:ilvl w:val="0"/>
          <w:numId w:val="3"/>
        </w:numPr>
        <w:spacing w:after="80"/>
      </w:pPr>
      <w:r>
        <w:rPr>
          <w:sz w:val="20"/>
          <w:szCs w:val="20"/>
        </w:rPr>
        <w:t xml:space="preserve">本章主張治理典範是疊加（layering）而非取代（replacement）。請以台灣某一具體政策領域為例（如長照、能源轉型或防疫），分析官僚、市場、網絡三種治理邏輯如何在同一政策中並存運作。</w:t>
      </w:r>
    </w:p>
    <w:p>
      <w:pPr>
        <w:pStyle w:val="ListParagraph"/>
        <w:numPr>
          <w:ilvl w:val="0"/>
          <w:numId w:val="3"/>
        </w:numPr>
        <w:spacing w:after="200"/>
      </w:pPr>
      <w:r>
        <w:rPr>
          <w:sz w:val="20"/>
          <w:szCs w:val="20"/>
        </w:rPr>
        <w:t xml:space="preserve">試以25分類矩陣申論，本章作為制度結構層次的總結，應如何承接第四至八章的討論，並為下一章公共政策制定過程的分析做好理論準備？</w:t>
      </w:r>
    </w:p>
    <w:p>
      <w:pPr>
        <w:pStyle w:val="Heading1"/>
      </w:pPr>
      <w:r>
        <w:t xml:space="preserve">延伸閱讀與參考文獻</w:t>
      </w:r>
    </w:p>
    <w:p>
      <w:pPr>
        <w:spacing w:after="40"/>
      </w:pPr>
      <w:r>
        <w:rPr>
          <w:sz w:val="18"/>
          <w:szCs w:val="18"/>
        </w:rPr>
        <w:t xml:space="preserve">World Bank. (1992). Governance and Development. Washington, DC: World Bank.</w:t>
      </w:r>
    </w:p>
    <w:p>
      <w:pPr>
        <w:spacing w:after="40"/>
      </w:pPr>
      <w:r>
        <w:rPr>
          <w:sz w:val="18"/>
          <w:szCs w:val="18"/>
        </w:rPr>
        <w:t xml:space="preserve">Commission on Global Governance. (1995). Our Global Neighbourhood. Oxford University Press.</w:t>
      </w:r>
    </w:p>
    <w:p>
      <w:pPr>
        <w:spacing w:after="40"/>
      </w:pPr>
      <w:r>
        <w:rPr>
          <w:sz w:val="18"/>
          <w:szCs w:val="18"/>
        </w:rPr>
        <w:t xml:space="preserve">Rhodes, R. A. W. (1997). Understanding Governance: Policy Networks, Governance, Reflexivity and Accountability. Open University Press.</w:t>
      </w:r>
    </w:p>
    <w:p>
      <w:pPr>
        <w:spacing w:after="40"/>
      </w:pPr>
      <w:r>
        <w:rPr>
          <w:sz w:val="18"/>
          <w:szCs w:val="18"/>
        </w:rPr>
        <w:t xml:space="preserve">Denhardt, R. B., &amp; Denhardt, J. V. (2000). The New Public Service: Serving Rather than Steering. Public Administration Review, 60(6), 549-559.</w:t>
      </w:r>
    </w:p>
    <w:p>
      <w:pPr>
        <w:spacing w:after="40"/>
      </w:pPr>
      <w:r>
        <w:rPr>
          <w:sz w:val="18"/>
          <w:szCs w:val="18"/>
        </w:rPr>
        <w:t xml:space="preserve">Osborne, S. P. (2006). The New Public Governance? Public Management Review, 8(3), 377-387.</w:t>
      </w:r>
    </w:p>
    <w:p>
      <w:pPr>
        <w:spacing w:after="40"/>
      </w:pPr>
      <w:r>
        <w:rPr>
          <w:sz w:val="18"/>
          <w:szCs w:val="18"/>
        </w:rPr>
        <w:t xml:space="preserve">Dunleavy, P., &amp; Margetts, H. (2023). Data Science, Artificial Intelligence and the Third Wave of Digital Era Governance. Public Policy and Administration.</w:t>
      </w:r>
    </w:p>
    <w:p>
      <w:pPr>
        <w:spacing w:after="40"/>
      </w:pPr>
      <w:r>
        <w:rPr>
          <w:sz w:val="18"/>
          <w:szCs w:val="18"/>
        </w:rPr>
        <w:t xml:space="preserve">Habermas, J. (2022). Reflections and Hypotheses on a Further Structural Transformation of the Political Public Sphere. Theory, Culture &amp; Society; English book version 2023, Polity.</w:t>
      </w:r>
    </w:p>
    <w:p>
      <w:pPr>
        <w:spacing w:after="40"/>
      </w:pPr>
      <w:r>
        <w:rPr>
          <w:sz w:val="18"/>
          <w:szCs w:val="18"/>
        </w:rPr>
        <w:t xml:space="preserve">European Commission. (2024). Regulation (EU) 2024/1689 Laying Down Harmonised Rules on Artificial Intelligence (Artificial Intelligence Act).</w:t>
      </w:r>
    </w:p>
    <w:p>
      <w:pPr>
        <w:spacing w:after="40"/>
      </w:pPr>
      <w:r>
        <w:rPr>
          <w:sz w:val="18"/>
          <w:szCs w:val="18"/>
        </w:rPr>
        <w:t xml:space="preserve">OECD. (2023). AI Principles &amp; Framework for the Classification of AI Systems. OECD Publishing.</w:t>
      </w:r>
    </w:p>
    <w:p>
      <w:pPr>
        <w:spacing w:after="40"/>
      </w:pPr>
      <w:r>
        <w:rPr>
          <w:sz w:val="18"/>
          <w:szCs w:val="18"/>
        </w:rPr>
        <w:t xml:space="preserve">Ansell, C., &amp; Gash, A. (2008). Collaborative Governance in Theory and Practice. Journal of Public Administration Research and Theory, 18(4), 543-571.</w:t>
      </w:r>
    </w:p>
    <w:p>
      <w:pPr>
        <w:spacing w:after="40"/>
      </w:pPr>
      <w:r>
        <w:rPr>
          <w:sz w:val="18"/>
          <w:szCs w:val="18"/>
        </w:rPr>
        <w:t xml:space="preserve">Peters, B. G. (1996). The Future of Governing: Four Emerging Models. University Press of Kansas.</w:t>
      </w:r>
    </w:p>
    <w:p>
      <w:pPr>
        <w:spacing w:after="40"/>
      </w:pPr>
      <w:r>
        <w:rPr>
          <w:sz w:val="18"/>
          <w:szCs w:val="18"/>
        </w:rPr>
        <w:t xml:space="preserve">Putnam, R. D. (1993). Making Democracy Work. Princeton University Press; (2000). Bowling Alone. Simon &amp; Schuster.</w:t>
      </w:r>
    </w:p>
    <w:p>
      <w:pPr>
        <w:spacing w:after="40"/>
      </w:pPr>
      <w:r>
        <w:rPr>
          <w:sz w:val="18"/>
          <w:szCs w:val="18"/>
        </w:rPr>
        <w:t xml:space="preserve">數位發展部（2025）。《公部門人工智慧應用參考手冊》。台北：數位發展部。</w:t>
      </w:r>
    </w:p>
    <w:p>
      <w:pPr>
        <w:spacing w:after="40"/>
      </w:pPr>
      <w:r>
        <w:rPr>
          <w:sz w:val="18"/>
          <w:szCs w:val="18"/>
        </w:rPr>
        <w:t xml:space="preserve">陳敦源、黃東益、蕭乃沂（2021）。《數位治理與協作治理》。台北：五南。</w:t>
      </w:r>
    </w:p>
    <w:p>
      <w:pPr>
        <w:spacing w:after="200"/>
      </w:pPr>
      <w:r>
        <w:rPr>
          <w:sz w:val="18"/>
          <w:szCs w:val="18"/>
        </w:rPr>
        <w:t xml:space="preserve">丘昌泰（2022）。《公共管理》。台北：智勝。</w:t>
      </w:r>
    </w:p>
    <w:p>
      <w:r>
        <w:rPr>
          <w:b w:val="0"/>
          <w:sz w:val="20"/>
        </w:rPr>
        <w:t>Sørensen, E., &amp; Torfing, J. (2009). Making Governance Networks Effective and Democratic Through Metagovernance. Public Administration, 87(2), 234-258.</w:t>
      </w:r>
    </w:p>
    <w:p>
      <w:r>
        <w:rPr>
          <w:b w:val="0"/>
          <w:sz w:val="20"/>
        </w:rPr>
        <w:t>Klijn, E. H., &amp; Koppenjan, J. (2016). Governance Networks in the Public Sector. Routledge.</w:t>
      </w:r>
    </w:p>
    <w:p>
      <w:r>
        <w:rPr>
          <w:b w:val="0"/>
          <w:sz w:val="20"/>
        </w:rPr>
        <w:t>Yeung, K. (2018). Algorithmic Regulation: A Critical Interrogation. Regulation &amp; Governance, 12(4), 505-523.</w:t>
      </w:r>
    </w:p>
    <w:p>
      <w:r>
        <w:rPr>
          <w:b w:val="0"/>
          <w:sz w:val="20"/>
        </w:rPr>
        <w:t>Eubanks, V. (2018). Automating Inequality: How High-Tech Tools Profile, Police, and Punish the Poor. St. Martin's Press.</w:t>
      </w:r>
    </w:p>
    <w:p>
      <w:r>
        <w:rPr>
          <w:b w:val="0"/>
          <w:sz w:val="20"/>
        </w:rPr>
        <w:t>European Union. (2022). Regulation (EU) 2022/2065 on a Single Market For Digital Services (Digital Services Act).</w:t>
      </w:r>
    </w:p>
    <w:p>
      <w:r>
        <w:rPr>
          <w:b w:val="0"/>
          <w:sz w:val="20"/>
        </w:rPr>
        <w:t>國家科學及技術委員會（2026）。《人工智慧基本法》。114年12月23日立法院三讀通過，115年1月14日總統華總一義字第11500001671號令公布，自公布日施行。</w:t>
      </w:r>
    </w:p>
    <w:p>
      <w:pPr/>
      <w:r>
        <w:t>World Bank. (1989). Sub-Saharan Africa: From Crisis to Sustainable Growth: A Long-Term Perspective Study. Washington, DC: World Bank.</w:t>
      </w:r>
    </w:p>
    <w:p>
      <w:pPr/>
      <w:r>
        <w:t>United Nations Development Programme (UNDP). (1997). Governance for Sustainable Human Development: A UNDP Policy Document. New York: UNDP.</w:t>
      </w:r>
    </w:p>
    <w:p>
      <w:pPr/>
      <w:r>
        <w:t>Peters, B. G. (2010). Meta-Governance and Public Management. In S. P. Osborne (Ed.), The New Public Governance? Emerging Perspectives on the Theory and Practice of Public Governance (pp. 36-51). Routledge.</w:t>
      </w:r>
    </w:p>
    <w:p>
      <w:pPr/>
      <w:r>
        <w:t>Denhardt, J. V., &amp; Denhardt, R. B. (2007). The New Public Service: Serving, Not Steering (Expanded ed.). Armonk, NY: M.E. Sharpe.</w:t>
      </w:r>
    </w:p>
    <w:p>
      <w:pPr/>
      <w:r>
        <w:t>Denhardt, J. V., &amp; Denhardt, R. B. (2015). The New Public Service: Serving, Not Steering (4th ed.). New York: Routledge.</w:t>
      </w:r>
    </w:p>
    <w:p>
      <w:pPr/>
      <w:r>
        <w:t>Osborne, S. P. (Ed.). (2010). The New Public Governance? Emerging Perspectives on the Theory and Practice of Public Governance. Routledge.</w:t>
      </w:r>
    </w:p>
    <w:p>
      <w:pPr>
        <w:shd w:fill="E2EFDA" w:val="clear"/>
        <w:spacing w:before="200"/>
      </w:pPr>
      <w:r>
        <w:rPr>
          <w:b/>
          <w:bCs/>
          <w:sz w:val="20"/>
          <w:szCs w:val="20"/>
        </w:rPr>
        <w:t xml:space="preserve">前瞻：通往第十章</w:t>
      </w:r>
    </w:p>
    <w:p>
      <w:pPr>
        <w:spacing w:after="120"/>
      </w:pPr>
      <w:r>
        <w:rPr>
          <w:sz w:val="20"/>
          <w:szCs w:val="20"/>
        </w:rPr>
        <w:t xml:space="preserve">本章整合官僚、市場、網絡三種治理結構，以新公共服務、新公共治理、數位與AI治理作為全書第二層「制度結構」的總結，確立了「制度結構層次—治理典範整合」在四條治理鏈上的完整檢視框架。然而，治理典範終究只回答了「政府與誰共治、如何共治」的結構問題，卻尚未觸及公共行政最核心的產出——政策本身應如何被制定、執行與評估。下一章「公共政策概念：問題界定、政策類型與演算法失靈」，將由制度結構層轉入政策過程層，探討公共問題如何被界定為政策問題，以及演算法在政策制定各階段可能帶來的新型態失靈。</w:t>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oto Sans CJK TC" w:hAnsi="Noto Sans CJK TC" w:eastAsia="Noto Sans CJK T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rPr>
      <w:rFonts w:ascii="Noto Sans CJK TC" w:hAnsi="Noto Sans CJK TC" w:eastAsia="Noto Sans CJK TC"/>
      <w:sz w:val="22"/>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pn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image" Target="media/image9.jpg"/><Relationship Id="rId18" Type="http://schemas.openxmlformats.org/officeDocument/2006/relationships/image" Target="media/image10.jpg"/><Relationship Id="rId19" Type="http://schemas.openxmlformats.org/officeDocument/2006/relationships/image" Target="media/image11.jpg"/><Relationship Id="rId20" Type="http://schemas.openxmlformats.org/officeDocument/2006/relationships/image" Target="media/image12.jpg"/><Relationship Id="rId21" Type="http://schemas.openxmlformats.org/officeDocument/2006/relationships/image" Target="media/image13.jpg"/><Relationship Id="rId22" Type="http://schemas.openxmlformats.org/officeDocument/2006/relationships/image" Target="media/image14.jpg"/><Relationship Id="rId23" Type="http://schemas.openxmlformats.org/officeDocument/2006/relationships/image" Target="media/image1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