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4"/>
          <w:szCs w:val="44"/>
        </w:rPr>
        <w:t>行政學教科書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30"/>
          <w:szCs w:val="30"/>
        </w:rPr>
        <w:t xml:space="preserve">第四章　公共性、公共價值與新公共行政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2"/>
          <w:szCs w:val="22"/>
        </w:rPr>
        <w:t xml:space="preserve">——從公共財到公共價值的轉向，兼論 AI 世代的公共性重構——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本章在25座標的位置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主要落在「層次一：哲學與價值 × 個人至社會」，並向下預告「層次二：制度分工」與「層次五：管理運作」。本章是全書的「價值地圖」：回答「行政為何具有公共性、應追求何種公共價值」這一最上位的哲學提問，並為後續制度分工、政策體系、組織設計與管理運作提供正當性基礎與判斷標準。</w:t>
            </w:r>
          </w:p>
        </w:tc>
      </w:tr>
    </w:tbl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學習目標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闡釋公共性的狹義與廣義意涵，理解 Waldo 所稱公共行政定位危機的根源。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掌握區辨公私組織的五種途徑，並能以公共性光譜分析組織的公共責任。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區辨公共利益的多重意涵，理解公共利益的功能、對象與形成程序。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說明公共財的特性、四分法與外部性，並理解公共財分類的情境性。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掌握公共價值、Goodsell 的價值平衡觀、我國文官核心價值與 Moore 的戰略三角。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說明新公共行政的歷史背景、核心主張、明諾布魯克會議與社會公平意涵。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闡釋黑堡宣言與民主行政如何重建行政的憲政正當性。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理解 AI 如何將公共價值轉譯為資料、代理指標、模型與門檻，並辨識人工裁量、資料共有財與公共價值錯置等議題。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運用「25-3-3-4-7」架構，分析 AI 在政府中扮演的角色及其對公共性、裁量與民主課責的影響。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開場與定位</w:t>
      </w:r>
    </w:p>
    <w:p>
      <w:pPr>
        <w:spacing w:after="240" w:line="340"/>
        <w:ind w:left="576" w:right="576"/>
      </w:pPr>
      <w:r>
        <w:rPr>
          <w:rFonts w:ascii="微軟正黑體" w:cs="微軟正黑體" w:eastAsia="微軟正黑體" w:hAnsi="微軟正黑體"/>
          <w:i/>
          <w:iCs/>
          <w:sz w:val="21"/>
          <w:szCs w:val="21"/>
        </w:rPr>
        <w:t xml:space="preserve">「公共行政的定位危機，不僅危及理論，更危及實務。」——Dwight Waldo，1968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前三章已確立公共行政的基本定義、理論演進，以及「25-3-3-4-7」的共同分析語言。本章進一步追問：公共行政的「公共」究竟是什麼？行政行動為何不能僅以效率、技術或組織績效判斷，而必須接受民主、法律、倫理與公共利益的檢驗？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行政之所以不同於企業管理，不在於它完全不重視效率；公共行政之所以不同於政治學，也不在於它與政治毫無關係。其特殊性在於，公共行政必須處理多元而相互衝突的價值，運用具有拘束力的公共權力，管理公共資源，並且對全體公民說明其行動的理由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本章由公共性的本質出發，討論公私組織區辨、公共利益、公共財與公共價值，再說明新公共行政、黑堡宣言與民主行政如何將社會公平、公共責任與公民參與重新帶回行政理論核心。最後，本章將討論 AI 如何使公共價值進入資料、模型、演算法與行政流程，從而使公共性問題以新的技術形式重現。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第一節　公共性的本質與定位危機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行政的「公共」，可概括為「公共性」（publicness）。然而，公共性不能簡化為「政府所有」或「公共利益」其中任何一項。公共性是一種制度關係：它涉及組織是否行使公共權威、使用公共資源、影響公民權利、承擔公共責任，以及是否接受民主、法律與社會監督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狹義而言，公共性主要指行政行動是否追求或維護超越個人私利的公共利益。廣義而言，公共性則涵蓋政府與其他組織所具有的特殊制度條件，例如權威來源、憲政責任、財源來源、服務義務、政治控制、法律拘束、社會影響與公共課責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性的爭論長期存在於兩種基本觀點之間。第一種是經濟觀點，強調公共性源於公共財、市場失靈與外部性；第二種是政治與規範觀點，強調公共性源於公共利益、民主正當性、憲政責任與權利保障。前者關心市場為何無法有效提供某些財貨，後者關心政府為何有權介入、應如何使用權力，以及如何對人民負責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觀念釐清：為何是定位危機？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Waldo 所提出的「定位危機」（identity crisis），不是單純指公共行政無法界定公共性，而是指公共行政在學科定位、價值立場、科學方法、民主政治與行政實務之間，持續面臨緊張關係。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行政若過度追求科學化、技術化與效率化，可能忽略價值衝突、權力關係與民主責任；若過度強調政治與價值，又可能難以說明行政的專業性、組織能力與知識基礎。因此，公共行政必須同時面對兩項問題：第一，行政是否有效；第二，行政是否正當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觀念釐清：AI 時代的危機形狀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 使公共性問題出現新的表現形式。傳統行政學的困難，是難以完整說明何謂公共利益；AI 系統的困難，則是可能以結案率、準確率、風險分數、錯誤率或成本節省等可量化指標，替代原本多義、衝突且需要公共討論的價值。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例如，社會福利制度中的「公平」可以被轉譯為相同待遇、依需要分配、降低錯誤拒絕、優先協助弱勢者，或控制資源濫用。不同的轉譯方式，將導致完全不同的制度結果。因此，問題不只是 AI 是否準確，而是誰定義目標、誰設定權重、哪些人的經驗進入資料，以及哪些價值被排除在模型之外。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第二節　區辨公私組織的五種途徑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公共行政研究長期嘗試找出公私組織的差異。Rainey、Bozeman 與其他學者的整理顯示，至少可以從五種途徑理解公私組織。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9"/>
        <w:gridCol w:w="3009"/>
        <w:gridCol w:w="3008"/>
      </w:tblGrid>
      <w:tr>
        <w:trPr>
          <w:tblHeader/>
        </w:trPr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途徑</w:t>
            </w:r>
          </w:p>
        </w:tc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核心主張</w:t>
            </w:r>
          </w:p>
        </w:tc>
        <w:tc>
          <w:tcPr>
            <w:tcW w:type="dxa" w:w="300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代表觀點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通用途徑（Generic Approach）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公私組織共享許多管理問題，管理原則在相當程度上可以通用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強調領導、組織、預算與人力管理的共通性</w:t>
            </w:r>
          </w:p>
        </w:tc>
      </w:tr>
      <w:tr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經濟核心途徑（Economic Core）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公私差異主要來自市場、所有權、競爭與財貨特性</w:t>
            </w:r>
          </w:p>
        </w:tc>
        <w:tc>
          <w:tcPr>
            <w:tcW w:type="dxa" w:w="30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公共財、市場失靈、外部性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政治核心途徑（Political Core）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公共組織行使公共權威，受民意、法律與政治控制影響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民主控制、政治回應、立法監督</w:t>
            </w:r>
          </w:p>
        </w:tc>
      </w:tr>
      <w:tr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規範性途徑（Normative Approach）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公共行政不應價值中立，應主動追求公共利益與社會正義</w:t>
            </w:r>
          </w:p>
        </w:tc>
        <w:tc>
          <w:tcPr>
            <w:tcW w:type="dxa" w:w="30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公益、權利、倫理、社會公平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面向途徑（Dimensional Approach）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公共性是程度概念，不是公私二分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Bozeman 的公共性光譜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　區辨公私組織的五種途徑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面向途徑尤其重要。現代政府經常透過委外、契約、特許、補助、準市場與公私協力提供服務；企業與非營利組織也可能接受政府資助、執行法定任務、管理公共資源或影響人民權利。組織的法律身分雖然重要，但不能完全決定其公共性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因此，判斷組織公共性時，至少應檢視五項條件：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資金來源是否涉及公共預算、補助或特許利益。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組織是否受到政府、議會、法院或社會監督。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組織是否承擔法定服務、普及服務或公共利益義務。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組織的行動是否影響公民權利、資格、自由或資源分配。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組織是否必須公開理由、保存紀錄並接受課責。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7"/>
        <w:gridCol w:w="3610"/>
        <w:gridCol w:w="3009"/>
      </w:tblGrid>
      <w:tr>
        <w:trPr>
          <w:tblHeader/>
        </w:trPr>
        <w:tc>
          <w:tcPr>
            <w:tcW w:type="dxa" w:w="2407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社會層級</w:t>
            </w:r>
          </w:p>
        </w:tc>
        <w:tc>
          <w:tcPr>
            <w:tcW w:type="dxa" w:w="3610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個人主義描述</w:t>
            </w:r>
          </w:p>
        </w:tc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組織式描述</w:t>
            </w:r>
          </w:p>
        </w:tc>
      </w:tr>
      <w:tr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個人</w:t>
            </w:r>
          </w:p>
        </w:tc>
        <w:tc>
          <w:tcPr>
            <w:tcW w:type="dxa" w:w="3610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私部門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——</w:t>
            </w:r>
          </w:p>
        </w:tc>
      </w:tr>
      <w:tr>
        <w:tc>
          <w:tcPr>
            <w:tcW w:type="dxa" w:w="2407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團體</w:t>
            </w:r>
          </w:p>
        </w:tc>
        <w:tc>
          <w:tcPr>
            <w:tcW w:type="dxa" w:w="3610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公部門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私部門</w:t>
            </w:r>
          </w:p>
        </w:tc>
      </w:tr>
      <w:tr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整體</w:t>
            </w:r>
          </w:p>
        </w:tc>
        <w:tc>
          <w:tcPr>
            <w:tcW w:type="dxa" w:w="3610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——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公部門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表4-2　公共性與私人性在社會層級上的分別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表4-2 的意義在於：個人層次通常較接近私人選擇與個人利益；團體層次則可能同時存在公共與私人組織；整體社會層次，例如國防、法治、國家安全與基本公共秩序，通常具有較高公共性。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第三節　公共性的多重詮釋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一、憲政、政治、法律與管理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公共行政不能只從組織效率理解。Rosenbloom 指出，公共行政至少同時具有管理、政治與法律三種面向。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管理面向關注行政能力、績效、專業分工與資源運用；政治面向關注民意、利益衝突、代表性、政治回應與政策支持；法律面向則關注憲法、正當程序、權利保障、依法行政與司法審查。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者之間常會發生張力。若只重效率，可能犧牲權利與程序；若只重政治回應，可能形成短期民粹或利益俘虜；若只重法律形式，又可能使行政僵化、無法回應社會問題。公共性正是在這些價值間持續平衡的能力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二、Frederickson 的公共性觀點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Frederickson 強調，公共行政不只是技術性的服務提供，也應承擔憲政與道德責任。行政人員除了具備專業能力，還必須理解自己是在民主憲政架構下行使公共權力。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公共性可以從四個方向理解：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憲政體制：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行政行動必須受憲法、法律、權利與分權制衡約束。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德性公民：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行政不只面對消費者或顧客，也面對具有權利、責任與公共參與能力的公民。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回應性：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行政制度必須建立傾聽、回應、申訴與修正的機制。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關懷與社會公平：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行政不能只計算平均效益，也應關心弱勢、排除、尊嚴與社會正義。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三、公共利益的雙重意涵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公共利益至少可以從兩個層面理解。第一個層面是「公共利益是什麼」；第二個層面是「公共利益涉及誰」。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就第一層而言，公共利益可從政治、經濟與社會三種視角理解。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7"/>
        <w:gridCol w:w="4212"/>
        <w:gridCol w:w="2407"/>
      </w:tblGrid>
      <w:tr>
        <w:trPr>
          <w:tblHeader/>
        </w:trPr>
        <w:tc>
          <w:tcPr>
            <w:tcW w:type="dxa" w:w="2407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角度</w:t>
            </w:r>
          </w:p>
        </w:tc>
        <w:tc>
          <w:tcPr>
            <w:tcW w:type="dxa" w:w="4212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公共利益的理解</w:t>
            </w:r>
          </w:p>
        </w:tc>
        <w:tc>
          <w:tcPr>
            <w:tcW w:type="dxa" w:w="2407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示例</w:t>
            </w:r>
          </w:p>
        </w:tc>
      </w:tr>
      <w:tr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政治觀點</w:t>
            </w:r>
          </w:p>
        </w:tc>
        <w:tc>
          <w:tcPr>
            <w:tcW w:type="dxa" w:w="4212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維持整體秩序、共同生活與正當政治程序</w:t>
            </w:r>
          </w:p>
        </w:tc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政府運作、法治、國防、治安</w:t>
            </w:r>
          </w:p>
        </w:tc>
      </w:tr>
      <w:tr>
        <w:tc>
          <w:tcPr>
            <w:tcW w:type="dxa" w:w="2407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經濟觀點</w:t>
            </w:r>
          </w:p>
        </w:tc>
        <w:tc>
          <w:tcPr>
            <w:tcW w:type="dxa" w:w="4212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處理市場失靈、公共財與外部性，促進資源有效與公平配置</w:t>
            </w:r>
          </w:p>
        </w:tc>
        <w:tc>
          <w:tcPr>
            <w:tcW w:type="dxa" w:w="2407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環境管制、基礎建設、公共衛生</w:t>
            </w:r>
          </w:p>
        </w:tc>
      </w:tr>
      <w:tr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社會觀點</w:t>
            </w:r>
          </w:p>
        </w:tc>
        <w:tc>
          <w:tcPr>
            <w:tcW w:type="dxa" w:w="4212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維繫社會關係、處理衝突、保障共同生活與群體尊嚴</w:t>
            </w:r>
          </w:p>
        </w:tc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教育、醫療、族群調解、社會福利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表4-3　公共利益的多元理解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利益不是所有個人偏好的簡單加總。若只以偏好加總理解公共利益，容易忽略少數者權利、代際正義、結構性不平等與無組織群體的處境。公共利益也不是行政機關可以單方面定義的結果，而應在法律、專業、民主程序與公共討論中形成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四、公共利益的指涉對象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公共行政可依不同對象理解公共利益。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5"/>
        <w:gridCol w:w="2708"/>
        <w:gridCol w:w="2708"/>
        <w:gridCol w:w="1805"/>
      </w:tblGrid>
      <w:tr>
        <w:trPr>
          <w:tblHeader/>
        </w:trPr>
        <w:tc>
          <w:tcPr>
            <w:tcW w:type="dxa" w:w="1805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模式</w:t>
            </w:r>
          </w:p>
        </w:tc>
        <w:tc>
          <w:tcPr>
            <w:tcW w:type="dxa" w:w="270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公共指涉對象</w:t>
            </w:r>
          </w:p>
        </w:tc>
        <w:tc>
          <w:tcPr>
            <w:tcW w:type="dxa" w:w="270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公共利益界定</w:t>
            </w:r>
          </w:p>
        </w:tc>
        <w:tc>
          <w:tcPr>
            <w:tcW w:type="dxa" w:w="1805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政策傾向</w:t>
            </w:r>
          </w:p>
        </w:tc>
      </w:tr>
      <w:tr>
        <w:tc>
          <w:tcPr>
            <w:tcW w:type="dxa" w:w="1805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多元團體模式</w:t>
            </w:r>
          </w:p>
        </w:tc>
        <w:tc>
          <w:tcPr>
            <w:tcW w:type="dxa" w:w="27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利益團體</w:t>
            </w:r>
          </w:p>
        </w:tc>
        <w:tc>
          <w:tcPr>
            <w:tcW w:type="dxa" w:w="27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各方利益競爭與協商後的結果</w:t>
            </w:r>
          </w:p>
        </w:tc>
        <w:tc>
          <w:tcPr>
            <w:tcW w:type="dxa" w:w="1805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利益表達、協商與折衝</w:t>
            </w:r>
          </w:p>
        </w:tc>
      </w:tr>
      <w:tr>
        <w:tc>
          <w:tcPr>
            <w:tcW w:type="dxa" w:w="1805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公共選擇模式</w:t>
            </w:r>
          </w:p>
        </w:tc>
        <w:tc>
          <w:tcPr>
            <w:tcW w:type="dxa" w:w="27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消費者</w:t>
            </w:r>
          </w:p>
        </w:tc>
        <w:tc>
          <w:tcPr>
            <w:tcW w:type="dxa" w:w="27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個人偏好與選擇的加總</w:t>
            </w:r>
          </w:p>
        </w:tc>
        <w:tc>
          <w:tcPr>
            <w:tcW w:type="dxa" w:w="1805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市場機制、民營化、使用者付費</w:t>
            </w:r>
          </w:p>
        </w:tc>
      </w:tr>
      <w:tr>
        <w:tc>
          <w:tcPr>
            <w:tcW w:type="dxa" w:w="1805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代議政治模式</w:t>
            </w:r>
          </w:p>
        </w:tc>
        <w:tc>
          <w:tcPr>
            <w:tcW w:type="dxa" w:w="27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民選首長與民意代表</w:t>
            </w:r>
          </w:p>
        </w:tc>
        <w:tc>
          <w:tcPr>
            <w:tcW w:type="dxa" w:w="27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經由選舉與政治授權形成</w:t>
            </w:r>
          </w:p>
        </w:tc>
        <w:tc>
          <w:tcPr>
            <w:tcW w:type="dxa" w:w="1805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政治責任、官僚服從與議會監督</w:t>
            </w:r>
          </w:p>
        </w:tc>
      </w:tr>
      <w:tr>
        <w:tc>
          <w:tcPr>
            <w:tcW w:type="dxa" w:w="1805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服務顧客模式</w:t>
            </w:r>
          </w:p>
        </w:tc>
        <w:tc>
          <w:tcPr>
            <w:tcW w:type="dxa" w:w="27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服務使用者</w:t>
            </w:r>
          </w:p>
        </w:tc>
        <w:tc>
          <w:tcPr>
            <w:tcW w:type="dxa" w:w="27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服務品質、便利性與滿意度</w:t>
            </w:r>
          </w:p>
        </w:tc>
        <w:tc>
          <w:tcPr>
            <w:tcW w:type="dxa" w:w="1805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流程改善、服務設計</w:t>
            </w:r>
          </w:p>
        </w:tc>
      </w:tr>
      <w:tr>
        <w:tc>
          <w:tcPr>
            <w:tcW w:type="dxa" w:w="1805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公民資格模式</w:t>
            </w:r>
          </w:p>
        </w:tc>
        <w:tc>
          <w:tcPr>
            <w:tcW w:type="dxa" w:w="27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具權利與責任的公民</w:t>
            </w:r>
          </w:p>
        </w:tc>
        <w:tc>
          <w:tcPr>
            <w:tcW w:type="dxa" w:w="27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透過參與、審議與共同決定形成</w:t>
            </w:r>
          </w:p>
        </w:tc>
        <w:tc>
          <w:tcPr>
            <w:tcW w:type="dxa" w:w="1805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公民參與、社區治理、審議民主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表4-4　公共利益的五種指涉對象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上述模式各自提供公共性的一部分，但都不是完整答案。利益團體可能排除無組織者；消費者模式可能將公民縮減為市場選擇者；代議模式可能無法涵蓋日常行政裁量；顧客模式容易忽略權利與民主關係；公民參與則可能受到時間、資訊與資源不平等限制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五、行政人員理解公共利益的角色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9"/>
        <w:gridCol w:w="3009"/>
        <w:gridCol w:w="3008"/>
      </w:tblGrid>
      <w:tr>
        <w:trPr>
          <w:tblHeader/>
        </w:trPr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類型</w:t>
            </w:r>
          </w:p>
        </w:tc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核心立場</w:t>
            </w:r>
          </w:p>
        </w:tc>
        <w:tc>
          <w:tcPr>
            <w:tcW w:type="dxa" w:w="300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可能限制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行政理性論者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以專業、證據、效率與理性決策追求公益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可能低估價值衝突與權力不平等</w:t>
            </w:r>
          </w:p>
        </w:tc>
      </w:tr>
      <w:tr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行政理想論者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相信專業文官可主動守護公共利益</w:t>
            </w:r>
          </w:p>
        </w:tc>
        <w:tc>
          <w:tcPr>
            <w:tcW w:type="dxa" w:w="30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可能擴張未受民主授權的裁量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行政現實論者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將行政視為利益競爭與政治調節過程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可能把既有權力平衡誤認為公益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表4-5　行政人員理解公共利益的三種角色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公共利益不可能只靠技術計算、專家良知或政治協商其中之一取得。行政者必須以證據支持判斷、以民主程序取得授權、以法律保障權利，並且對價值選擇與分配結果提出可以公開檢驗的理由。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六、公共利益的功能與檢核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Goodsell 指出，公共利益在行政中具有凝聚、合法化、授權與代表等功能。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功能</w:t>
            </w:r>
          </w:p>
        </w:tc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意涵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凝聚功能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吸納、整合不同觀點與利益，形成可共同接受的行動方向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合法化功能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為行政職務、政策選擇與執行行動提供正當性理由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授權功能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授予行政機關採取行動、分配資源或進行管制的權限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代表功能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超越短期與強勢利益，關照弱勢、未來世代與無組織者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表4-6　公共利益的四項功能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Jun 所提出的公共性檢核，可整理為八項準則：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是否分析非預期結果與長期影響。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是否尊重並保障公民權利。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是否具有有效的民主程序與參與機會。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是否充分考量專業知識與事實證據。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是否具有足夠的透明與外部檢視空間。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是否反映共同利益，而非特定私利。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是否禁得起倫理與道德檢驗。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是否理解並回應社會輿論與公共討論。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這八項準則不是勾選式清單，而是要求行政者回答：誰受到影響？誰被排除？哪些價值被優先？決定是否可以向人民提出充分理由？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第四節　公共財、外部性與公共價值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一、公共財的意義與四分法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公共財理論是理解政府角色的重要起點。財貨可依「排他性」與「競爭性」區分。排他性是指能否阻止未付費者使用；競爭性是指一人使用是否會減少其他人可使用的數量或效益。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9"/>
        <w:gridCol w:w="3009"/>
        <w:gridCol w:w="3008"/>
      </w:tblGrid>
      <w:tr>
        <w:trPr>
          <w:tblHeader/>
        </w:trPr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分類</w:t>
            </w:r>
          </w:p>
        </w:tc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有競爭性</w:t>
            </w:r>
          </w:p>
        </w:tc>
        <w:tc>
          <w:tcPr>
            <w:tcW w:type="dxa" w:w="300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無競爭性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有排他性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純私有財：麵包、衣物、汽車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俱樂部財：付費串流服務、收費道路、會員制設施</w:t>
            </w:r>
          </w:p>
        </w:tc>
      </w:tr>
      <w:tr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無排他性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共同資源：漁業資源、地下水、公共牧場</w:t>
            </w:r>
          </w:p>
        </w:tc>
        <w:tc>
          <w:tcPr>
            <w:tcW w:type="dxa" w:w="30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純公共財：國防、部分燈塔服務、基本治安與防災資訊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表4-7　公共財四分法：競爭性 × 排他性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財貨分類不是固定不變的。高速公路在不擁擠時接近非競爭性，但在尖峰時段因壅塞而具有競爭性；公立學校可能受到學區、名額與容量限制；公共安全服務也可能同時具有整體公共財與個別服務的特性。因此，分析時應同時考量技術條件、制度規則與實際使用情境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公共財常伴隨搭便車問題。由於難以排除未付費者，個人可能傾向等待他人支付成本；若完全依靠市場，公共財供給可能不足。因此，政府常以稅收、預算、法律義務或集體行動方式提供公共財。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二、外部性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外部性是指交易或行動對交易雙方以外第三人產生的影響。正外部性又稱外部經濟，例如教育、疫苗接種、公共衛生、基礎研究與綠地維護，可能使社會整體受益；負外部性又稱外部不經濟，例如污染、噪音、交通壅塞、碳排放與危害健康的產品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當行為者沒有承擔其造成的全部社會成本時，市場結果可能偏離公共利益。政府介入的方式包括課徵稅費、訂定標準、發放補助、建立交易制度、提供公共資訊、設定使用限制與進行公共投資。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三、公共價值的內涵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價值不同於單一政策目標，也不同於一組可完全量化的績效指標。公共價值指社會對政府應當維護、創造與實現之共同利益的期待，通常涉及合法性、效率、公平、民主、透明、尊嚴、信任、安全、回應性與社會整合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Goodsell 以五種彼此競爭的價值要求，說明行政決策不能只追求單一目標。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9"/>
        <w:gridCol w:w="3009"/>
        <w:gridCol w:w="3008"/>
      </w:tblGrid>
      <w:tr>
        <w:trPr>
          <w:tblHeader/>
        </w:trPr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M</w:t>
            </w:r>
          </w:p>
        </w:tc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意涵</w:t>
            </w:r>
          </w:p>
        </w:tc>
        <w:tc>
          <w:tcPr>
            <w:tcW w:type="dxa" w:w="300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可能風險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Means 手段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重視依法執行、效率、效能、即時與忠誠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可能形成目標錯置</w:t>
            </w:r>
          </w:p>
        </w:tc>
      </w:tr>
      <w:tr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Morality 倫理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重視正義、平等、誠實、權利與責任</w:t>
            </w:r>
          </w:p>
        </w:tc>
        <w:tc>
          <w:tcPr>
            <w:tcW w:type="dxa" w:w="30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可能與短期效率衝突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Multitude 民眾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回應民眾需求、意見與生活困境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可能受到短期民意或民粹影響</w:t>
            </w:r>
          </w:p>
        </w:tc>
      </w:tr>
      <w:tr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Market 市場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運用競爭、委外、使用者付費與選擇機制</w:t>
            </w:r>
          </w:p>
        </w:tc>
        <w:tc>
          <w:tcPr>
            <w:tcW w:type="dxa" w:w="30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可能弱化普及服務與平等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Mission 任務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依長期任務與專業使命界定公共目的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可能形成專業宰制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表4-8　Goodsell 5M 價值平衡論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Goodsell 的 5M 不是五項 KPI，而是行政者面對價值衝突時的思考架構。真正的公共管理，不是只選擇其中一項，而是說明為何在特定情境中，某些價值應被優先、其他價值如何受到補償，以及如何建立後續修正機制。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四、文官核心價值與公共價值管理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我國文官核心價值通常包括廉正、忠誠、專業、效能與關懷。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核心價值</w:t>
            </w:r>
          </w:p>
        </w:tc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內涵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廉正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清廉、公正、行政中立、利益迴避與防止濫權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忠誠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忠於憲法、法律、國家與全體人民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專業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持續學習、掌握知識、提供可靠公共服務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效能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簡化程序、妥善運用資源、提升服務品質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關懷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尊重多元、理解民眾處境、重視同理與社會和諧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表4-9　我國文官五核心價值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公共價值管理（public value management, PVM）強調，公共部門成果不能被化約為個人的成本效益或消費者滿意度。公共管理者所面對的是政治與社會中的集體期待，因此必須同時思考政策是否創造公共價值、是否取得正當授權，以及是否具備執行能力。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Moore 提出的戰略三角包括三個面向：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實質公共價值：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政策或服務是否創造對社會有意義的結果。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授權環境：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政策是否獲得法律、政治與社會支持。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操作能力：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組織是否具備資源、專業、人力與協作能力。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9"/>
        <w:gridCol w:w="3009"/>
        <w:gridCol w:w="3008"/>
      </w:tblGrid>
      <w:tr>
        <w:trPr>
          <w:tblHeader/>
        </w:trPr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取向</w:t>
            </w:r>
          </w:p>
        </w:tc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主要問題</w:t>
            </w:r>
          </w:p>
        </w:tc>
        <w:tc>
          <w:tcPr>
            <w:tcW w:type="dxa" w:w="300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分析重點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Moore 的管理取向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公共管理者如何創造公共價值？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公共價值、授權環境與操作能力的策略對齊</w:t>
            </w:r>
          </w:p>
        </w:tc>
      </w:tr>
      <w:tr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Bozeman 的規範取向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公共價值何時失靈？</w:t>
            </w:r>
          </w:p>
        </w:tc>
        <w:tc>
          <w:tcPr>
            <w:tcW w:type="dxa" w:w="30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權利、義務、制度安排與公共期待是否受到保障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表4-10　公共價值的兩種分析取向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兩種取向可以互補。管理取向提供行動架構；規範取向提供價值檢驗。只有管理能力，公共價值可能被管理者主觀界定；只有抽象價值清單，行政又可能缺乏實際執行與服務改善能力。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第五節　新公共行政的崛起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一、歷史背景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新公共行政（new public administration, NPA）興起於 1960 年代末期。當時美國社會面臨越戰、種族衝突、都市問題、貧窮、青年運動、政府信任危機與社會不平等。傳統公共行政過度強調政治行政二分、組織效率與技術理性，卻無法充分回應社會公平、弱勢處境與公共問題的急迫性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同時，戰後新興國家面臨國家建設、經濟發展、貧窮、失業與公共服務不足等挑戰。以西方官僚制度與管理技術為中心的傳統理論，也受到適用性質疑。新公共行政因而主張：公共行政不應只是維持既有秩序，而應主動面對社會問題並促進變革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新公共行政的形成，可以理解為四種觀點匯聚與分歧的結果：政治觀點探討政治與行政的區隔，管理觀點追求組織利益，公共性觀點追求公共利益，公共政策觀點則從政策階段論切入。前三者彼此衝突、矛盾與衍生，公共性觀點與管理觀點的分歧，正是新公共行政與新公共管理分道揚鑣的關鍵起點。</w:t>
      </w:r>
    </w:p>
    <w:p>
      <w:pPr>
        <w:spacing w:after="80" w:before="120"/>
        <w:jc w:val="center"/>
      </w:pPr>
      <w:r>
        <w:drawing>
          <wp:inline distT="0" distB="0" distL="0" distR="0">
            <wp:extent cx="5762625" cy="2371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圖4-1　新公共行政的形成：四種觀點的匯聚與分歧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二、三大里程碑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9"/>
        <w:gridCol w:w="3009"/>
        <w:gridCol w:w="3008"/>
      </w:tblGrid>
      <w:tr>
        <w:trPr>
          <w:tblHeader/>
        </w:trPr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里程碑</w:t>
            </w:r>
          </w:p>
        </w:tc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內容</w:t>
            </w:r>
          </w:p>
        </w:tc>
        <w:tc>
          <w:tcPr>
            <w:tcW w:type="dxa" w:w="300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重要意義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Honey 報告（1967）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檢視美國公共行政教育與研究現況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顯示學科定位、研究資源與實務連結不足</w:t>
            </w:r>
          </w:p>
        </w:tc>
      </w:tr>
      <w:tr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費城會議（1967）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討論公共行政的範圍、目標與方法</w:t>
            </w:r>
          </w:p>
        </w:tc>
        <w:tc>
          <w:tcPr>
            <w:tcW w:type="dxa" w:w="300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凸顯公共行政理論與實務的動盪</w:t>
            </w:r>
          </w:p>
        </w:tc>
      </w:tr>
      <w:tr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Minnowbrook I（1968）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Waldo 召集年輕學者討論公共行政未來</w:t>
            </w:r>
          </w:p>
        </w:tc>
        <w:tc>
          <w:tcPr>
            <w:tcW w:type="dxa" w:w="300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成為新公共行政的重要起點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表4-11　新公共行政的三大里程碑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Minnowbrook I 的核心訊息是：公共行政研究不能只問「如何做得更有效率」，還必須問「什麼問題值得處理」「誰設定研究與政策優先順序」「行政是否回應弱勢與社會不公平」。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三、三個反與五原則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面向</w:t>
            </w:r>
          </w:p>
        </w:tc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內涵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反實證主義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不接受價值中立的假設，強調行政研究不可避免涉及價值選擇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反技術化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拒絕將公共問題完全化約為技術、結構與效率問題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反科層化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反對僵化層級與封閉官僚體制，主張彈性、參與與變革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表4-12　新公共行政的三個反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原則</w:t>
            </w:r>
          </w:p>
        </w:tc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內涵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相關性（Relevance）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公共行政研究與教育必須回應當代公共問題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價值（Values）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行政不能迴避價值判斷，應承認並辯護其價值立場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社會公平（Social Equity）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行政應減輕不平等、排除與社會痛苦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變革（Change）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行政應有能力改變不合理與不正義的制度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顧客導向／公民導向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重視服務對象需求，但不將公民縮減為消費者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表4-13　新公共行政的五原則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社會公平是新公共行政最具代表性的主張。它不只關心資源是否平均分配，也關心制度是否讓不同群體具有實質接近公共服務、參與決策與維護尊嚴的能力。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四、明諾布魯克會議的延續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新公共行政不是固定教條，而是一種持續追問行政是否回應時代問題的反思傳統。第二次明諾布魯克會議於 1988 年舉行，重新檢視新公共行政二十年來的發展，議題擴及領導、憲政、科技、政策與社會變遷。第三次會議於 2008 年舉行，進一步面對全球化、網絡治理、多元文化、新世代公共服務與數位科技等議題。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新公共行政的重要遺產，在於它迫使行政學重新承認：效率從來不是中立的。任何效率指標，都隱含對目標、受益者、成本承擔者與可接受風險的選擇。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五、傳統公共行政與新公共行政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7"/>
        <w:gridCol w:w="3610"/>
        <w:gridCol w:w="3009"/>
      </w:tblGrid>
      <w:tr>
        <w:trPr>
          <w:tblHeader/>
        </w:trPr>
        <w:tc>
          <w:tcPr>
            <w:tcW w:type="dxa" w:w="2407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比較面向</w:t>
            </w:r>
          </w:p>
        </w:tc>
        <w:tc>
          <w:tcPr>
            <w:tcW w:type="dxa" w:w="3610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傳統公共行政</w:t>
            </w:r>
          </w:p>
        </w:tc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新公共行政</w:t>
            </w:r>
          </w:p>
        </w:tc>
      </w:tr>
      <w:tr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政治與行政</w:t>
            </w:r>
          </w:p>
        </w:tc>
        <w:tc>
          <w:tcPr>
            <w:tcW w:type="dxa" w:w="3610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強調政治行政二分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強調政治與行政相互關聯</w:t>
            </w:r>
          </w:p>
        </w:tc>
      </w:tr>
      <w:tr>
        <w:tc>
          <w:tcPr>
            <w:tcW w:type="dxa" w:w="2407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價值觀</w:t>
            </w:r>
          </w:p>
        </w:tc>
        <w:tc>
          <w:tcPr>
            <w:tcW w:type="dxa" w:w="3610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傾向行政中立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強調倫理責任與價值選擇</w:t>
            </w:r>
          </w:p>
        </w:tc>
      </w:tr>
      <w:tr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目標</w:t>
            </w:r>
          </w:p>
        </w:tc>
        <w:tc>
          <w:tcPr>
            <w:tcW w:type="dxa" w:w="3610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效率與生產力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問題解決、社會公平與公共回應</w:t>
            </w:r>
          </w:p>
        </w:tc>
      </w:tr>
      <w:tr>
        <w:tc>
          <w:tcPr>
            <w:tcW w:type="dxa" w:w="2407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權力觀</w:t>
            </w:r>
          </w:p>
        </w:tc>
        <w:tc>
          <w:tcPr>
            <w:tcW w:type="dxa" w:w="3610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集權、層級控制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分權、參與與協作</w:t>
            </w:r>
          </w:p>
        </w:tc>
      </w:tr>
      <w:tr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組織觀</w:t>
            </w:r>
          </w:p>
        </w:tc>
        <w:tc>
          <w:tcPr>
            <w:tcW w:type="dxa" w:w="3610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結構穩定與功能維持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彈性調適、改革與變遷</w:t>
            </w:r>
          </w:p>
        </w:tc>
      </w:tr>
      <w:tr>
        <w:tc>
          <w:tcPr>
            <w:tcW w:type="dxa" w:w="2407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計畫觀</w:t>
            </w:r>
          </w:p>
        </w:tc>
        <w:tc>
          <w:tcPr>
            <w:tcW w:type="dxa" w:w="3610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廣博理性與專家規劃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參與式規劃與社會學習</w:t>
            </w:r>
          </w:p>
        </w:tc>
      </w:tr>
      <w:tr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問題觀</w:t>
            </w:r>
          </w:p>
        </w:tc>
        <w:tc>
          <w:tcPr>
            <w:tcW w:type="dxa" w:w="3610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被動處理與漸進修正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主動回應與制度改造</w:t>
            </w:r>
          </w:p>
        </w:tc>
      </w:tr>
      <w:tr>
        <w:tc>
          <w:tcPr>
            <w:tcW w:type="dxa" w:w="2407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事實與價值</w:t>
            </w:r>
          </w:p>
        </w:tc>
        <w:tc>
          <w:tcPr>
            <w:tcW w:type="dxa" w:w="3610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傾向區分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承認兩者相互交織</w:t>
            </w:r>
          </w:p>
        </w:tc>
      </w:tr>
      <w:tr>
        <w:tc>
          <w:tcPr>
            <w:tcW w:type="dxa" w:w="240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利益觀</w:t>
            </w:r>
          </w:p>
        </w:tc>
        <w:tc>
          <w:tcPr>
            <w:tcW w:type="dxa" w:w="3610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側重利益團體競爭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重視弱勢、參與與社會正義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表4-14　傳統公共行政與新公共行政的核心差異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第六節　黑堡宣言與民主行政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一、黑堡宣言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黑堡宣言（Blacksburg Manifesto）興起於 1980 年代，其核心問題是：公共行政如何在民主憲政體制中取得正當性？黑堡學者主張，行政不應被視為純粹的工具性官僚，也不應被理解為完全被動執行政治命令的機器。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行政人員具有專業知識、長期制度記憶與日常裁量權，因此必須承擔公共利益受託者的角色。然而，受託者不表示行政人員可以恣意取代民選代表，而是必須在憲法、法律、民主授權、專業倫理與公共對話中行使裁量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主張</w:t>
            </w:r>
          </w:p>
        </w:tc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內涵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受託者觀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行政人員是公共利益受託者，應在制度不合理時保有批判與修正能力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機構寶庫觀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行政機關具有累積專業、制度記憶與公共服務能力，不能完全以企業邏輯取代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行政的憲政地位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行政是憲政治理的重要部分，必須接受制衡，也應具有必要裁量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理想—過程取向的公益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公益不只是固定結果，也透過平等、公開與包容的公共對話形成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表4-15　黑堡宣言的主要主張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黑堡宣言的重要提醒是：民主行政不是將所有問題交由投票或民意調查決定，而是建立能讓公民、民選代表、行政人員與不同群體共同形成公共判斷的制度。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二、民主行政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民主行政關切的不是「行政是否完全脫離政治」，而是行政是否能夠在政治環境中維護民主價值、程序正當、公平分配與公共責任。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面向</w:t>
            </w:r>
          </w:p>
        </w:tc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內涵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核心價值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公平、社會正義、民主參與與人性尊嚴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政治行政關係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政治與行政難以嚴格二分，行政民主有助於政治民主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政策執行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行政不應盲目執行缺乏民主與公平基礎的政策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組織改革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組織應朝向開放、參與、協作與回應性發展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落實方式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分權、參與、合作、透明、協商與課責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表4-16　民主行政的內涵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特徵</w:t>
            </w:r>
          </w:p>
        </w:tc>
        <w:tc>
          <w:tcPr>
            <w:tcW w:type="dxa" w:w="4513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意涵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公共利益表達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基層行政人員在日常服務中承擔回應與體現公共利益的責任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代表性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行政人力與制度應反映社會多元群體與不同經驗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開放性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資訊公開、理由說明與可受檢驗是民主行政的必要條件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超越派閥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行政應追求公共利益，而非服務特定黨派或利益群體</w:t>
            </w:r>
          </w:p>
        </w:tc>
      </w:tr>
      <w:tr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防止專業傷害民主</w:t>
            </w:r>
          </w:p>
        </w:tc>
        <w:tc>
          <w:tcPr>
            <w:tcW w:type="dxa" w:w="4513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專業不可成為排除公民參與與公共討論的藉口</w:t>
            </w:r>
          </w:p>
        </w:tc>
      </w:tr>
      <w:tr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參與</w:t>
            </w:r>
          </w:p>
        </w:tc>
        <w:tc>
          <w:tcPr>
            <w:tcW w:type="dxa" w:w="4513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公民、基層人員與多元利害關係人應有實質參與機會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表4-17　民主行政的六項特徵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三、公民參與與倫理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Arnstein 的公民參與階梯提醒我們：並非所有參與都具有相同的民主意義。資訊告知、諮詢與安撫雖然增加互動，但未必使公民真正影響決策；夥伴、授權與公民控制，則代表較高程度的權力分享。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民主行政也要求行政倫理。行政者應：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以公共利益為行動方向。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反省問題的脈絡與價值衝突。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提供可信資訊，尊重異議與批評。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尊重程序，但避免僵化守法造成目標錯置。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避免偏袒特定利益，並對權力使用保持節制。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在效率、公平、權利與回應性之間提出可公開辯護的理由。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第七節　本教科書定位：公共性作為哲學層次的核心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依本書「25-3-3-4-7」架構，本章位於「層次一：哲學與價值」，並橫跨個人、組織、制度與社會等分析單位。公共性、公共利益與公共價值回答的是：行政為何具有獨特正當性？行政應追求哪些價值？當價值衝突時，行政應如何提出理由？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新公共行政與黑堡宣言，分別從社會公平與憲政正當性回應這些問題；民主行政則將價值要求進一步連結到制度分工、參與機制、組織開放與行政裁量。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依「目的—手段鏈」的邏輯，公共性與公共價值不能直接替代制度、政策、組織與管理層次的分析；但它們提供了所有下層工具的判準。當制度追求效率、政策追求績效、組織追求控制、管理追求最佳化時，公共性必須持續追問：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目的是否正當？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權利是否受到保障？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誰受益、誰承擔成本？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弱勢與例外個案是否被看見？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行政理由是否可以向公民公開說明？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制度是否具有修正錯誤與回應批評的能力？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AI 鑲嵌後的權力與結構變化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 進入政府，不只是第五層「管理運作」的技術更新，也對第一層「哲學與價值」形成直接壓力。傳統資訊系統主要用於儲存、傳遞與檢索資料；AI 則可能分類對象、預測風險、排序案件、推薦行動、產生文字與協助決策。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當 AI 參與界定「什麼是問題」「誰被視為高風險者」「哪些案件應優先處理」「何種結果被認定為成功」時，它已經進入公共性與公共價值的形成過程。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一、從人的裁量到人工裁量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Lipsky 的街頭官僚理論指出，基層公務員透過日常裁量，決定政策在實務上的真正樣貌。基層人員必須在資源有限、規則不完整、個案差異大與服務需求龐大的情況下作出判斷。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 進入行政現場後，裁量通常不會消失，而是重新分配。模型設計者、資料治理者、系統維運者、主管人員與第一線官僚，都可能參與行政判斷。AI 系統雖然沒有意識、道德感或法律人格，但其分類、排序與預測結果，可能實質影響行政人員的行動，形成「人工裁量」或「自動化裁量」問題。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6"/>
        <w:gridCol w:w="2006"/>
        <w:gridCol w:w="5014"/>
      </w:tblGrid>
      <w:tr>
        <w:trPr>
          <w:tblHeader/>
        </w:trPr>
        <w:tc>
          <w:tcPr>
            <w:tcW w:type="dxa" w:w="2006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面向</w:t>
            </w:r>
          </w:p>
        </w:tc>
        <w:tc>
          <w:tcPr>
            <w:tcW w:type="dxa" w:w="2006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人的裁量</w:t>
            </w:r>
          </w:p>
        </w:tc>
        <w:tc>
          <w:tcPr>
            <w:tcW w:type="dxa" w:w="5014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人工裁量／演算法裁量</w:t>
            </w:r>
          </w:p>
        </w:tc>
      </w:tr>
      <w:tr>
        <w:tc>
          <w:tcPr>
            <w:tcW w:type="dxa" w:w="2006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主體</w:t>
            </w:r>
          </w:p>
        </w:tc>
        <w:tc>
          <w:tcPr>
            <w:tcW w:type="dxa" w:w="2006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基層公務員</w:t>
            </w:r>
          </w:p>
        </w:tc>
        <w:tc>
          <w:tcPr>
            <w:tcW w:type="dxa" w:w="5014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演算法系統、設計者、資料治理者與使用者</w:t>
            </w:r>
          </w:p>
        </w:tc>
      </w:tr>
      <w:tr>
        <w:tc>
          <w:tcPr>
            <w:tcW w:type="dxa" w:w="2006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判斷基礎</w:t>
            </w:r>
          </w:p>
        </w:tc>
        <w:tc>
          <w:tcPr>
            <w:tcW w:type="dxa" w:w="2006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經驗、專業、規則與現場情境</w:t>
            </w:r>
          </w:p>
        </w:tc>
        <w:tc>
          <w:tcPr>
            <w:tcW w:type="dxa" w:w="5014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資料、模型、特徵、權重與門檻</w:t>
            </w:r>
          </w:p>
        </w:tc>
      </w:tr>
      <w:tr>
        <w:tc>
          <w:tcPr>
            <w:tcW w:type="dxa" w:w="2006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正當性來源</w:t>
            </w:r>
          </w:p>
        </w:tc>
        <w:tc>
          <w:tcPr>
            <w:tcW w:type="dxa" w:w="2006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法律授權、專業倫理與行政責任</w:t>
            </w:r>
          </w:p>
        </w:tc>
        <w:tc>
          <w:tcPr>
            <w:tcW w:type="dxa" w:w="5014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模型品質、資料治理、可稽核性與人工覆核</w:t>
            </w:r>
          </w:p>
        </w:tc>
      </w:tr>
      <w:tr>
        <w:tc>
          <w:tcPr>
            <w:tcW w:type="dxa" w:w="2006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課責機制</w:t>
            </w:r>
          </w:p>
        </w:tc>
        <w:tc>
          <w:tcPr>
            <w:tcW w:type="dxa" w:w="2006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層級監督、行政救濟與倫理規範</w:t>
            </w:r>
          </w:p>
        </w:tc>
        <w:tc>
          <w:tcPr>
            <w:tcW w:type="dxa" w:w="5014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可追溯性、透明度、版本紀錄、稽核與救濟</w:t>
            </w:r>
          </w:p>
        </w:tc>
      </w:tr>
      <w:tr>
        <w:tc>
          <w:tcPr>
            <w:tcW w:type="dxa" w:w="2006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主要風險</w:t>
            </w:r>
          </w:p>
        </w:tc>
        <w:tc>
          <w:tcPr>
            <w:tcW w:type="dxa" w:w="2006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恣意、偏見、差別待遇</w:t>
            </w:r>
          </w:p>
        </w:tc>
        <w:tc>
          <w:tcPr>
            <w:tcW w:type="dxa" w:w="5014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自動化偏見、資料偏誤、黑箱與責任稀釋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表4-18　人的裁量與人工裁量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 系統的風險不只是「系統出錯」。更深層的問題是，行政人員可能因演算法被視為客觀、精準、可量化與可稽核，而過度依賴系統建議；即使保留形式上的人類最終決定，也可能只剩簽名或確認功能。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二、公共價值的技術轉譯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公共價值具有多義性、衝突性與情境性；AI 系統則必須將問題轉換為可運算的目標、資料欄位、分類標籤、代理指標、權重與門檻。這個過程可稱為「技術轉譯」。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例如，福利行政中的「公平」可能被技術轉譯為：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相同條件者獲得相同待遇。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降低錯誤拒絕率。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優先辨識高需求者。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控制不當請領風險。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使資源分配更符合特定政策目標。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這些定義都可能具有某種合理性，但彼此未必一致。若系統只優化防弊，可能提高弱勢者被反覆審查或延遲給付的機率；若系統只追求快速核發，也可能降低查核與資源公平性。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6"/>
        <w:gridCol w:w="3009"/>
        <w:gridCol w:w="4011"/>
      </w:tblGrid>
      <w:tr>
        <w:trPr>
          <w:tblHeader/>
        </w:trPr>
        <w:tc>
          <w:tcPr>
            <w:tcW w:type="dxa" w:w="2006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比較面向</w:t>
            </w:r>
          </w:p>
        </w:tc>
        <w:tc>
          <w:tcPr>
            <w:tcW w:type="dxa" w:w="300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AI 最佳化</w:t>
            </w:r>
          </w:p>
        </w:tc>
        <w:tc>
          <w:tcPr>
            <w:tcW w:type="dxa" w:w="4011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公共行政價值平衡</w:t>
            </w:r>
          </w:p>
        </w:tc>
      </w:tr>
      <w:tr>
        <w:tc>
          <w:tcPr>
            <w:tcW w:type="dxa" w:w="2006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問題起點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接受既定目標、資料與限制</w:t>
            </w:r>
          </w:p>
        </w:tc>
        <w:tc>
          <w:tcPr>
            <w:tcW w:type="dxa" w:w="4011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檢視目標、問題定義與權威來源是否正當</w:t>
            </w:r>
          </w:p>
        </w:tc>
      </w:tr>
      <w:tr>
        <w:tc>
          <w:tcPr>
            <w:tcW w:type="dxa" w:w="2006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價值處理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以變數、權重、代理指標與門檻表示</w:t>
            </w:r>
          </w:p>
        </w:tc>
        <w:tc>
          <w:tcPr>
            <w:tcW w:type="dxa" w:w="4011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承認價值不必然可量化，且可能衝突</w:t>
            </w:r>
          </w:p>
        </w:tc>
      </w:tr>
      <w:tr>
        <w:tc>
          <w:tcPr>
            <w:tcW w:type="dxa" w:w="2006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例外情況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常被視為離群值或模型外情形</w:t>
            </w:r>
          </w:p>
        </w:tc>
        <w:tc>
          <w:tcPr>
            <w:tcW w:type="dxa" w:w="4011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可能是權利保障、個案正義與制度學習來源</w:t>
            </w:r>
          </w:p>
        </w:tc>
      </w:tr>
      <w:tr>
        <w:tc>
          <w:tcPr>
            <w:tcW w:type="dxa" w:w="2006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理由形式</w:t>
            </w:r>
          </w:p>
        </w:tc>
        <w:tc>
          <w:tcPr>
            <w:tcW w:type="dxa" w:w="300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機率、關聯、預測與特徵影響</w:t>
            </w:r>
          </w:p>
        </w:tc>
        <w:tc>
          <w:tcPr>
            <w:tcW w:type="dxa" w:w="4011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法律理由、公共理由、經驗判斷與倫理辯護</w:t>
            </w:r>
          </w:p>
        </w:tc>
      </w:tr>
      <w:tr>
        <w:tc>
          <w:tcPr>
            <w:tcW w:type="dxa" w:w="2006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修正機制</w:t>
            </w:r>
          </w:p>
        </w:tc>
        <w:tc>
          <w:tcPr>
            <w:tcW w:type="dxa" w:w="300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重訓模型、調整參數、更新資料</w:t>
            </w:r>
          </w:p>
        </w:tc>
        <w:tc>
          <w:tcPr>
            <w:tcW w:type="dxa" w:w="4011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民主審議、行政救濟、制度修正與責任追究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表4-19　AI 最佳化與公共行政價值平衡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 擅長回答「如何更有效率地達成既定目標」，但不能自行回答「目標是否正當」「誰有權設定目標」「哪些價值不能被交換」。因此，AI 最佳化不能取代公共行政的價值平衡。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三、資料共有財與資料治理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資料不宜被簡化為純公共財。部分開放資料具有非競爭性與低排他性，接近公共財；但個人資料、商業資料、敏感資料與國家安全資料，則具有高度排他性與權利限制。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Hess 與 Ostrom 的共有財觀點提醒我們，資料的問題不只是是否開放，還包括誰能決定規則、誰維護品質、誰監督使用、誰承擔風險，以及資料利益是否回饋給資料提供者與社群。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78"/>
        <w:gridCol w:w="4248"/>
      </w:tblGrid>
      <w:tr>
        <w:trPr>
          <w:tblHeader/>
        </w:trPr>
        <w:tc>
          <w:tcPr>
            <w:tcW w:type="dxa" w:w="477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Ostrom 原則</w:t>
            </w:r>
          </w:p>
        </w:tc>
        <w:tc>
          <w:tcPr>
            <w:tcW w:type="dxa" w:w="424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資料治理上的轉譯</w:t>
            </w:r>
          </w:p>
        </w:tc>
      </w:tr>
      <w:tr>
        <w:tc>
          <w:tcPr>
            <w:tcW w:type="dxa" w:w="477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明確界定邊界</w:t>
            </w:r>
          </w:p>
        </w:tc>
        <w:tc>
          <w:tcPr>
            <w:tcW w:type="dxa" w:w="424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界定資料範圍、權利主體、使用者資格與授權條件</w:t>
            </w:r>
          </w:p>
        </w:tc>
      </w:tr>
      <w:tr>
        <w:tc>
          <w:tcPr>
            <w:tcW w:type="dxa" w:w="477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集體選擇安排</w:t>
            </w:r>
          </w:p>
        </w:tc>
        <w:tc>
          <w:tcPr>
            <w:tcW w:type="dxa" w:w="424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讓資料提供者、管理者、使用者與受影響群體參與規則形成</w:t>
            </w:r>
          </w:p>
        </w:tc>
      </w:tr>
      <w:tr>
        <w:tc>
          <w:tcPr>
            <w:tcW w:type="dxa" w:w="477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監督</w:t>
            </w:r>
          </w:p>
        </w:tc>
        <w:tc>
          <w:tcPr>
            <w:tcW w:type="dxa" w:w="424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建立資料品質、使用紀錄、安全性與模型效能監測</w:t>
            </w:r>
          </w:p>
        </w:tc>
      </w:tr>
      <w:tr>
        <w:tc>
          <w:tcPr>
            <w:tcW w:type="dxa" w:w="477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分級制裁</w:t>
            </w:r>
          </w:p>
        </w:tc>
        <w:tc>
          <w:tcPr>
            <w:tcW w:type="dxa" w:w="424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對濫用、外洩、違法再利用建立相稱處置</w:t>
            </w:r>
          </w:p>
        </w:tc>
      </w:tr>
      <w:tr>
        <w:tc>
          <w:tcPr>
            <w:tcW w:type="dxa" w:w="477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衝突解決機制</w:t>
            </w:r>
          </w:p>
        </w:tc>
        <w:tc>
          <w:tcPr>
            <w:tcW w:type="dxa" w:w="424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建立申訴、更正、爭議處理與權利救濟管道</w:t>
            </w:r>
          </w:p>
        </w:tc>
      </w:tr>
      <w:tr>
        <w:tc>
          <w:tcPr>
            <w:tcW w:type="dxa" w:w="477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最低限度組織權承認</w:t>
            </w:r>
          </w:p>
        </w:tc>
        <w:tc>
          <w:tcPr>
            <w:tcW w:type="dxa" w:w="424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承認社群、地方政府與公民團體的資料治理角色</w:t>
            </w:r>
          </w:p>
        </w:tc>
      </w:tr>
      <w:tr>
        <w:tc>
          <w:tcPr>
            <w:tcW w:type="dxa" w:w="477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嵌套企業</w:t>
            </w:r>
          </w:p>
        </w:tc>
        <w:tc>
          <w:tcPr>
            <w:tcW w:type="dxa" w:w="424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建立中央、地方、部門與社群之間的多層次治理</w:t>
            </w:r>
          </w:p>
        </w:tc>
      </w:tr>
      <w:tr>
        <w:tc>
          <w:tcPr>
            <w:tcW w:type="dxa" w:w="477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刺激提供與使用</w:t>
            </w:r>
          </w:p>
        </w:tc>
        <w:tc>
          <w:tcPr>
            <w:tcW w:type="dxa" w:w="424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兼顧資料開放、品質提升、創新應用與權利保障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表4-20　Ostrom 原則在資料共有財治理上的轉譯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政府在資料治理中不只是資料提供者，也應是規則設計者、品質守門者、隱私保護者、權利救濟提供者與跨部門協作者。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四、AI 在政府中的三種角色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77"/>
        <w:gridCol w:w="2777"/>
        <w:gridCol w:w="3472"/>
      </w:tblGrid>
      <w:tr>
        <w:trPr>
          <w:tblHeader/>
        </w:trPr>
        <w:tc>
          <w:tcPr>
            <w:tcW w:type="dxa" w:w="2777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角色</w:t>
            </w:r>
          </w:p>
        </w:tc>
        <w:tc>
          <w:tcPr>
            <w:tcW w:type="dxa" w:w="2777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主要功能</w:t>
            </w:r>
          </w:p>
        </w:tc>
        <w:tc>
          <w:tcPr>
            <w:tcW w:type="dxa" w:w="3472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公共性挑戰</w:t>
            </w:r>
          </w:p>
        </w:tc>
      </w:tr>
      <w:tr>
        <w:tc>
          <w:tcPr>
            <w:tcW w:type="dxa" w:w="277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AI for Government</w:t>
            </w:r>
          </w:p>
        </w:tc>
        <w:tc>
          <w:tcPr>
            <w:tcW w:type="dxa" w:w="277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協助客服、翻譯、文件檢索、行政流程、資料分析與服務設計</w:t>
            </w:r>
          </w:p>
        </w:tc>
        <w:tc>
          <w:tcPr>
            <w:tcW w:type="dxa" w:w="3472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資料安全、服務可近性、數位落差與可靠性</w:t>
            </w:r>
          </w:p>
        </w:tc>
      </w:tr>
      <w:tr>
        <w:tc>
          <w:tcPr>
            <w:tcW w:type="dxa" w:w="2777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AI in Government</w:t>
            </w:r>
          </w:p>
        </w:tc>
        <w:tc>
          <w:tcPr>
            <w:tcW w:type="dxa" w:w="2777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嵌入案件分流、風險評估、資格判斷、資源排序與行政裁量</w:t>
            </w:r>
          </w:p>
        </w:tc>
        <w:tc>
          <w:tcPr>
            <w:tcW w:type="dxa" w:w="3472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偏誤、可解釋性、人工覆核與責任歸屬</w:t>
            </w:r>
          </w:p>
        </w:tc>
      </w:tr>
      <w:tr>
        <w:tc>
          <w:tcPr>
            <w:tcW w:type="dxa" w:w="277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AI as Government</w:t>
            </w:r>
          </w:p>
        </w:tc>
        <w:tc>
          <w:tcPr>
            <w:tcW w:type="dxa" w:w="2777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成為長期治理基礎設施的一部分，持續影響分類、互動與公共問題定義</w:t>
            </w:r>
          </w:p>
        </w:tc>
        <w:tc>
          <w:tcPr>
            <w:tcW w:type="dxa" w:w="3472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數位憲政、民主控制、私人技術權力與公共信託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表4-21　AI 在政府中的三種角色與公共性挑戰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「AI as Government」是分析性概念，不代表 AI 已成為具有法律人格或獨立主權的政府。它的意思是：當 AI 深度嵌入行政基礎設施後，公共服務、行政判斷與政府—公民關係，已難以脫離其運作而被理解。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五、三種權力移轉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情境建構權（P1）：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技術轉譯決定哪些資料被視為事實、哪些群體成為分析對象、哪些分類與門檻構成後續判斷的起點。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行政裁量權（P2）：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AI 系統改變基層官僚的裁量方式，使資料治理者、系統設計者與第一線使用者之間重新分配判斷權。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公權力影響力（P3）：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當 AI 輸出實質影響給付、調查、稽查、資格、管制或處罰時，技術系統已參與公共權力的行使。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六、三種結構性效應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跨格移動：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AI 原本可能只是管理工具，但在介入分類、風險與目標設定後，會向哲學與價值層擴張。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邊界消解：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資料供應商、雲端服務商、模型開發商與系統整合商，雖可能是私人組織，卻實質參與公共問題界定與行政決定基礎。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權威重構：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生成式 AI 可以產生公文、摘要與決策理由，使技術不只影響判斷，也可能影響行政理由如何被表達與理解。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因此，技術委外不能等同於責任委外。凡是實質影響人民權利、義務、福利、資格、處罰或公共資源分配的技術系統，都應承擔相應的透明、說明、紀錄、稽核、人工覆核與救濟義務。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七、AI 公共價值的四項制度條件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 若要創造公共價值，至少須具備四項制度條件：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目標的公共授權：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系統目標、代理指標與門檻應由有權機關依法律與民主程序決定。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程序的可辯護性：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人民應理解系統如何影響其權益，並有質疑、更正與申訴機會。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責任的可追溯性：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重要決定應可追查資料來源、模型版本、操作紀錄、覆核程序與最終決定者。</w:t>
      </w:r>
    </w:p>
    <w:p>
      <w:pPr>
        <w:pStyle w:val="ListParagraph"/>
        <w:numPr>
          <w:ilvl w:val="0"/>
          <w:numId w:val="1"/>
        </w:numPr>
        <w:spacing w:after="12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組織的修正能力：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機關應建立偏誤監測、錯誤回報、定期評估、停止使用與制度修正機制。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這四項條件可化約為四個問題：誰授權？如何說明？由誰負責？如何修正？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1F4E79"/>
          <w:sz w:val="23"/>
          <w:szCs w:val="23"/>
        </w:rPr>
        <w:t xml:space="preserve">八、四鏈追蹤與七項治理審計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9"/>
        <w:gridCol w:w="3868"/>
        <w:gridCol w:w="2579"/>
      </w:tblGrid>
      <w:tr>
        <w:trPr>
          <w:tblHeader/>
        </w:trPr>
        <w:tc>
          <w:tcPr>
            <w:tcW w:type="dxa" w:w="257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治理鏈</w:t>
            </w:r>
          </w:p>
        </w:tc>
        <w:tc>
          <w:tcPr>
            <w:tcW w:type="dxa" w:w="3868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本章關鍵問題</w:t>
            </w:r>
          </w:p>
        </w:tc>
        <w:tc>
          <w:tcPr>
            <w:tcW w:type="dxa" w:w="2579"/>
            <w:shd w:fill="1F4E79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審計重點</w:t>
            </w:r>
          </w:p>
        </w:tc>
      </w:tr>
      <w:tr>
        <w:tc>
          <w:tcPr>
            <w:tcW w:type="dxa" w:w="257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情境建構鏈</w:t>
            </w:r>
          </w:p>
        </w:tc>
        <w:tc>
          <w:tcPr>
            <w:tcW w:type="dxa" w:w="386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公共價值被轉譯為哪些資料、指標、類別與門檻？哪些群體未被呈現？</w:t>
            </w:r>
          </w:p>
        </w:tc>
        <w:tc>
          <w:tcPr>
            <w:tcW w:type="dxa" w:w="257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資料代表性、資料品質與偏誤審計</w:t>
            </w:r>
          </w:p>
        </w:tc>
      </w:tr>
      <w:tr>
        <w:tc>
          <w:tcPr>
            <w:tcW w:type="dxa" w:w="257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權威鏈</w:t>
            </w:r>
          </w:p>
        </w:tc>
        <w:tc>
          <w:tcPr>
            <w:tcW w:type="dxa" w:w="386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演算法輸出是否在實務上取代法律授權與專業判斷？</w:t>
            </w:r>
          </w:p>
        </w:tc>
        <w:tc>
          <w:tcPr>
            <w:tcW w:type="dxa" w:w="257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裁量邊界、人工覆核與組織能力審計</w:t>
            </w:r>
          </w:p>
        </w:tc>
      </w:tr>
      <w:tr>
        <w:tc>
          <w:tcPr>
            <w:tcW w:type="dxa" w:w="257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理由鏈</w:t>
            </w:r>
          </w:p>
        </w:tc>
        <w:tc>
          <w:tcPr>
            <w:tcW w:type="dxa" w:w="3868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公民能否理解、質疑與更正 AI 所影響的行政理由？</w:t>
            </w:r>
          </w:p>
        </w:tc>
        <w:tc>
          <w:tcPr>
            <w:tcW w:type="dxa" w:w="2579"/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透明度、可解釋性與理由說明審計</w:t>
            </w:r>
          </w:p>
        </w:tc>
      </w:tr>
      <w:tr>
        <w:tc>
          <w:tcPr>
            <w:tcW w:type="dxa" w:w="257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責任鏈</w:t>
            </w:r>
          </w:p>
        </w:tc>
        <w:tc>
          <w:tcPr>
            <w:tcW w:type="dxa" w:w="3868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當系統造成損害時，承辦人、機關與供應商如何分擔責任？</w:t>
            </w:r>
          </w:p>
        </w:tc>
        <w:tc>
          <w:tcPr>
            <w:tcW w:type="dxa" w:w="2579"/>
            <w:shd w:fill="F2F6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可追溯性、申訴救濟、隱私與資安審計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表4-22　四條治理鏈與七項治理審計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可解釋性、公平性、可追溯性、可爭訟性與資料正義，不必被理解為完全脫離傳統公共行政的新價值；更適當的說法是，它們使公平、透明、責任、尊嚴與民主參與等既有公共價值，在 AI 行政中獲得更具體的制度要求。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B23A3A" w:sz="24"/>
              <w:bottom w:val="single" w:color="DCE6F5" w:sz="2"/>
              <w:right w:val="single" w:color="DCE6F5" w:sz="2"/>
            </w:tcBorders>
            <w:shd w:fill="DCE6F5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B23A3A"/>
                <w:sz w:val="22"/>
                <w:szCs w:val="22"/>
              </w:rPr>
              <w:t xml:space="preserve">第一層的 AI 公共價值檢查清單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誰界定系統所追求的公共問題與目標？哪些人、經驗與知識未被資料呈現？代理指標、權重與門檻隱含哪些價值取捨？系統是否將結構性問題化約為個人風險？公民能否理解、質疑並更正決定？人類是否具有實質拒絕 AI 建議的能力？私人技術行動者承擔哪些公共義務？錯誤與價值衝突如何回饋到制度修正？這不是技術驗收表，而是公共行政哲學對制度與工具提出的規範要求。</w:t>
            </w:r>
          </w:p>
        </w:tc>
      </w:tr>
    </w:tbl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案例與思考討論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案例思考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政府導入智慧辨識、演算法媒合、風險預警或司法科技輔助時，常宣稱可以提高效率、降低人工作業負擔並增進決策一致性。然而，系統若被用來辨識違規、排序求職媒合、評估風險或提供量刑分析，其結果可能對第一線人員形成強大的遵循壓力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這類案例的核心不在於 AI 是否完全取代人類，而在於：人類是否仍具有實質審查與拒絕系統建議的能力？若系統發生誤判、資料偏誤、分類歧視或理由不透明，人民是否知道如何提出異議？主管機關是否可以追溯模型、資料與操作流程？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個別 AI 系統的實際使用範圍、法律效力、試辦狀態與資料來源，應以主管機關正式公告為準。教學上，這些案例的目的在於分析人工裁量、公共價值技術轉譯與行政課責問題，而不是預設任何系統已經具有完全自動化的行政決定權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延伸思考</w:t>
      </w:r>
    </w:p>
    <w:p>
      <w:pPr>
        <w:spacing w:after="160" w:line="340"/>
        <w:ind w:firstLine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1. 請以人工裁量與街頭官僚理論，分析 AI 輔助違規辨識或案件分流的正當性。系統設計者、主管人員與第一線人員的裁量應如何分配？</w:t>
      </w:r>
    </w:p>
    <w:p>
      <w:pPr>
        <w:spacing w:after="160" w:line="340"/>
        <w:ind w:firstLine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2. 請以 Ostrom 的共有財治理觀點，設計政府開放資料的制度安排。如何兼顧資料開放、隱私保護、資料品質、使用責任與公民參與？</w:t>
      </w:r>
    </w:p>
    <w:p>
      <w:pPr>
        <w:spacing w:after="160" w:line="340"/>
        <w:ind w:firstLine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3. 試以公共價值錯置概念，分析 AI 求職媒合、社會福利風險評估或司法輔助系統。若效率提升卻造成特定群體更難取得服務，是否仍可稱為公共價值？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本章小結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性是公共行政得以成為獨立學科的重要基礎。狹義而言，公共性指向公共利益；廣義而言，公共性涉及公共權威、法律責任、公共資源、服務義務、政治控制與民主課責。公共與私人不是絕對二分，而是依組織的資金來源、控制方式、服務義務、權力效果與課責關係而呈現不同程度的公共性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利益也不是單一、固定或可由少數人專斷界定的概念。它涉及政治秩序、經濟效率、權利保障、社會關係、弱勢保護與民主程序。公共財與外部性說明市場失靈及政府介入的必要性；公共價值則進一步要求行政者在效率、倫理、民眾、市場與任務之間進行可公開辯護的價值平衡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新公共行政以相關性、價值、社會公平、變革與公民導向，批判傳統行政過度重視效率與價值中立；黑堡宣言則強調行政作為憲政治理一環的正當性，並要求文官作為公共利益受託者，接受法律、民主與專業倫理的共同約束。民主行政進一步要求代表性、開放性、參與、回應性與防止專業傷害民主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 世代使公共性問題以新的方式出現。當公共價值被轉譯為資料、分類、代理指標、模型權重與風險門檻時，行政不再只是人類官僚與制度之間的關係，也成為人類、資料、模型、平台與組織共同構成的治理過程。AI 可以提高行政能力，但不能自行決定何謂公平、何謂正義、誰應優先受到保護，也不能取代民主授權、法律理由與人民救濟。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關鍵詞彙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公共性（Publicness）：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公共行政的核心特質，涉及公共利益、公共權威、法律責任、公共資源、服務義務與民主課責。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定位危機（Identity Crisis）：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Waldo 所指出的公共行政在學科定位、價值基礎、科學方法、政治與實務關係上的持續張力。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公私組織五途徑：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通用途徑、經濟核心途徑、政治核心途徑、規範性途徑與面向途徑。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公共利益（Public Interest）：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超越個別私利、涉及共同生活、公共秩序、權利保障與民主程序的公共判斷。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公共財（Public Goods）：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具非排他性與非競爭性特徵的財貨；實際分類仍應視技術、制度與使用情境而定。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外部性（Externality）：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個人或組織行動對交易雙方以外第三人產生的正面或負面影響。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公共價值（Public Value）：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社會對政府應維護與創造之共同利益的期待，包括合法性、效率、公平、透明、尊嚴、信任與安全。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Goodsell 5M：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手段、倫理、民眾、市場與任務五種相互競爭的行政價值。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公共價值管理（PVM）：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以公共價值、授權環境與操作能力三者策略對齊為核心的公共管理取向。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新公共行政（NPA）：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1960 年代末興起的公共行政思潮，重視相關性、價值、社會公平、變革與公民導向。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黑堡宣言（Blacksburg Manifesto）：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強調公共行政在憲政治理中的地位，主張行政人員是公共利益受託者。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民主行政（Democratic Administration）：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重視代表性、開放性、參與、透明、公共倫理與民主課責的行政理念。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街頭官僚（Street-Level Bureaucracy）：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Lipsky 提出的概念，指直接面對民眾的基層行政人員透過日常裁量形塑政策實際內容。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人工裁量（Artificial Discretion）：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AI、資料、模型與行政人員共同影響行政判斷與資源分配的現象。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技術轉譯（Technical Translation）：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將公平、安全、風險、效率等公共價值轉化為資料欄位、指標、分類、權重與門檻的過程。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資料共有財（Data Commons）：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以共有財治理觀點理解資料的權利、規則、品質、監督、利益分配與社群參與。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公共價值錯置（Public Value Misalignment）：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機關宣稱追求的價值、系統實際最佳化的指標、第一線使用方式與公民感受結果之間不一致。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AI for／in／as Government：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分別指 AI 作為行政輔助工具、AI 嵌入行政流程與裁量，以及 AI 成為治理基礎設施的一部分。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思考與討論</w:t>
      </w:r>
    </w:p>
    <w:p>
      <w:pPr>
        <w:spacing w:after="160" w:line="340"/>
        <w:ind w:firstLine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一、公共性可從公共財與公共利益兩種觀點理解。試比較二者對政府角色、公私組織區辨與行政責任的不同影響。</w:t>
      </w:r>
    </w:p>
    <w:p>
      <w:pPr>
        <w:spacing w:after="160" w:line="340"/>
        <w:ind w:firstLine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二、試以管理、政治與法律三種觀點，分析數位發展部或地方政府推動 AI 政策時，應如何平衡效率、民主回應與權利保障。</w:t>
      </w:r>
    </w:p>
    <w:p>
      <w:pPr>
        <w:spacing w:after="160" w:line="340"/>
        <w:ind w:firstLine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三、公共利益應由民選代表、行政專業、利益團體、顧客滿意或公民參與何者界定？請說明不同模式的優點與限制。</w:t>
      </w:r>
    </w:p>
    <w:p>
      <w:pPr>
        <w:spacing w:after="160" w:line="340"/>
        <w:ind w:firstLine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四、試以公共財四分法與外部性，分析高速公路、公立學校、漁業資源、國防、疫苗與開放資料的屬性及政府角色。</w:t>
      </w:r>
    </w:p>
    <w:p>
      <w:pPr>
        <w:spacing w:after="160" w:line="340"/>
        <w:ind w:firstLine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五、試以本書 25 座標定位 AI 輔助行政決定系統，並說明其可能造成的公共價值技術轉譯、人工裁量與權力移轉。</w:t>
      </w:r>
    </w:p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延伸閱讀與參考文獻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Alkhatib, A., &amp; Bernstein, M. S. (2019). Street-level algorithms: A theory at the gaps between policy and decisions. In Proceedings of the 2019 CHI Conference on Human Factors in Computing Systems (Paper 530, pp. 1–13). Association for Computing Machinery.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Allison, G. T. (1979). Public and private management: Are they fundamentally alike in all unimportant respects? In J. L. Perry &amp; K. L. Kraemer (Eds.), Public management: Public and private perspectives (pp. 27–38). Mayfield.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Alon-Barkat, S., &amp; Busuioc, M. (2023). Human–AI interactions in public sector decision making: “Automation bias” and “selective adherence” to algorithmic advice. Journal of Public Administration Research and Theory, 33(1), 153–169.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Arnstein, S. R. (1969). A ladder of citizen participation. Journal of the American Institute of Planners, 35(4), 216–224.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Bozeman, B. (1987). All organizations are public: Bridging public and private organizational theories. Jossey-Bass.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Bozeman, B. (2007). Public values and public interest: Counterbalancing economic individualism. Georgetown University Press.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Bozeman, B., &amp; Bretschneider, S. (1994). The “publicness puzzle” in organization theory: A test of alternative explanations of differences between public and private organizations. Journal of Public Administration Research and Theory, 4(2), 197–223.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Bryson, J. M., Crosby, B. C., &amp; Bloomberg, L. (2014). Public value governance: Moving beyond traditional public administration and the new public management. Public Administration Review, 74(4), 445–456.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Busch, P. A., &amp; Henriksen, H. Z. (2018). Digital discretion: A systematic literature review of ICT and street-level discretion. Information Polity, 23(1), 3–28.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Busuioc, M. (2021). Accountable artificial intelligence: Holding algorithms to account. Public Administration Review, 81(5), 825–836.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Denhardt, J. V., &amp; Denhardt, R. B. (2015). The new public service: Serving, not steering (4th ed.). Routledge.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Frederickson, H. G. (1980). New public administration. University of Alabama Press.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Frederickson, H. G. (1990). Public administration and social equity. Public Administration Review, 50(2), 228–237.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>Goodsell, C. T. (1990). Public administration and the public interest. In G. L. Wamsley, J. A. Rohr, C. T. Goodsell, O. F. White, &amp; J. F. Wolf (Eds.), Refounding public administration (pp. 96–113). Sage.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Hess, C., &amp; Ostrom, E. (Eds.). (2007). Understanding knowledge as a commons: From theory to practice. MIT Press.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Jun, J. S. (1986). Public administration: Design and problem solving. Macmillan.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Lipsky, M. (1980). Street-level bureaucracy: Dilemmas of the individual in public services. Russell Sage Foundation.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Marini, F. (Ed.). (1971). Toward a new public administration: The Minnowbrook perspective. Chandler.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Moore, M. H. (1995). Creating public value: Strategic management in government. Harvard University Press.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Rainey, H. G. (2014). Understanding and managing public organizations (5th ed.). Jossey-Bass.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Rosenbloom, D. H. (1983). Public administrative theory and the separation of powers. Public Administration Review, 43(3), 219–227.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Rosenbloom, D. H., Kravchuk, R. S., &amp; Clerkin, R. M. (2022). Public administration: Understanding management, politics, and law in the public sector (9th ed.). Routledge.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Schiff, D. S., Schiff, K. J., &amp; Pierson, P. (2022). Assessing public value failure in government adoption of artificial intelligence. Public Administration, 100(3), 653–673.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Stoker, G. (2006). Public value management: A new narrative for networked governance? American Review of Public Administration, 36(1), 41–57.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Waldo, D. (1968). Public administration in a time of revolutions. Public Administration Review, 28(4), 362–368.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Wamsley, G. L., Goodsell, C. T., Rohr, J. A., White, O. F., &amp; Wolf, J. F. (Eds.). (1990). Refounding public administration. Sage.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Zouridis, S., van Eck, M., &amp; Bovens, M. (2019). Automated discretion. In T. Evans &amp; P. Hupe (Eds.), Discretion and the quest for controlled freedom (pp. 313–329). Palgrave Macmillan.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國家科學及技術委員會。（2026）。《人工智慧基本法》。本法於 2026 年 1 月 14 日公布施行，建立我國 AI 治理的基本原則與制度架構。取自 https://law.nstc.gov.tw/EngLawContent.aspx?id=10099&amp;lan=E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數位發展部。（2025年12月24日）。〈立法院三讀通過人工智慧基本法，奠定我國 AI 創新與安全治理基礎〉。取自 https://moda.gov.tw/en/press/press-releases/18316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image" Target="media/c87c1ec81a3451e0725823d4cb5f8c9f210d7b3f.png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2026-09-04T14:21:38.200Z</dcterms:created>
  <dcterms:modified xsi:type="dcterms:W3CDTF">2026-09-04T14:21:38.209Z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