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200" w:line="360"/>
        <w:jc w:val="center"/>
      </w:pPr>
      <w:r>
        <w:rPr>
          <w:rFonts w:ascii="Noto Sans CJK TC" w:cs="Noto Sans CJK TC" w:eastAsia="Noto Sans CJK TC" w:hAnsi="Noto Sans CJK TC"/>
          <w:b/>
          <w:bCs/>
          <w:i w:val="false"/>
          <w:iCs w:val="false"/>
          <w:color w:val="000000"/>
          <w:sz w:val="36"/>
          <w:szCs w:val="36"/>
        </w:rPr>
        <w:t>行政學教科書</w:t>
      </w:r>
    </w:p>
    <w:p>
      <w:pPr>
        <w:spacing w:after="40" w:before="80" w:line="360"/>
        <w:jc w:val="center"/>
      </w:pPr>
      <w:r>
        <w:rPr>
          <w:rFonts w:ascii="Noto Sans CJK TC" w:cs="Noto Sans CJK TC" w:eastAsia="Noto Sans CJK TC" w:hAnsi="Noto Sans CJK TC"/>
          <w:b/>
          <w:bCs/>
          <w:i w:val="false"/>
          <w:iCs w:val="false"/>
          <w:color w:val="000000"/>
          <w:sz w:val="32"/>
          <w:szCs w:val="32"/>
        </w:rPr>
        <w:t xml:space="preserve">第二章　行政學的理論與發展</w:t>
      </w:r>
    </w:p>
    <w:p>
      <w:pPr>
        <w:spacing w:after="200" w:before="40" w:line="360"/>
        <w:jc w:val="center"/>
      </w:pPr>
      <w:r>
        <w:rPr>
          <w:rFonts w:ascii="Noto Sans CJK TC" w:cs="Noto Sans CJK TC" w:eastAsia="Noto Sans CJK TC" w:hAnsi="Noto Sans CJK TC"/>
          <w:b w:val="false"/>
          <w:bCs w:val="false"/>
          <w:i/>
          <w:iCs/>
          <w:color w:val="000000"/>
          <w:sz w:val="24"/>
          <w:szCs w:val="24"/>
        </w:rPr>
        <w:t xml:space="preserve">——從古典到數位、行為與韌性治理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F4E79" w:sz="12"/>
              <w:left w:val="single" w:color="1F4E79" w:sz="12"/>
              <w:bottom w:val="single" w:color="1F4E79" w:sz="12"/>
              <w:right w:val="single" w:color="1F4E79" w:sz="12"/>
            </w:tcBorders>
            <w:shd w:fill="E8F4FC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 w:before="40"/>
            </w:pPr>
            <w:r>
              <w:rPr>
                <w:rFonts w:ascii="Noto Sans CJK TC" w:cs="Noto Sans CJK TC" w:eastAsia="Noto Sans CJK TC" w:hAnsi="Noto Sans CJK TC"/>
                <w:b/>
                <w:bCs/>
                <w:color w:val="1F4E79"/>
                <w:sz w:val="22"/>
                <w:szCs w:val="22"/>
              </w:rPr>
              <w:t xml:space="preserve">本章在25座標的位置</w:t>
            </w:r>
          </w:p>
          <w:p>
            <w:pPr>
              <w:spacing w:after="40" w:before="20" w:line="320"/>
            </w:pPr>
            <w:r>
              <w:rPr>
                <w:rFonts w:ascii="Noto Sans CJK TC" w:cs="Noto Sans CJK TC" w:eastAsia="Noto Sans CJK TC" w:hAnsi="Noto Sans CJK TC"/>
                <w:sz w:val="20"/>
                <w:szCs w:val="20"/>
              </w:rPr>
              <w:t xml:space="preserve">主要落在「層次一：哲學與價值 × 組織／社會」，並延伸至「層次二：制度分工 × 組織」。本章承接第一章的「座標原點」，進一步說明公共行政理論如何從追求「中立效率」演變到「價值、民主與協力」，並預告AI如何加速這場典範轉移。</w:t>
            </w:r>
          </w:p>
        </w:tc>
      </w:tr>
    </w:tbl>
    <w:p>
      <w:pPr>
        <w:pStyle w:val="Heading1"/>
        <w:spacing w:after="160" w:before="300"/>
      </w:pPr>
      <w:r>
        <w:rPr>
          <w:rFonts w:ascii="Noto Sans CJK TC" w:cs="Noto Sans CJK TC" w:eastAsia="Noto Sans CJK TC" w:hAnsi="Noto Sans CJK TC"/>
          <w:b/>
          <w:bCs/>
          <w:color w:val="1F4E79"/>
          <w:sz w:val="32"/>
          <w:szCs w:val="32"/>
        </w:rPr>
        <w:t xml:space="preserve">學習目標</w:t>
      </w:r>
    </w:p>
    <w:p>
      <w:pPr>
        <w:pStyle w:val="ListParagraph"/>
        <w:numPr>
          <w:ilvl w:val="0"/>
          <w:numId w:val="2"/>
        </w:numPr>
        <w:spacing w:after="40" w:before="40" w:line="360"/>
      </w:pPr>
      <w:r>
        <w:rPr>
          <w:rFonts w:ascii="Noto Sans CJK TC" w:cs="Noto Sans CJK TC" w:eastAsia="Noto Sans CJK TC" w:hAnsi="Noto Sans CJK TC"/>
          <w:sz w:val="22"/>
          <w:szCs w:val="22"/>
        </w:rPr>
        <w:t xml:space="preserve">掌握古典、行為、系統三時期的理論基礎與限制，理解Merton中程理論的整合意義。</w:t>
      </w:r>
    </w:p>
    <w:p>
      <w:pPr>
        <w:pStyle w:val="ListParagraph"/>
        <w:numPr>
          <w:ilvl w:val="0"/>
          <w:numId w:val="2"/>
        </w:numPr>
        <w:spacing w:after="40" w:before="40" w:line="360"/>
      </w:pPr>
      <w:r>
        <w:t>闡釋傳統公共行政、新公共行政、新公共管理、新公共服務及後新公共管理的演變，並能區辨公共價值管理、新公共治理與數位時代治理的差異。</w:t>
      </w:r>
    </w:p>
    <w:p>
      <w:pPr>
        <w:pStyle w:val="ListParagraph"/>
        <w:numPr>
          <w:ilvl w:val="0"/>
          <w:numId w:val="2"/>
        </w:numPr>
        <w:spacing w:after="40" w:before="40" w:line="360"/>
      </w:pPr>
      <w:r>
        <w:t>掌握2006年以後的重要發展：數位時代治理、行為公共行政與公共服務動機、協同治理、韌性治理、開放政府與公民共創，理解其彼此並非線性替代。</w:t>
      </w:r>
    </w:p>
    <w:p>
      <w:pPr>
        <w:pStyle w:val="ListParagraph"/>
        <w:numPr>
          <w:ilvl w:val="0"/>
          <w:numId w:val="2"/>
        </w:numPr>
        <w:spacing w:after="40" w:before="40" w:line="360"/>
      </w:pPr>
      <w:r>
        <w:rPr>
          <w:rFonts w:ascii="Noto Sans CJK TC" w:cs="Noto Sans CJK TC" w:eastAsia="Noto Sans CJK TC" w:hAnsi="Noto Sans CJK TC"/>
          <w:sz w:val="22"/>
          <w:szCs w:val="22"/>
        </w:rPr>
        <w:t xml:space="preserve">能以Theory-Gap三策略，連結理論與台灣實務（如數位發展部、開放政府、COVID-19韌性）。</w:t>
      </w:r>
    </w:p>
    <w:p>
      <w:pPr>
        <w:pStyle w:val="ListParagraph"/>
        <w:numPr>
          <w:ilvl w:val="0"/>
          <w:numId w:val="2"/>
        </w:numPr>
        <w:spacing w:after="40" w:before="40" w:line="360"/>
      </w:pPr>
      <w:r>
        <w:rPr>
          <w:rFonts w:ascii="Noto Sans CJK TC" w:cs="Noto Sans CJK TC" w:eastAsia="Noto Sans CJK TC" w:hAnsi="Noto Sans CJK TC"/>
          <w:sz w:val="22"/>
          <w:szCs w:val="22"/>
        </w:rPr>
        <w:t xml:space="preserve">能以25座標、三種權力移轉與四條治理鏈，分析AI如何加速當代治理典範的轉移與競合。</w:t>
      </w:r>
    </w:p>
    <w:p>
      <w:pPr>
        <w:pStyle w:val="Heading1"/>
        <w:spacing w:after="160" w:before="300"/>
      </w:pPr>
      <w:r>
        <w:rPr>
          <w:rFonts w:ascii="Noto Sans CJK TC" w:cs="Noto Sans CJK TC" w:eastAsia="Noto Sans CJK TC" w:hAnsi="Noto Sans CJK TC"/>
          <w:b/>
          <w:bCs/>
          <w:color w:val="1F4E79"/>
          <w:sz w:val="32"/>
          <w:szCs w:val="32"/>
        </w:rPr>
        <w:t xml:space="preserve">開場與定位</w:t>
      </w:r>
    </w:p>
    <w:p>
      <w:pPr>
        <w:spacing w:after="40" w:before="40" w:line="360"/>
        <w:ind w:firstLine="420"/>
        <w:jc w:val="left"/>
      </w:pPr>
      <w:r>
        <w:t>第一章我們確立了公共行政的基本定義與25座標的起點。本章進一步回答：公共行政背後的理論假設從何而來？不同理論如何回答「效率、秩序、民主、公共價值與適應」等核心問題？</w:t>
      </w:r>
    </w:p>
    <w:p>
      <w:pPr>
        <w:spacing w:after="40" w:before="40" w:line="360"/>
        <w:ind w:firstLine="420"/>
        <w:jc w:val="left"/>
      </w:pPr>
      <w:r>
        <w:t>公共行政不是一套固定不變的管理技術，而是一門隨著國家、組織、社會與科技環境變化而持續調整的學科。從Wilson的政治—行政二分、Taylor的科學管理與Weber的官僚體制，到人群關係、行為科學、系統與權變理論，再到新公共行政、新公共管理、新公共服務及後新公共管理的多元典範，每一次重要轉向都重新界定「什麼是好的行政」。本章的目的不是要求讀者背誦理論年代，而是建立一張「理論地圖」：看見每一種理論試圖解決什麼問題、留下什麼限制，以及AI出現後哪些核心假設需要重新檢視。</w:t>
      </w:r>
    </w:p>
    <w:p>
      <w:pPr>
        <w:pStyle w:val="Heading1"/>
        <w:spacing w:after="160" w:before="300"/>
      </w:pPr>
      <w:r>
        <w:rPr>
          <w:rFonts w:ascii="Noto Sans CJK TC" w:cs="Noto Sans CJK TC" w:eastAsia="Noto Sans CJK TC" w:hAnsi="Noto Sans CJK TC"/>
          <w:b/>
          <w:bCs/>
          <w:color w:val="1F4E79"/>
          <w:sz w:val="32"/>
          <w:szCs w:val="32"/>
        </w:rPr>
        <w:t xml:space="preserve">第一節　理論的本質與建構：為何需要中程理論</w:t>
      </w:r>
    </w:p>
    <w:p>
      <w:pPr>
        <w:spacing w:after="40" w:before="40" w:line="360"/>
        <w:ind w:firstLine="420"/>
        <w:jc w:val="left"/>
      </w:pPr>
      <w:r>
        <w:t>公共行政理論涉及政治、組織、管理、社會與行為等不同知識傳統。理論的價值不在於提供永遠適用的單一答案，而在於對特定問題提供可理解、可檢驗、可比較的解釋框架。因此，本章不以「舊理論被新理論完全取代」作為敘事主線，而是把不同理論視為對不同治理問題的回應。</w:t>
      </w:r>
    </w:p>
    <w:p>
      <w:pPr>
        <w:spacing w:after="40" w:before="40" w:line="360"/>
        <w:ind w:firstLine="420"/>
        <w:jc w:val="left"/>
      </w:pPr>
      <w:r>
        <w:t>Robert K. Merton（1968）提出「中程理論」（Middle Range Theory），強調理論應連結抽象概念與可觀察的經驗現象。其重要精神包括：第一，理論必須具有經驗基礎，能與觀察或研究相互對話；第二，理論具有有限的適用範圍，不必宣稱可以解釋所有社會現象；第三，理論應能連結不同分析層次，使宏觀結構與微觀行動彼此對話。對公共行政而言，這提供一種重要的學習方法：面對眾多理論，不必追求一套包辦所有問題的「唯一大理論」，而應問清楚每一理論適用於何種問題、何種情境，以及其限制何在。</w:t>
      </w:r>
    </w:p>
    <w:p>
      <w:pPr>
        <w:spacing w:after="40" w:before="40" w:line="360"/>
        <w:ind w:firstLine="42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2"/>
          <w:szCs w:val="22"/>
        </w:rPr>
        <w:t xml:space="preserve">理論與實務之間往往存在落差，學者歸納出三種銜接策略：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200"/>
        <w:gridCol w:w="4638"/>
      </w:tblGrid>
      <w:tr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b/>
                <w:bCs/>
                <w:color w:val="FFFFFF"/>
                <w:sz w:val="18"/>
                <w:szCs w:val="18"/>
              </w:rPr>
              <w:t xml:space="preserve">策略</w:t>
            </w:r>
          </w:p>
        </w:tc>
        <w:tc>
          <w:tcPr>
            <w:tcW w:type="dxa" w:w="3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b/>
                <w:bCs/>
                <w:color w:val="FFFFFF"/>
                <w:sz w:val="18"/>
                <w:szCs w:val="18"/>
              </w:rPr>
              <w:t xml:space="preserve">意涵</w:t>
            </w:r>
          </w:p>
        </w:tc>
        <w:tc>
          <w:tcPr>
            <w:tcW w:type="dxa" w:w="4638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1F4E7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b/>
                <w:bCs/>
                <w:color w:val="FFFFFF"/>
                <w:sz w:val="18"/>
                <w:szCs w:val="18"/>
              </w:rPr>
              <w:t xml:space="preserve">台灣示例</w:t>
            </w:r>
          </w:p>
        </w:tc>
      </w:tr>
      <w:tr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 w:line="276"/>
              <w:jc w:val="left"/>
            </w:pPr>
            <w:r>
              <w:rPr>
                <w:rFonts w:ascii="Noto Sans CJK TC" w:cs="Noto Sans CJK TC" w:eastAsia="Noto Sans CJK TC" w:hAnsi="Noto Sans CJK TC"/>
                <w:b w:val="false"/>
                <w:bCs w:val="false"/>
                <w:sz w:val="18"/>
                <w:szCs w:val="18"/>
              </w:rPr>
              <w:t xml:space="preserve">平行（Parallel）</w:t>
            </w:r>
          </w:p>
        </w:tc>
        <w:tc>
          <w:tcPr>
            <w:tcW w:type="dxa" w:w="3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 w:line="276"/>
              <w:jc w:val="left"/>
            </w:pPr>
            <w:r>
              <w:rPr>
                <w:rFonts w:ascii="Noto Sans CJK TC" w:cs="Noto Sans CJK TC" w:eastAsia="Noto Sans CJK TC" w:hAnsi="Noto Sans CJK TC"/>
                <w:b w:val="false"/>
                <w:bCs w:val="false"/>
                <w:sz w:val="18"/>
                <w:szCs w:val="18"/>
              </w:rPr>
              <w:t xml:space="preserve">學者與實務者各自獨立</w:t>
            </w:r>
          </w:p>
        </w:tc>
        <w:tc>
          <w:tcPr>
            <w:tcW w:type="dxa" w:w="4638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 w:line="276"/>
              <w:jc w:val="left"/>
            </w:pPr>
            <w:r>
              <w:rPr>
                <w:rFonts w:ascii="Noto Sans CJK TC" w:cs="Noto Sans CJK TC" w:eastAsia="Noto Sans CJK TC" w:hAnsi="Noto Sans CJK TC"/>
                <w:b w:val="false"/>
                <w:bCs w:val="false"/>
                <w:sz w:val="18"/>
                <w:szCs w:val="18"/>
              </w:rPr>
              <w:t xml:space="preserve">學術論文與機關年報脫節</w:t>
            </w:r>
          </w:p>
        </w:tc>
      </w:tr>
      <w:tr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 w:line="276"/>
              <w:jc w:val="left"/>
            </w:pPr>
            <w:r>
              <w:rPr>
                <w:rFonts w:ascii="Noto Sans CJK TC" w:cs="Noto Sans CJK TC" w:eastAsia="Noto Sans CJK TC" w:hAnsi="Noto Sans CJK TC"/>
                <w:b w:val="false"/>
                <w:bCs w:val="false"/>
                <w:sz w:val="18"/>
                <w:szCs w:val="18"/>
              </w:rPr>
              <w:t xml:space="preserve">移轉（Transfer）</w:t>
            </w:r>
          </w:p>
        </w:tc>
        <w:tc>
          <w:tcPr>
            <w:tcW w:type="dxa" w:w="3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 w:line="276"/>
              <w:jc w:val="left"/>
            </w:pPr>
            <w:r>
              <w:rPr>
                <w:rFonts w:ascii="Noto Sans CJK TC" w:cs="Noto Sans CJK TC" w:eastAsia="Noto Sans CJK TC" w:hAnsi="Noto Sans CJK TC"/>
                <w:b w:val="false"/>
                <w:bCs w:val="false"/>
                <w:sz w:val="18"/>
                <w:szCs w:val="18"/>
              </w:rPr>
              <w:t xml:space="preserve">學者知識單向移轉實務</w:t>
            </w:r>
          </w:p>
        </w:tc>
        <w:tc>
          <w:tcPr>
            <w:tcW w:type="dxa" w:w="4638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 w:line="276"/>
              <w:jc w:val="left"/>
            </w:pPr>
            <w:r>
              <w:rPr>
                <w:rFonts w:ascii="Noto Sans CJK TC" w:cs="Noto Sans CJK TC" w:eastAsia="Noto Sans CJK TC" w:hAnsi="Noto Sans CJK TC"/>
                <w:b w:val="false"/>
                <w:bCs w:val="false"/>
                <w:sz w:val="18"/>
                <w:szCs w:val="18"/>
              </w:rPr>
              <w:t xml:space="preserve">新公共管理績效指標移植至政府</w:t>
            </w:r>
          </w:p>
        </w:tc>
      </w:tr>
      <w:tr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 w:line="276"/>
              <w:jc w:val="left"/>
            </w:pPr>
            <w:r>
              <w:rPr>
                <w:rFonts w:ascii="Noto Sans CJK TC" w:cs="Noto Sans CJK TC" w:eastAsia="Noto Sans CJK TC" w:hAnsi="Noto Sans CJK TC"/>
                <w:b w:val="false"/>
                <w:bCs w:val="false"/>
                <w:sz w:val="18"/>
                <w:szCs w:val="18"/>
              </w:rPr>
              <w:t xml:space="preserve">協力（Collaboration）</w:t>
            </w:r>
          </w:p>
        </w:tc>
        <w:tc>
          <w:tcPr>
            <w:tcW w:type="dxa" w:w="3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 w:line="276"/>
              <w:jc w:val="left"/>
            </w:pPr>
            <w:r>
              <w:rPr>
                <w:rFonts w:ascii="Noto Sans CJK TC" w:cs="Noto Sans CJK TC" w:eastAsia="Noto Sans CJK TC" w:hAnsi="Noto Sans CJK TC"/>
                <w:b w:val="false"/>
                <w:bCs w:val="false"/>
                <w:sz w:val="18"/>
                <w:szCs w:val="18"/>
              </w:rPr>
              <w:t xml:space="preserve">學者與實務者共創知識</w:t>
            </w:r>
          </w:p>
        </w:tc>
        <w:tc>
          <w:tcPr>
            <w:tcW w:type="dxa" w:w="4638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20" w:line="276"/>
              <w:jc w:val="left"/>
            </w:pPr>
            <w:r>
              <w:rPr>
                <w:rFonts w:ascii="Noto Sans CJK TC" w:cs="Noto Sans CJK TC" w:eastAsia="Noto Sans CJK TC" w:hAnsi="Noto Sans CJK TC"/>
                <w:b w:val="false"/>
                <w:bCs w:val="false"/>
                <w:sz w:val="18"/>
                <w:szCs w:val="18"/>
              </w:rPr>
              <w:t xml:space="preserve">開放政府協作會議、數位發展部與社群協力</w:t>
            </w:r>
          </w:p>
        </w:tc>
      </w:tr>
    </w:tbl>
    <w:p>
      <w:pPr>
        <w:spacing w:after="120" w:before="80" w:line="360"/>
        <w:jc w:val="center"/>
      </w:pPr>
      <w:r>
        <w:rPr>
          <w:rFonts w:ascii="Noto Sans CJK TC" w:cs="Noto Sans CJK TC" w:eastAsia="Noto Sans CJK TC" w:hAnsi="Noto Sans CJK TC"/>
          <w:b w:val="false"/>
          <w:bCs w:val="false"/>
          <w:i/>
          <w:iCs/>
          <w:color w:val="000000"/>
          <w:sz w:val="20"/>
          <w:szCs w:val="20"/>
        </w:rPr>
        <w:t xml:space="preserve">表2-1　Theory-Gap三策略</w:t>
      </w:r>
    </w:p>
    <w:p>
      <w:pPr>
        <w:spacing w:after="40" w:before="40" w:line="360"/>
        <w:ind w:firstLine="420"/>
        <w:jc w:val="left"/>
      </w:pPr>
      <w:r>
        <w:t>表2-1所示的三種銜接方式，可作為理解理論與實務關係的分析框架。後文的古典、行為、系統與當代治理理論，並不是彼此完全取消，而是在不同問題、不同環境下提供不同的解釋與行動邏輯。</w:t>
      </w:r>
    </w:p>
    <w:p>
      <w:pPr>
        <w:pStyle w:val="Heading1"/>
        <w:spacing w:after="160" w:before="300"/>
      </w:pPr>
      <w:r>
        <w:rPr>
          <w:rFonts w:ascii="Noto Sans CJK TC" w:cs="Noto Sans CJK TC" w:eastAsia="Noto Sans CJK TC" w:hAnsi="Noto Sans CJK TC"/>
          <w:b/>
          <w:bCs/>
          <w:color w:val="1F4E79"/>
          <w:sz w:val="32"/>
          <w:szCs w:val="32"/>
        </w:rPr>
        <w:t xml:space="preserve">第二節　古典時期（1900—1930）：效率的追尋與限制</w:t>
      </w:r>
    </w:p>
    <w:p>
      <w:pPr>
        <w:spacing w:after="40" w:before="40" w:line="360"/>
        <w:ind w:firstLine="420"/>
        <w:jc w:val="left"/>
      </w:pPr>
      <w:r>
        <w:t>古典公共行政的形成，主要發生於19世紀末至20世紀前期，其重要關懷是如何以較有系統的方式建立專業、秩序與效率。Taylor、Fayol、Gulick、Weber等人的理論雖然彼此不同，但共同回應了組織擴張、專業化與行政能力的問題。必須注意的是，「傳統公共行政」是較寬廣的歷史與規範概念，不能與1900—1930年的古典管理理論完全畫上等號。</w:t>
      </w:r>
    </w:p>
    <w:p>
      <w:pPr>
        <w:pStyle w:val="Heading2"/>
        <w:spacing w:after="120" w:before="260"/>
      </w:pPr>
      <w:r>
        <w:rPr>
          <w:rFonts w:ascii="Noto Sans CJK TC" w:cs="Noto Sans CJK TC" w:eastAsia="Noto Sans CJK TC" w:hAnsi="Noto Sans CJK TC"/>
          <w:b/>
          <w:bCs/>
          <w:color w:val="2E75B6"/>
          <w:sz w:val="26"/>
          <w:szCs w:val="26"/>
        </w:rPr>
        <w:t xml:space="preserve">一、科學管理：Taylor</w:t>
      </w:r>
    </w:p>
    <w:p>
      <w:pPr>
        <w:spacing w:after="40" w:before="40" w:line="360"/>
        <w:ind w:firstLine="420"/>
        <w:jc w:val="left"/>
      </w:pPr>
      <w:r>
        <w:t>Taylor（1911）主張以系統性的科學分析取代單純依賴經驗的工作方法，重視工作分析、選才與訓練，以及管理者與工作者之間的分工合作；其著名的「唯一最佳方法」代表了以標準化與效率提升為核心的管理思維。其重要貢獻在於使工作流程、時間與績效成為可分析的管理對象；其限制則在於容易將人過度工具化，並低估非正式組織、價值衝突與情境差異。</w:t>
      </w:r>
    </w:p>
    <w:p>
      <w:pPr>
        <w:pStyle w:val="Heading2"/>
        <w:spacing w:after="120" w:before="260"/>
      </w:pPr>
      <w:r>
        <w:rPr>
          <w:rFonts w:ascii="Noto Sans CJK TC" w:cs="Noto Sans CJK TC" w:eastAsia="Noto Sans CJK TC" w:hAnsi="Noto Sans CJK TC"/>
          <w:b/>
          <w:bCs/>
          <w:color w:val="2E75B6"/>
          <w:sz w:val="26"/>
          <w:szCs w:val="26"/>
        </w:rPr>
        <w:t xml:space="preserve">二、行政管理：Fayol與Gulick</w:t>
      </w:r>
    </w:p>
    <w:p>
      <w:pPr>
        <w:spacing w:after="40" w:before="40" w:line="360"/>
        <w:ind w:firstLine="420"/>
        <w:jc w:val="left"/>
      </w:pPr>
      <w:r>
        <w:t>Fayol（1916）著眼於一般管理與組織管理，提出計畫、組織、指揮、協調、控制等管理功能，以及十四項管理原則。Gulick（1937）與Urwick編輯《行政科學論文集》，Gulick並提出POSDCORB，用以概括行政首長的重要管理功能：計畫（Planning）、組織（Organizing）、用人（Staffing）、指揮（Directing）、協調（Coordinating）、報告（Reporting）與預算（Budgeting）。這一傳統的核心貢獻，是把行政工作轉化為可分析、可分工的管理活動；其限制則是容易把複雜的公共價值衝突簡化為管理技術問題。</w:t>
      </w:r>
    </w:p>
    <w:p>
      <w:pPr>
        <w:pStyle w:val="Heading2"/>
        <w:spacing w:after="120" w:before="260"/>
      </w:pPr>
      <w:r>
        <w:rPr>
          <w:rFonts w:ascii="Noto Sans CJK TC" w:cs="Noto Sans CJK TC" w:eastAsia="Noto Sans CJK TC" w:hAnsi="Noto Sans CJK TC"/>
          <w:b/>
          <w:bCs/>
          <w:color w:val="2E75B6"/>
          <w:sz w:val="26"/>
          <w:szCs w:val="26"/>
        </w:rPr>
        <w:t xml:space="preserve">三、官僚體制：Weber</w:t>
      </w:r>
    </w:p>
    <w:p>
      <w:pPr>
        <w:spacing w:after="40" w:before="40" w:line="360"/>
        <w:ind w:firstLine="420"/>
        <w:jc w:val="left"/>
      </w:pPr>
      <w:r>
        <w:t>Weber所提出的是「理想型」官僚制，而不是對所有現實政府組織的直接描述。其核心包括明確的權責分工、層級節制、正式規則、文書紀錄、專業化與以資格為基礎的人員任用。理性—法理型權威則建立在正式規則與合法性之上。官僚制的優勢在於可預測性、持續性與依法行政；但當規則與程序由手段變成目的時，可能產生目標錯置、繁文縟節等問題，Merton對此提出重要批判。</w:t>
      </w:r>
    </w:p>
    <w:p>
      <w:pPr>
        <w:pStyle w:val="Heading2"/>
        <w:spacing w:after="120" w:before="260"/>
      </w:pPr>
      <w:r>
        <w:rPr>
          <w:rFonts w:ascii="Noto Sans CJK TC" w:cs="Noto Sans CJK TC" w:eastAsia="Noto Sans CJK TC" w:hAnsi="Noto Sans CJK TC"/>
          <w:b/>
          <w:bCs/>
          <w:color w:val="2E75B6"/>
          <w:sz w:val="26"/>
          <w:szCs w:val="26"/>
        </w:rPr>
        <w:t xml:space="preserve">四、動態管理：Follett</w:t>
      </w:r>
    </w:p>
    <w:p>
      <w:pPr>
        <w:spacing w:after="40" w:before="40" w:line="360"/>
        <w:ind w:firstLine="420"/>
        <w:jc w:val="left"/>
      </w:pPr>
      <w:r>
        <w:t>Mary Parker Follett較早將組織中的互動、衝突與協調納入管理思考。她主張衝突不必只能透過妥協處理，也可以尋求整合性解決方案；並強調協調應及早、直接、相互且持續地進行。她所提出的「情勢法則」提醒管理者：有效的權威不應只建立在職位上，也應建立在對情境、專業與共同問題的理解之上。Follett因此成為由古典管理走向人群關係與組織行為的重要橋梁。</w:t>
      </w:r>
    </w:p>
    <w:p>
      <w:pPr>
        <w:pStyle w:val="Heading1"/>
        <w:spacing w:after="160" w:before="300"/>
      </w:pPr>
      <w:r>
        <w:rPr>
          <w:rFonts w:ascii="Noto Sans CJK TC" w:cs="Noto Sans CJK TC" w:eastAsia="Noto Sans CJK TC" w:hAnsi="Noto Sans CJK TC"/>
          <w:b/>
          <w:bCs/>
          <w:color w:val="1F4E79"/>
          <w:sz w:val="32"/>
          <w:szCs w:val="32"/>
        </w:rPr>
        <w:t xml:space="preserve">第三節　行為時期（1930—1960）：發現人性與決策</w:t>
      </w:r>
    </w:p>
    <w:p>
      <w:pPr>
        <w:pStyle w:val="Heading2"/>
        <w:spacing w:after="120" w:before="260"/>
      </w:pPr>
      <w:r>
        <w:rPr>
          <w:rFonts w:ascii="Noto Sans CJK TC" w:cs="Noto Sans CJK TC" w:eastAsia="Noto Sans CJK TC" w:hAnsi="Noto Sans CJK TC"/>
          <w:b/>
          <w:bCs/>
          <w:color w:val="2E75B6"/>
          <w:sz w:val="26"/>
          <w:szCs w:val="26"/>
        </w:rPr>
        <w:t xml:space="preserve">一、霍桑實驗：Mayo</w:t>
      </w:r>
    </w:p>
    <w:p>
      <w:pPr>
        <w:spacing w:after="40" w:before="40" w:line="360"/>
        <w:ind w:firstLine="420"/>
        <w:jc w:val="left"/>
      </w:pPr>
      <w:r>
        <w:t>Mayo所參與的霍桑研究促使學界重新注意工作場所的社會與心理因素，並推動人群關係學派的發展。研究及其後續詮釋強調非正式組織、團體規範、溝通與員工態度的重要性。不過，霍桑研究的因果解釋後來受到方法論與詮釋上的批評，因此較適切的教材寫法不是把它視為「金錢完全不重要」的定論，而是把它理解為：管理不能只看正式結構與物質誘因，也必須考慮人的社會與心理行為。</w:t>
      </w:r>
    </w:p>
    <w:p>
      <w:pPr>
        <w:pStyle w:val="Heading2"/>
        <w:spacing w:after="120" w:before="260"/>
      </w:pPr>
      <w:r>
        <w:rPr>
          <w:rFonts w:ascii="Noto Sans CJK TC" w:cs="Noto Sans CJK TC" w:eastAsia="Noto Sans CJK TC" w:hAnsi="Noto Sans CJK TC"/>
          <w:b/>
          <w:bCs/>
          <w:color w:val="2E75B6"/>
          <w:sz w:val="26"/>
          <w:szCs w:val="26"/>
        </w:rPr>
        <w:t xml:space="preserve">二、動態平衡：Barnard</w:t>
      </w:r>
    </w:p>
    <w:p>
      <w:pPr>
        <w:spacing w:after="40" w:before="40" w:line="360"/>
        <w:ind w:firstLine="42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2"/>
          <w:szCs w:val="22"/>
        </w:rPr>
        <w:t xml:space="preserve">Barnard於1938年出版《經理人員的職能》，提出四項核心觀點：其一，組織是共同目標、貢獻意願與溝通能力所構成的互動體系；其二，非正式組織具有三項功能——傳遞不便於正式溝通的訊息、維持團結、保持成員自尊；其三，成員的貢獻與滿足須維持平衡，誘因則包括物質、名望權力、物理條件與心理享受；其四，提出「權威接受論」——權威的關鍵在於受命者是否接受，而接受須具備四項條件：理解命令、命令合於組織目標、命令不違背個人利益、且個人有能力執行，由此形成因人而異的「無差異區」（zone of indifference）。主管的功能因而在於建立溝通、確保成員努力、界定組織目的並塑造道德，成為組織的道德標竿。</w:t>
      </w:r>
    </w:p>
    <w:p>
      <w:pPr>
        <w:pStyle w:val="Heading2"/>
        <w:spacing w:after="120" w:before="260"/>
      </w:pPr>
      <w:r>
        <w:rPr>
          <w:rFonts w:ascii="Noto Sans CJK TC" w:cs="Noto Sans CJK TC" w:eastAsia="Noto Sans CJK TC" w:hAnsi="Noto Sans CJK TC"/>
          <w:b/>
          <w:bCs/>
          <w:color w:val="2E75B6"/>
          <w:sz w:val="26"/>
          <w:szCs w:val="26"/>
        </w:rPr>
        <w:t xml:space="preserve">三、決策與人性：Simon、Maslow、McGregor</w:t>
      </w:r>
    </w:p>
    <w:p>
      <w:pPr>
        <w:spacing w:after="40" w:before="40" w:line="360"/>
        <w:ind w:firstLine="420"/>
        <w:jc w:val="left"/>
      </w:pPr>
      <w:r>
        <w:t>Herbert Simon批判傳統行政原則過度依賴彼此可能衝突的格言，提出「有限理性」（bounded rationality）與「滿意決策」（satisficing），指出行政決策者受到資訊、時間與認知能力限制，因此通常追求足以接受的方案，而非抽象意義上的最適解。Maslow的需求層次理論與McGregor的X、Y理論，則進一步從動機與人性假設說明管理方式的差異。這一時期的重要轉變，是把行政研究的注意力由「應如何設計組織」進一步推向「人在組織中如何認知、決策與行動」。</w:t>
      </w:r>
    </w:p>
    <w:p>
      <w:pPr>
        <w:pStyle w:val="Heading1"/>
        <w:spacing w:after="160" w:before="300"/>
      </w:pPr>
      <w:r>
        <w:rPr>
          <w:rFonts w:ascii="Noto Sans CJK TC" w:cs="Noto Sans CJK TC" w:eastAsia="Noto Sans CJK TC" w:hAnsi="Noto Sans CJK TC"/>
          <w:b/>
          <w:bCs/>
          <w:color w:val="1F4E79"/>
          <w:sz w:val="32"/>
          <w:szCs w:val="32"/>
        </w:rPr>
        <w:t xml:space="preserve">第四節　系統時期（1960—1980）：開放與權變</w:t>
      </w:r>
    </w:p>
    <w:p>
      <w:pPr>
        <w:pStyle w:val="Heading2"/>
        <w:spacing w:after="120" w:before="260"/>
      </w:pPr>
      <w:r>
        <w:rPr>
          <w:rFonts w:ascii="Noto Sans CJK TC" w:cs="Noto Sans CJK TC" w:eastAsia="Noto Sans CJK TC" w:hAnsi="Noto Sans CJK TC"/>
          <w:b/>
          <w:bCs/>
          <w:color w:val="2E75B6"/>
          <w:sz w:val="26"/>
          <w:szCs w:val="26"/>
        </w:rPr>
        <w:t xml:space="preserve">一、開放系統論</w:t>
      </w:r>
    </w:p>
    <w:p>
      <w:pPr>
        <w:spacing w:after="40" w:before="40" w:line="360"/>
        <w:ind w:firstLine="420"/>
        <w:jc w:val="left"/>
      </w:pPr>
      <w:r>
        <w:t>開放系統理論將組織視為與外部環境持續交換資源、資訊與支持的系統。其重要概念包括投入—轉換—產出、回饋、系統界限、次級系統、動態平衡、分工合作與殊途同歸。其基本啟示是：行政組織不能脫離政治、經濟、社會與科技環境而獨立理解；相同的管理措施，在不同環境中可能產生不同結果。</w:t>
      </w:r>
    </w:p>
    <w:p>
      <w:pPr>
        <w:pStyle w:val="Heading2"/>
        <w:spacing w:after="120" w:before="260"/>
      </w:pPr>
      <w:r>
        <w:rPr>
          <w:rFonts w:ascii="Noto Sans CJK TC" w:cs="Noto Sans CJK TC" w:eastAsia="Noto Sans CJK TC" w:hAnsi="Noto Sans CJK TC"/>
          <w:b/>
          <w:bCs/>
          <w:color w:val="2E75B6"/>
          <w:sz w:val="26"/>
          <w:szCs w:val="26"/>
        </w:rPr>
        <w:t xml:space="preserve">二、社會系統論</w:t>
      </w:r>
    </w:p>
    <w:p>
      <w:pPr>
        <w:spacing w:after="40" w:before="40" w:line="360"/>
        <w:ind w:firstLine="42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2"/>
          <w:szCs w:val="22"/>
        </w:rPr>
        <w:t xml:space="preserve">Parsons提出社會系統的四項基本功能：適應、目標達成、整合、模式維持；並進一步區分三個次級管理系統：策略次級系統、管理（協調）次級系統、技術（運作）次級系統。Kast與Rosenzweig則提出組織的五個次級系統：結構次級系統（組織中人員正式的權責分配與相互關係）、技術次級系統（組織達成目的所需的各種技術與知識）、心理—社會次級系統（個人之間、團體之間及個人與團體之間的交互行為）、目標與價值次級系統（組織對社會的貢獻須符合社會需求），以及貫穿整合前四者、負責整合協調與控制的管理次級系統。</w:t>
      </w:r>
    </w:p>
    <w:p>
      <w:pPr>
        <w:pStyle w:val="Heading2"/>
        <w:spacing w:after="120" w:before="260"/>
      </w:pPr>
      <w:r>
        <w:rPr>
          <w:rFonts w:ascii="Noto Sans CJK TC" w:cs="Noto Sans CJK TC" w:eastAsia="Noto Sans CJK TC" w:hAnsi="Noto Sans CJK TC"/>
          <w:b/>
          <w:bCs/>
          <w:color w:val="2E75B6"/>
          <w:sz w:val="26"/>
          <w:szCs w:val="26"/>
        </w:rPr>
        <w:t xml:space="preserve">三、行政生態學與權變理論</w:t>
      </w:r>
    </w:p>
    <w:p>
      <w:pPr>
        <w:spacing w:after="40" w:before="40" w:line="360"/>
        <w:ind w:firstLine="420"/>
        <w:jc w:val="left"/>
      </w:pPr>
      <w:r>
        <w:t>權變理論進一步主張，管理不存在脫離情境而普遍有效的單一最佳方法，組織結構與管理方式必須與環境、任務、技術及其他條件相互配合。其核心不是「什麼都可以」，而是要求管理者辨識情境條件，建立「若……則……」的分析關係。Riggs的行政生態學則將行政制度放回社會環境與發展脈絡中考察，推動比較行政與發展行政研究。由此，行政學的問題意識從「如何建立最佳組織」逐漸轉向「什麼條件下，何種制度與管理方式較為適切」。</w:t>
      </w:r>
    </w:p>
    <w:p>
      <w:r>
        <w:t>第五節　新公共行政：從效率轉向價值、正義與回應性</w:t>
      </w:r>
    </w:p>
    <w:p>
      <w:r>
        <w:t>1960年代後期至1970年代，新公共行政（New Public Administration, NPA）對過度強調效率、價值中立與技術理性的行政觀提出反思。其重要關懷包括社會公平（social equity）、回應性（responsiveness）、參與以及公共行政的價值承擔。這一轉向的重要意義，在於提醒行政學：行政不只是「把事情做對」，也必須追問「做什麼才是公共上正當的事」。因此，效率不再是唯一的行政價值，而必須與公平、民主、回應性等價值共同考量。</w:t>
      </w:r>
    </w:p>
    <w:p>
      <w:r>
        <w:t>從25座標來看，新公共行政的重要位置是在「哲學與價值」層次重新提出問題，並將行政與社會結構、弱勢群體及公共利益的關係拉得更近。這也成為後續新公共服務、公共價值與治理理論的重要思想背景。</w:t>
      </w:r>
    </w:p>
    <w:p>
      <w:pPr>
        <w:pStyle w:val="Heading1"/>
        <w:spacing w:after="160" w:before="300"/>
      </w:pPr>
      <w:r>
        <w:t>第六節　當代典範：從新公共管理到後新公共管理的深化（1980年代以後）</w:t>
      </w:r>
    </w:p>
    <w:p>
      <w:pPr>
        <w:spacing w:after="40" w:before="40" w:line="360"/>
        <w:ind w:firstLine="420"/>
        <w:jc w:val="left"/>
      </w:pPr>
      <w:r>
        <w:t>1980年代以後，財政壓力、政府績效要求、公共選擇理論與新自由主義思潮等因素，促成新公共管理（New Public Management, NPM）的興起。此後公共行政並未沿著單一路線發展，而是形成市場、民主、公共價值、網絡、數位與行為等多重理論並存的局面。本節依序介紹這些重要發展，重點不在判定哪一個典範「取代」另一個，而在理解它們各自處理什麼問題。</w:t>
      </w:r>
    </w:p>
    <w:p>
      <w:pPr>
        <w:pStyle w:val="Heading2"/>
        <w:spacing w:after="120" w:before="260"/>
      </w:pPr>
      <w:r>
        <w:t>先把三欄假設攤開：傳統公共行政、新公共管理、新公共服務</w:t>
      </w:r>
    </w:p>
    <w:p>
      <w:pPr>
        <w:spacing w:after="40" w:before="40" w:line="360"/>
        <w:ind w:firstLine="420"/>
        <w:jc w:val="left"/>
      </w:pPr>
      <w:r>
        <w:t>本節接下來會補充2006年以後的公共價值管理、新公共治理與數位時代治理。這些延伸必須先建立在傳統公共行政、新公共管理與新公共服務的比較基礎上，才能看出後續典範究竟改變了什麼。</w:t>
      </w:r>
    </w:p>
    <w:p>
      <w:pPr>
        <w:spacing w:after="60" w:before="120"/>
        <w:jc w:val="center"/>
      </w:pPr>
      <w:r>
        <w:drawing>
          <wp:inline distT="0" distB="0" distL="0" distR="0">
            <wp:extent cx="4572000" cy="3048000"/>
            <wp:effectExtent t="0" r="0" b="0" l="0"/>
            <wp:docPr id="1" name="圖2-1" descr="公共行政理論的三大典範比較（舊公共行政、新公共管理、新公共服務）" title="圖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80" w:line="360"/>
        <w:jc w:val="center"/>
      </w:pPr>
      <w:r>
        <w:rPr>
          <w:rFonts w:ascii="Noto Sans CJK TC" w:cs="Noto Sans CJK TC" w:eastAsia="Noto Sans CJK TC" w:hAnsi="Noto Sans CJK TC"/>
          <w:b w:val="false"/>
          <w:bCs w:val="false"/>
          <w:i/>
          <w:iCs/>
          <w:color w:val="000000"/>
          <w:sz w:val="20"/>
          <w:szCs w:val="20"/>
        </w:rPr>
        <w:t xml:space="preserve">圖2-1　公共行政理論的三大典範比較（舊公共行政、新公共管理、新公共服務）</w:t>
      </w:r>
    </w:p>
    <w:p>
      <w:pPr>
        <w:spacing w:after="40" w:before="40" w:line="360"/>
        <w:ind w:firstLine="42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2"/>
          <w:szCs w:val="22"/>
        </w:rPr>
        <w:t xml:space="preserve">先讀上面兩列：認識論與人性假設。左欄以政治理論與社會評論為底，把人寫成「行政人」——在層級裡求綜觀、守程序。中欄改以較精緻的經濟理論為底，把人寫成「經濟人」或自利決策者。右欄回到民主理論，理性是在政治、經濟、組織之間被測試的策略理性，而不是單一最佳解。這一列若沒讀懂，後面「對誰負責」只會變成立場選擇。</w:t>
      </w:r>
    </w:p>
    <w:p>
      <w:pPr>
        <w:spacing w:after="40" w:before="40" w:line="360"/>
        <w:ind w:firstLine="42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2"/>
          <w:szCs w:val="22"/>
        </w:rPr>
        <w:t xml:space="preserve">再讀公共利益、對誰負責、政府角色。左欄認為公益可以由法律明確界定，公務員對選民負責，政府是划槳者。中欄把公益看成個人利益的總和，公務員對顧客負責，政府改當掌舵者。右欄主張公益是對話中形成的共享價值，公務員對公民負責，政府是服務者。三欄爭的不是服務態度，是「公共」還有沒有獨立於加總偏好與契約績效之外的位置。</w:t>
      </w:r>
    </w:p>
    <w:p>
      <w:pPr>
        <w:spacing w:after="40" w:before="40" w:line="360"/>
        <w:ind w:firstLine="42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2"/>
          <w:szCs w:val="22"/>
        </w:rPr>
        <w:t xml:space="preserve">機制與組織把價值落成機關。左欄靠既有政府機關與向上權威清楚的科層；中欄靠誘因、契約與去中心化；右欄靠公民、非營利與私部門的夥伴聯盟。第二節的POSDCORB與Weber並未被取消：多數政府的日常骨架仍是科層，被改寫的是骨架外面還能接上什麼。</w:t>
      </w:r>
    </w:p>
    <w:p>
      <w:pPr>
        <w:spacing w:after="40" w:before="40" w:line="360"/>
        <w:ind w:firstLine="42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2"/>
          <w:szCs w:val="22"/>
        </w:rPr>
        <w:t xml:space="preserve">動機、問責與裁量最容易混。左欄以永業與層級問責支撐有限裁量；中欄以企業精神與市場選擇鼓勵追求企業目標的裁量；右欄把動機放回公共服務，問責是法律、社群、政治、專業與公民利益同時守住，裁量需要但受限制。總體特色可記：左欄重法規程序控制，中欄重效率市場績效，右欄重公民參與與共同價值。特色是結果，起點是三欄對「人是誰、公是什麼、錯了找誰」的答案不同。</w:t>
      </w:r>
    </w:p>
    <w:p>
      <w:pPr>
        <w:pStyle w:val="Heading3"/>
        <w:spacing w:after="100" w:before="200"/>
      </w:pPr>
      <w:r>
        <w:rPr>
          <w:rFonts w:ascii="Noto Sans CJK TC" w:cs="Noto Sans CJK TC" w:eastAsia="Noto Sans CJK TC" w:hAnsi="Noto Sans CJK TC"/>
          <w:b/>
          <w:bCs/>
          <w:color w:val="404040"/>
          <w:sz w:val="24"/>
          <w:szCs w:val="24"/>
        </w:rPr>
        <w:t xml:space="preserve">觀念釐清：這張圖不是三選一，也不是新的蓋過舊的</w:t>
      </w:r>
    </w:p>
    <w:p>
      <w:pPr>
        <w:spacing w:after="40" w:before="40" w:line="360"/>
        <w:ind w:firstLine="42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2"/>
          <w:szCs w:val="22"/>
        </w:rPr>
        <w:t xml:space="preserve">三套假設並存，才會在AI治理裡互相拉扯。客服機器人把民眾預設成顧客，中欄先被寫進介面；若理由說明與救濟仍要對公民成立，右欄與左欄的依法、問責就不能被介面取消。申論有效的寫法是選一列——例如「對誰負責」或「行政裁量」——先把三欄的傳統答案寫清楚，再指出系統上線時預設了哪一欄，最後說明另外兩欄哪些約束必須寫回作業。</w:t>
      </w:r>
    </w:p>
    <w:p>
      <w:pPr>
        <w:spacing w:after="60" w:before="200"/>
        <w:jc w:val="center"/>
      </w:pPr>
      <w:r>
        <w:drawing>
          <wp:inline distT="0" distB="0" distL="0" distR="0">
            <wp:extent cx="5029200" cy="2206256"/>
            <wp:effectExtent t="0" r="0" b="0" l="0"/>
            <wp:docPr id="2" name="圖2-2" descr="企業家精神與民主政治的張力" title="圖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206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 w:before="80" w:line="360"/>
        <w:jc w:val="center"/>
      </w:pPr>
      <w:r>
        <w:rPr>
          <w:rFonts w:ascii="Noto Sans CJK TC" w:cs="Noto Sans CJK TC" w:eastAsia="Noto Sans CJK TC" w:hAnsi="Noto Sans CJK TC"/>
          <w:b w:val="false"/>
          <w:bCs w:val="false"/>
          <w:i/>
          <w:iCs/>
          <w:color w:val="000000"/>
          <w:sz w:val="20"/>
          <w:szCs w:val="20"/>
        </w:rPr>
        <w:t xml:space="preserve">圖2-2　企業家精神與民主政治的張力</w:t>
      </w:r>
    </w:p>
    <w:p>
      <w:pPr>
        <w:pStyle w:val="Heading2"/>
        <w:spacing w:after="120" w:before="260"/>
      </w:pPr>
      <w:r>
        <w:rPr>
          <w:rFonts w:ascii="Noto Sans CJK TC" w:cs="Noto Sans CJK TC" w:eastAsia="Noto Sans CJK TC" w:hAnsi="Noto Sans CJK TC"/>
          <w:b/>
          <w:bCs/>
          <w:color w:val="2E75B6"/>
          <w:sz w:val="26"/>
          <w:szCs w:val="26"/>
        </w:rPr>
        <w:t xml:space="preserve">一、公共價值管理（Public Value Management, PVM）</w:t>
      </w:r>
    </w:p>
    <w:p>
      <w:pPr>
        <w:spacing w:after="40" w:before="40" w:line="360"/>
        <w:ind w:firstLine="420"/>
        <w:jc w:val="left"/>
      </w:pPr>
      <w:r>
        <w:t>Mark Moore（1995）在《創造公共價值》（Creating Public Value）中，將公共管理者面對的核心問題由單純的效率，擴展至「創造何種公共價值，以及如何取得正當性與執行能力」。其著名的「策略三角」強調公共價值、合法性與支持、操作能力三者之間的配合。公共價值管理的重要意義，是把價值判斷重新帶回管理與政策執行之中；公共管理者不能只問投入與產出，也必須問其行動是否獲得正當性，以及是否真正回應公共需要。</w:t>
      </w:r>
    </w:p>
    <w:p>
      <w:pPr>
        <w:pStyle w:val="Heading2"/>
        <w:spacing w:after="120" w:before="260"/>
      </w:pPr>
      <w:r>
        <w:rPr>
          <w:rFonts w:ascii="Noto Sans CJK TC" w:cs="Noto Sans CJK TC" w:eastAsia="Noto Sans CJK TC" w:hAnsi="Noto Sans CJK TC"/>
          <w:b/>
          <w:bCs/>
          <w:color w:val="2E75B6"/>
          <w:sz w:val="26"/>
          <w:szCs w:val="26"/>
        </w:rPr>
        <w:t xml:space="preserve">二、新公共治理（New Public Governance, NPG）</w:t>
      </w:r>
    </w:p>
    <w:p>
      <w:pPr>
        <w:spacing w:after="40" w:before="40" w:line="360"/>
        <w:ind w:firstLine="420"/>
        <w:jc w:val="left"/>
      </w:pPr>
      <w:r>
        <w:t>Stephen Osborne（2006）提出新公共治理（New Public Governance, NPG），將公共服務放在多元組織與網絡關係中理解。其核心關懷包括跨部門互賴、網絡關係、共同生產與服務系統，而非僅以單一政府機關或市場契約解釋公共服務。與NPM相比，NPG更重視關係、互賴與共同治理；但兩者在現實治理中可以並存。</w:t>
      </w:r>
    </w:p>
    <w:p>
      <w:pPr>
        <w:pStyle w:val="Heading2"/>
        <w:spacing w:after="120" w:before="260"/>
      </w:pPr>
      <w:r>
        <w:rPr>
          <w:rFonts w:ascii="Noto Sans CJK TC" w:cs="Noto Sans CJK TC" w:eastAsia="Noto Sans CJK TC" w:hAnsi="Noto Sans CJK TC"/>
          <w:b/>
          <w:bCs/>
          <w:color w:val="2E75B6"/>
          <w:sz w:val="26"/>
          <w:szCs w:val="26"/>
        </w:rPr>
        <w:t xml:space="preserve">三、數位時代治理（Digital Era Governance, DEG）</w:t>
      </w:r>
    </w:p>
    <w:p>
      <w:pPr>
        <w:spacing w:after="40" w:before="40" w:line="360"/>
        <w:ind w:firstLine="420"/>
        <w:jc w:val="left"/>
      </w:pPr>
      <w:r>
        <w:t>Dunleavy與Margetts（2006）提出數位時代治理（Digital Era Governance, DEG），針對新公共管理造成的碎片化，強調再整合（reintegration）、整體主義／以需求為本的組織設計，以及數位化。後續數位治理研究進一步把資料、平台與演算法納入政府運作的核心。這表示數位轉型不只是把紙本流程搬到線上，而可能改變政府組織整合、服務設計與決策方式。</w:t>
      </w:r>
    </w:p>
    <w:p>
      <w:pPr>
        <w:pStyle w:val="Heading2"/>
        <w:spacing w:after="120" w:before="260"/>
      </w:pPr>
      <w:r>
        <w:rPr>
          <w:rFonts w:ascii="Noto Sans CJK TC" w:cs="Noto Sans CJK TC" w:eastAsia="Noto Sans CJK TC" w:hAnsi="Noto Sans CJK TC"/>
          <w:b/>
          <w:bCs/>
          <w:color w:val="2E75B6"/>
          <w:sz w:val="26"/>
          <w:szCs w:val="26"/>
        </w:rPr>
        <w:t xml:space="preserve">四、行為公共行政與公共服務動機</w:t>
      </w:r>
    </w:p>
    <w:p>
      <w:pPr>
        <w:spacing w:after="40" w:before="40" w:line="360"/>
        <w:ind w:firstLine="420"/>
        <w:jc w:val="left"/>
      </w:pPr>
      <w:r>
        <w:t>James Perry與Lois Wise（1990）將公共服務動機（Public Service Motivation, PSM）系統化為重要研究概念，強調個人可能因公共利益、公共服務與公共價值而產生服務動機。後續研究發展出不同測量構面，並探討其與組織、制度及個人因素的關係。與行為公共行政相互呼應的是：公共行政中的行動者並非完全理性的計算者，其動機、認知與偏誤都可能影響行政結果。</w:t>
      </w:r>
    </w:p>
    <w:p>
      <w:pPr>
        <w:pStyle w:val="Heading2"/>
        <w:spacing w:after="120" w:before="260"/>
      </w:pPr>
      <w:r>
        <w:rPr>
          <w:rFonts w:ascii="Noto Sans CJK TC" w:cs="Noto Sans CJK TC" w:eastAsia="Noto Sans CJK TC" w:hAnsi="Noto Sans CJK TC"/>
          <w:b/>
          <w:bCs/>
          <w:color w:val="2E75B6"/>
          <w:sz w:val="26"/>
          <w:szCs w:val="26"/>
        </w:rPr>
        <w:t xml:space="preserve">五、協同治理與韌性治理</w:t>
      </w:r>
    </w:p>
    <w:p>
      <w:pPr>
        <w:spacing w:after="40" w:before="40" w:line="360"/>
        <w:ind w:firstLine="42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2"/>
          <w:szCs w:val="22"/>
        </w:rPr>
        <w:t xml:space="preserve">Ansell與Gash（2008）將「協同治理」（Collaborative Governance）定義為：政府與非政府利害關係人以正式、共識導向、審議的方式進行集體決策，並歸納出六項要件：由政府發起、納入非政府參與者、正式的集體決策程序、以共識為導向、具審議性質，以及以公共政策為導向。近年研究進一步發展出「大規模協同治理」的概念，強調策略管理與協同治理須同時因應大規模的治理需求。「韌性治理」（Resilient Governance）則因COVID-19疫情、氣候變遷與資安威脅而興起，Deloitte（2024）《政府趨勢報告》指出，科技、流程、政策、人才與監理五者的融合，可望大幅提升施政效能，其中數位韌性——上雲策略、資安防護、資料保存與服務持續性——是關鍵所在。台灣在COVID-19疫情期間的口罩地圖與1922簡訊實聯制，即是協同治理與韌性治理的具體實踐案例。</w:t>
      </w:r>
    </w:p>
    <w:p>
      <w:pPr>
        <w:pStyle w:val="Heading2"/>
        <w:spacing w:after="120" w:before="260"/>
      </w:pPr>
      <w:r>
        <w:rPr>
          <w:rFonts w:ascii="Noto Sans CJK TC" w:cs="Noto Sans CJK TC" w:eastAsia="Noto Sans CJK TC" w:hAnsi="Noto Sans CJK TC"/>
          <w:b/>
          <w:bCs/>
          <w:color w:val="2E75B6"/>
          <w:sz w:val="26"/>
          <w:szCs w:val="26"/>
        </w:rPr>
        <w:t xml:space="preserve">六、開放政府與公民共創</w:t>
      </w:r>
    </w:p>
    <w:p>
      <w:pPr>
        <w:spacing w:after="40" w:before="40" w:line="360"/>
        <w:ind w:firstLine="420"/>
        <w:jc w:val="left"/>
      </w:pPr>
      <w:r>
        <w:t>綜合上述發展，2020年代公共行政的重要趨勢包括開放政府、數位治理、跨部門協力與公民共創。開放政府強調透明、參與與課責；公民共創則強調公民不只是服務接受者，也可能參與問題界定、服務設計與政策執行。這些發展顯示，當代公共行政已難以只用「政府單獨提供服務」的單一模式理解。</w:t>
      </w:r>
    </w:p>
    <w:p>
      <w:pPr>
        <w:spacing w:after="40" w:before="40" w:line="360"/>
        <w:ind w:firstLine="42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2"/>
          <w:szCs w:val="22"/>
        </w:rPr>
        <w:t xml:space="preserve">以下彙整上述六個當代典範，對照其對人民的定位、政府角色、績效觀與代表文獻：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100"/>
        <w:gridCol w:w="1400"/>
        <w:gridCol w:w="1800"/>
        <w:gridCol w:w="1600"/>
        <w:gridCol w:w="2138"/>
      </w:tblGrid>
      <w:tr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1F4E79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b/>
                <w:bCs/>
                <w:color w:val="FFFFFF"/>
                <w:sz w:val="16"/>
                <w:szCs w:val="16"/>
              </w:rPr>
              <w:t xml:space="preserve">典範</w:t>
            </w:r>
          </w:p>
        </w:tc>
        <w:tc>
          <w:tcPr>
            <w:tcW w:type="dxa" w:w="11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1F4E79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b/>
                <w:bCs/>
                <w:color w:val="FFFFFF"/>
                <w:sz w:val="16"/>
                <w:szCs w:val="16"/>
              </w:rPr>
              <w:t xml:space="preserve">年代</w:t>
            </w:r>
          </w:p>
        </w:tc>
        <w:tc>
          <w:tcPr>
            <w:tcW w:type="dxa" w:w="14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1F4E79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b/>
                <w:bCs/>
                <w:color w:val="FFFFFF"/>
                <w:sz w:val="16"/>
                <w:szCs w:val="16"/>
              </w:rPr>
              <w:t xml:space="preserve">對人民定位</w:t>
            </w:r>
          </w:p>
        </w:tc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1F4E79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b/>
                <w:bCs/>
                <w:color w:val="FFFFFF"/>
                <w:sz w:val="16"/>
                <w:szCs w:val="16"/>
              </w:rPr>
              <w:t xml:space="preserve">政府角色</w:t>
            </w:r>
          </w:p>
        </w:tc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1F4E79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b/>
                <w:bCs/>
                <w:color w:val="FFFFFF"/>
                <w:sz w:val="16"/>
                <w:szCs w:val="16"/>
              </w:rPr>
              <w:t xml:space="preserve">績效觀</w:t>
            </w:r>
          </w:p>
        </w:tc>
        <w:tc>
          <w:tcPr>
            <w:tcW w:type="dxa" w:w="2138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1F4E79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b/>
                <w:bCs/>
                <w:color w:val="FFFFFF"/>
                <w:sz w:val="16"/>
                <w:szCs w:val="16"/>
              </w:rPr>
              <w:t xml:space="preserve">代表文獻</w:t>
            </w:r>
          </w:p>
        </w:tc>
      </w:tr>
      <w:tr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5F9FC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新公共管理（NPM）</w:t>
            </w:r>
          </w:p>
        </w:tc>
        <w:tc>
          <w:tcPr>
            <w:tcW w:type="dxa" w:w="11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5F9FC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1980—</w:t>
            </w:r>
          </w:p>
        </w:tc>
        <w:tc>
          <w:tcPr>
            <w:tcW w:type="dxa" w:w="14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5F9FC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顧客</w:t>
            </w:r>
          </w:p>
        </w:tc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5F9FC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掌舵者、分權外包</w:t>
            </w:r>
          </w:p>
        </w:tc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5F9FC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效率、市場</w:t>
            </w:r>
          </w:p>
        </w:tc>
        <w:tc>
          <w:tcPr>
            <w:tcW w:type="dxa" w:w="2138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5F9FC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Hood 1991</w:t>
            </w:r>
          </w:p>
        </w:tc>
      </w:tr>
      <w:tr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新公共服務（NPS）</w:t>
            </w:r>
          </w:p>
        </w:tc>
        <w:tc>
          <w:tcPr>
            <w:tcW w:type="dxa" w:w="11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2000—</w:t>
            </w:r>
          </w:p>
        </w:tc>
        <w:tc>
          <w:tcPr>
            <w:tcW w:type="dxa" w:w="14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公民</w:t>
            </w:r>
          </w:p>
        </w:tc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服務者</w:t>
            </w:r>
          </w:p>
        </w:tc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民主、公平</w:t>
            </w:r>
          </w:p>
        </w:tc>
        <w:tc>
          <w:tcPr>
            <w:tcW w:type="dxa" w:w="2138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Denhardt 2003</w:t>
            </w:r>
          </w:p>
        </w:tc>
      </w:tr>
      <w:tr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5F9FC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公共價值管理（PVM）</w:t>
            </w:r>
          </w:p>
        </w:tc>
        <w:tc>
          <w:tcPr>
            <w:tcW w:type="dxa" w:w="11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5F9FC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1995—</w:t>
            </w:r>
          </w:p>
        </w:tc>
        <w:tc>
          <w:tcPr>
            <w:tcW w:type="dxa" w:w="14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5F9FC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集體公民</w:t>
            </w:r>
          </w:p>
        </w:tc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5F9FC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價值創造探險家</w:t>
            </w:r>
          </w:p>
        </w:tc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5F9FC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公共價值</w:t>
            </w:r>
          </w:p>
        </w:tc>
        <w:tc>
          <w:tcPr>
            <w:tcW w:type="dxa" w:w="2138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5F9FC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Moore 1995; Stoker 2006</w:t>
            </w:r>
          </w:p>
        </w:tc>
      </w:tr>
      <w:tr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新公共治理（NPG）</w:t>
            </w:r>
          </w:p>
        </w:tc>
        <w:tc>
          <w:tcPr>
            <w:tcW w:type="dxa" w:w="11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2006—</w:t>
            </w:r>
          </w:p>
        </w:tc>
        <w:tc>
          <w:tcPr>
            <w:tcW w:type="dxa" w:w="14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共同生產者</w:t>
            </w:r>
          </w:p>
        </w:tc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網絡協調者</w:t>
            </w:r>
          </w:p>
        </w:tc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信任、正當性（多重）</w:t>
            </w:r>
          </w:p>
        </w:tc>
        <w:tc>
          <w:tcPr>
            <w:tcW w:type="dxa" w:w="2138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Osborne 2006, 2010</w:t>
            </w:r>
          </w:p>
        </w:tc>
      </w:tr>
      <w:tr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5F9FC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數位時代治理（DEG）</w:t>
            </w:r>
          </w:p>
        </w:tc>
        <w:tc>
          <w:tcPr>
            <w:tcW w:type="dxa" w:w="11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5F9FC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2006—2024</w:t>
            </w:r>
          </w:p>
        </w:tc>
        <w:tc>
          <w:tcPr>
            <w:tcW w:type="dxa" w:w="14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5F9FC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數位使用者</w:t>
            </w:r>
          </w:p>
        </w:tc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5F9FC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平台整合者、演算法治理者</w:t>
            </w:r>
          </w:p>
        </w:tc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5F9FC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再整合、整體、數位</w:t>
            </w:r>
          </w:p>
        </w:tc>
        <w:tc>
          <w:tcPr>
            <w:tcW w:type="dxa" w:w="2138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5F9FC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Dunleavy &amp; Margetts 2006, 2023</w:t>
            </w:r>
          </w:p>
        </w:tc>
      </w:tr>
      <w:tr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行為公共行政／PSM</w:t>
            </w:r>
          </w:p>
        </w:tc>
        <w:tc>
          <w:tcPr>
            <w:tcW w:type="dxa" w:w="11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1990—2022</w:t>
            </w:r>
          </w:p>
        </w:tc>
        <w:tc>
          <w:tcPr>
            <w:tcW w:type="dxa" w:w="14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有動機與偏誤的個體</w:t>
            </w:r>
          </w:p>
        </w:tc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行為洞察運用者</w:t>
            </w:r>
          </w:p>
        </w:tc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行為改變、動機</w:t>
            </w:r>
          </w:p>
        </w:tc>
        <w:tc>
          <w:tcPr>
            <w:tcW w:type="dxa" w:w="2138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Perry &amp; Wise 1990; Perry &amp; Ritz 2022</w:t>
            </w:r>
          </w:p>
        </w:tc>
      </w:tr>
      <w:tr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5F9FC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協同治理／韌性治理</w:t>
            </w:r>
          </w:p>
        </w:tc>
        <w:tc>
          <w:tcPr>
            <w:tcW w:type="dxa" w:w="11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5F9FC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2008—2024</w:t>
            </w:r>
          </w:p>
        </w:tc>
        <w:tc>
          <w:tcPr>
            <w:tcW w:type="dxa" w:w="14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5F9FC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協力夥伴</w:t>
            </w:r>
          </w:p>
        </w:tc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5F9FC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韌性系統建構者</w:t>
            </w:r>
          </w:p>
        </w:tc>
        <w:tc>
          <w:tcPr>
            <w:tcW w:type="dxa" w:w="16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5F9FC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適應、永續、資安</w:t>
            </w:r>
          </w:p>
        </w:tc>
        <w:tc>
          <w:tcPr>
            <w:tcW w:type="dxa" w:w="2138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5F9FC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sz w:val="15"/>
                <w:szCs w:val="15"/>
              </w:rPr>
              <w:t xml:space="preserve">Ansell &amp; Gash 2008; Deloitte 2024</w:t>
            </w:r>
          </w:p>
        </w:tc>
      </w:tr>
    </w:tbl>
    <w:p>
      <w:pPr>
        <w:spacing w:after="120" w:before="80" w:line="360"/>
        <w:jc w:val="center"/>
      </w:pPr>
      <w:r>
        <w:rPr>
          <w:rFonts w:ascii="Noto Sans CJK TC" w:cs="Noto Sans CJK TC" w:eastAsia="Noto Sans CJK TC" w:hAnsi="Noto Sans CJK TC"/>
          <w:b w:val="false"/>
          <w:bCs w:val="false"/>
          <w:i/>
          <w:iCs/>
          <w:color w:val="000000"/>
          <w:sz w:val="20"/>
          <w:szCs w:val="20"/>
        </w:rPr>
        <w:t xml:space="preserve">表2-4　後新公共管理典範演進與最新文獻對照（2006—2024補強）</w:t>
      </w:r>
    </w:p>
    <w:p>
      <w:pPr>
        <w:spacing w:after="40" w:before="40" w:line="360"/>
        <w:ind w:firstLine="420"/>
        <w:jc w:val="left"/>
      </w:pPr>
      <w:r>
        <w:t>表2-4整理2006年以後的重要典範。讀表時可先看「對人民定位」與「政府角色」，再比較績效觀與代表文獻。這張表的功能是建立理論地圖，而不是要求讀者只背誦典範縮寫。</w:t>
      </w:r>
    </w:p>
    <w:p>
      <w:pPr>
        <w:pStyle w:val="Heading1"/>
        <w:spacing w:after="160" w:before="300"/>
      </w:pPr>
      <w:r>
        <w:rPr>
          <w:rFonts w:ascii="Noto Sans CJK TC" w:cs="Noto Sans CJK TC" w:eastAsia="Noto Sans CJK TC" w:hAnsi="Noto Sans CJK TC"/>
          <w:b/>
          <w:bCs/>
          <w:color w:val="1F4E79"/>
          <w:sz w:val="32"/>
          <w:szCs w:val="32"/>
        </w:rPr>
        <w:t xml:space="preserve">AI鑲嵌後的權力與結構變化</w:t>
      </w:r>
    </w:p>
    <w:p>
      <w:pPr>
        <w:spacing w:after="40" w:before="40" w:line="360"/>
        <w:ind w:firstLine="42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2"/>
          <w:szCs w:val="22"/>
        </w:rPr>
        <w:t xml:space="preserve">AI並不只是「另一項新工具」，而是正在改寫上述所有典範背後的核心假設：</w:t>
      </w:r>
    </w:p>
    <w:p>
      <w:pPr>
        <w:pStyle w:val="Heading2"/>
        <w:spacing w:after="120" w:before="260"/>
      </w:pPr>
      <w:r>
        <w:t>三種權力移轉：誰在定義、判斷與影響？</w:t>
      </w:r>
    </w:p>
    <w:p>
      <w:pPr>
        <w:pStyle w:val="ListParagraph"/>
        <w:numPr>
          <w:ilvl w:val="0"/>
          <w:numId w:val="3"/>
        </w:numPr>
        <w:spacing w:after="40" w:before="40" w:line="360"/>
      </w:pPr>
      <w:r>
        <w:t>情境建構權（P1）：當演算法依據資料標記高風險個案、推薦優先議題或進行分類時，原本由政治人物、行政人員或專業者界定「問題是什麼」的部分工作，可能轉由資料與模型參與。真正需要追問的不是AI是否完全取代人，而是誰設定資料、指標與分類規則，以及誰有權修正它。</w:t>
      </w:r>
    </w:p>
    <w:p>
      <w:pPr>
        <w:pStyle w:val="ListParagraph"/>
        <w:numPr>
          <w:ilvl w:val="0"/>
          <w:numId w:val="3"/>
        </w:numPr>
        <w:spacing w:after="40" w:before="40" w:line="360"/>
      </w:pPr>
      <w:r>
        <w:t>行政裁量權（P2）：當機器學習模型提供預測、排序或建議時，公務員的裁量可能受到新的資訊結構影響。AI未必直接消除裁量，但可能把裁量由「是否採取行動」轉移到「是否採納模型、如何設定門檻、何時覆核模型」。</w:t>
      </w:r>
    </w:p>
    <w:p>
      <w:pPr>
        <w:pStyle w:val="ListParagraph"/>
        <w:numPr>
          <w:ilvl w:val="0"/>
          <w:numId w:val="3"/>
        </w:numPr>
        <w:spacing w:after="40" w:before="40" w:line="360"/>
      </w:pPr>
      <w:r>
        <w:t>公權力影響力（P3）：AI可以透過即時資料、自動化流程與平台擴大行政決策的速度與範圍；若模型由跨部門或跨國企業提供，政府的治理能力也可能與私人技術能力形成新的依賴關係。因此，權力問題不只是政府是否更強，也包括誰控制資料、模型與基礎設施。</w:t>
      </w:r>
    </w:p>
    <w:p>
      <w:pPr>
        <w:pStyle w:val="Heading2"/>
        <w:spacing w:after="120" w:before="260"/>
      </w:pPr>
      <w:r>
        <w:t>三種結構性效應：AI如何改變治理邊界？</w:t>
      </w:r>
    </w:p>
    <w:p>
      <w:pPr>
        <w:pStyle w:val="ListParagraph"/>
        <w:numPr>
          <w:ilvl w:val="0"/>
          <w:numId w:val="4"/>
        </w:numPr>
        <w:spacing w:after="40" w:before="40" w:line="360"/>
      </w:pPr>
      <w:r>
        <w:t>跨格移動：AI可以把原本主要發生在組織內部的分析、排序與決策支援，延伸到個人服務、社會治理甚至跨境治理，因而使25座標之間的界線變得更具流動性。</w:t>
      </w:r>
    </w:p>
    <w:p>
      <w:pPr>
        <w:pStyle w:val="ListParagraph"/>
        <w:numPr>
          <w:ilvl w:val="0"/>
          <w:numId w:val="4"/>
        </w:numPr>
        <w:spacing w:after="40" w:before="40" w:line="360"/>
      </w:pPr>
      <w:r>
        <w:t>邊界消解：當政府使用外部雲端、模型、資料平台或AI服務時，公私部門之間的功能界線可能變得更模糊。這並不代表公私界線消失，而是使責任、控制與依賴關係需要重新界定。</w:t>
      </w:r>
    </w:p>
    <w:p>
      <w:pPr>
        <w:pStyle w:val="ListParagraph"/>
        <w:numPr>
          <w:ilvl w:val="0"/>
          <w:numId w:val="4"/>
        </w:numPr>
        <w:spacing w:after="40" w:before="40" w:line="360"/>
      </w:pPr>
      <w:r>
        <w:t>權威重構：AI輸出的預測、分類與推薦可能被視為具有專業權威，但模型準確率本身不能取代法律授權、專業判斷與民主正當性。因而AI時代的新問題是：技術性能如何與法律、專業及民主課責共同構成行政決策的正當性？</w:t>
      </w:r>
    </w:p>
    <w:p>
      <w:pPr>
        <w:spacing w:after="40" w:before="40" w:line="360"/>
        <w:ind w:firstLine="420"/>
        <w:jc w:val="left"/>
      </w:pPr>
      <w:r>
        <w:t>本章的啟示不是要求所有古典理論都接受AI，而是要求我們重新檢視其核心假設：當資料、演算法與自動化進入行政流程後，原本由人員、組織與制度承擔的判斷、裁量與協調功能，哪些仍由人掌握、哪些轉移給系統，以及因此產生哪些新的課責問題？這正是後續章節以25座標檢視AI治理的基礎。</w:t>
      </w:r>
    </w:p>
    <w:p>
      <w:pPr>
        <w:pStyle w:val="Heading1"/>
        <w:spacing w:after="160" w:before="300"/>
      </w:pPr>
      <w:r>
        <w:rPr>
          <w:rFonts w:ascii="Noto Sans CJK TC" w:cs="Noto Sans CJK TC" w:eastAsia="Noto Sans CJK TC" w:hAnsi="Noto Sans CJK TC"/>
          <w:b/>
          <w:bCs/>
          <w:color w:val="1F4E79"/>
          <w:sz w:val="32"/>
          <w:szCs w:val="32"/>
        </w:rPr>
        <w:t xml:space="preserve">四鏈追蹤＋七項審計應用</w:t>
      </w:r>
    </w:p>
    <w:p>
      <w:pPr>
        <w:spacing w:after="40" w:before="40" w:line="360"/>
        <w:ind w:firstLine="42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2"/>
          <w:szCs w:val="22"/>
        </w:rPr>
        <w:t xml:space="preserve">以「新公共管理」與「新公共服務」兩種典範之間的競爭為例，進行一次四鏈追蹤：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4200"/>
        <w:gridCol w:w="3638"/>
      </w:tblGrid>
      <w:tr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1F4E79" w:val="clear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b/>
                <w:bCs/>
                <w:color w:val="FFFFFF"/>
                <w:sz w:val="17"/>
                <w:szCs w:val="17"/>
              </w:rPr>
              <w:t xml:space="preserve">治理鏈</w:t>
            </w:r>
          </w:p>
        </w:tc>
        <w:tc>
          <w:tcPr>
            <w:tcW w:type="dxa" w:w="4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1F4E79" w:val="clear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b/>
                <w:bCs/>
                <w:color w:val="FFFFFF"/>
                <w:sz w:val="17"/>
                <w:szCs w:val="17"/>
              </w:rPr>
              <w:t xml:space="preserve">本章關鍵問題</w:t>
            </w:r>
          </w:p>
        </w:tc>
        <w:tc>
          <w:tcPr>
            <w:tcW w:type="dxa" w:w="3638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1F4E79" w:val="clear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Noto Sans CJK TC" w:cs="Noto Sans CJK TC" w:eastAsia="Noto Sans CJK TC" w:hAnsi="Noto Sans CJK TC"/>
                <w:b/>
                <w:bCs/>
                <w:color w:val="FFFFFF"/>
                <w:sz w:val="17"/>
                <w:szCs w:val="17"/>
              </w:rPr>
              <w:t xml:space="preserve">對應審計重點</w:t>
            </w:r>
          </w:p>
        </w:tc>
      </w:tr>
      <w:tr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5F9FC" w:val="clear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r>
              <w:rPr>
                <w:rFonts w:ascii="Noto Sans CJK TC" w:cs="Noto Sans CJK TC" w:eastAsia="Noto Sans CJK TC" w:hAnsi="Noto Sans CJK TC"/>
                <w:sz w:val="16"/>
                <w:szCs w:val="16"/>
              </w:rPr>
              <w:t xml:space="preserve">情境建構鏈</w:t>
            </w:r>
          </w:p>
        </w:tc>
        <w:tc>
          <w:tcPr>
            <w:tcW w:type="dxa" w:w="4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5F9FC" w:val="clear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r>
              <w:rPr>
                <w:rFonts w:ascii="Noto Sans CJK TC" w:cs="Noto Sans CJK TC" w:eastAsia="Noto Sans CJK TC" w:hAnsi="Noto Sans CJK TC"/>
                <w:sz w:val="16"/>
                <w:szCs w:val="16"/>
              </w:rPr>
              <w:t xml:space="preserve">誰定義「顧客」或「公民」？AI訓練資料是否過度偏向都會、主流語言與主流群體？</w:t>
            </w:r>
          </w:p>
        </w:tc>
        <w:tc>
          <w:tcPr>
            <w:tcW w:type="dxa" w:w="3638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5F9FC" w:val="clear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r>
              <w:rPr>
                <w:rFonts w:ascii="Noto Sans CJK TC" w:cs="Noto Sans CJK TC" w:eastAsia="Noto Sans CJK TC" w:hAnsi="Noto Sans CJK TC"/>
                <w:sz w:val="16"/>
                <w:szCs w:val="16"/>
              </w:rPr>
              <w:t xml:space="preserve">資料代表性、裁量邊界</w:t>
            </w:r>
          </w:p>
        </w:tc>
      </w:tr>
      <w:tr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r>
              <w:rPr>
                <w:rFonts w:ascii="Noto Sans CJK TC" w:cs="Noto Sans CJK TC" w:eastAsia="Noto Sans CJK TC" w:hAnsi="Noto Sans CJK TC"/>
                <w:sz w:val="16"/>
                <w:szCs w:val="16"/>
              </w:rPr>
              <w:t xml:space="preserve">權威鏈</w:t>
            </w:r>
          </w:p>
        </w:tc>
        <w:tc>
          <w:tcPr>
            <w:tcW w:type="dxa" w:w="4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r>
              <w:rPr>
                <w:rFonts w:ascii="Noto Sans CJK TC" w:cs="Noto Sans CJK TC" w:eastAsia="Noto Sans CJK TC" w:hAnsi="Noto Sans CJK TC"/>
                <w:sz w:val="16"/>
                <w:szCs w:val="16"/>
              </w:rPr>
              <w:t xml:space="preserve">市場機制的權威（新公共管理）與民主審議的權威（新公共服務），AI強化了哪一方？</w:t>
            </w:r>
          </w:p>
        </w:tc>
        <w:tc>
          <w:tcPr>
            <w:tcW w:type="dxa" w:w="3638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r>
              <w:rPr>
                <w:rFonts w:ascii="Noto Sans CJK TC" w:cs="Noto Sans CJK TC" w:eastAsia="Noto Sans CJK TC" w:hAnsi="Noto Sans CJK TC"/>
                <w:sz w:val="16"/>
                <w:szCs w:val="16"/>
              </w:rPr>
              <w:t xml:space="preserve">裁量邊界、民主課責</w:t>
            </w:r>
          </w:p>
        </w:tc>
      </w:tr>
      <w:tr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5F9FC" w:val="clear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r>
              <w:rPr>
                <w:rFonts w:ascii="Noto Sans CJK TC" w:cs="Noto Sans CJK TC" w:eastAsia="Noto Sans CJK TC" w:hAnsi="Noto Sans CJK TC"/>
                <w:sz w:val="16"/>
                <w:szCs w:val="16"/>
              </w:rPr>
              <w:t xml:space="preserve">理由鏈</w:t>
            </w:r>
          </w:p>
        </w:tc>
        <w:tc>
          <w:tcPr>
            <w:tcW w:type="dxa" w:w="4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5F9FC" w:val="clear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r>
              <w:rPr>
                <w:rFonts w:ascii="Noto Sans CJK TC" w:cs="Noto Sans CJK TC" w:eastAsia="Noto Sans CJK TC" w:hAnsi="Noto Sans CJK TC"/>
                <w:sz w:val="16"/>
                <w:szCs w:val="16"/>
              </w:rPr>
              <w:t xml:space="preserve">為什麼採用某項績效指標或公民參與機制？理由是否可被解釋與質疑？</w:t>
            </w:r>
          </w:p>
        </w:tc>
        <w:tc>
          <w:tcPr>
            <w:tcW w:type="dxa" w:w="3638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shd w:fill="F5F9FC" w:val="clear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r>
              <w:rPr>
                <w:rFonts w:ascii="Noto Sans CJK TC" w:cs="Noto Sans CJK TC" w:eastAsia="Noto Sans CJK TC" w:hAnsi="Noto Sans CJK TC"/>
                <w:sz w:val="16"/>
                <w:szCs w:val="16"/>
              </w:rPr>
              <w:t xml:space="preserve">推理可解釋性</w:t>
            </w:r>
          </w:p>
        </w:tc>
      </w:tr>
      <w:tr>
        <w:tc>
          <w:tcPr>
            <w:tcW w:type="dxa" w:w="18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r>
              <w:rPr>
                <w:rFonts w:ascii="Noto Sans CJK TC" w:cs="Noto Sans CJK TC" w:eastAsia="Noto Sans CJK TC" w:hAnsi="Noto Sans CJK TC"/>
                <w:sz w:val="16"/>
                <w:szCs w:val="16"/>
              </w:rPr>
              <w:t xml:space="preserve">責任鏈</w:t>
            </w:r>
          </w:p>
        </w:tc>
        <w:tc>
          <w:tcPr>
            <w:tcW w:type="dxa" w:w="4200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r>
              <w:rPr>
                <w:rFonts w:ascii="Noto Sans CJK TC" w:cs="Noto Sans CJK TC" w:eastAsia="Noto Sans CJK TC" w:hAnsi="Noto Sans CJK TC"/>
                <w:sz w:val="16"/>
                <w:szCs w:val="16"/>
              </w:rPr>
              <w:t xml:space="preserve">當AI輔助的績效考核或民意分析出錯時，由誰負責？</w:t>
            </w:r>
          </w:p>
        </w:tc>
        <w:tc>
          <w:tcPr>
            <w:tcW w:type="dxa" w:w="3638"/>
            <w:tcBorders>
              <w:top w:val="single" w:color="666666" w:sz="4"/>
              <w:left w:val="single" w:color="666666" w:sz="4"/>
              <w:bottom w:val="single" w:color="666666" w:sz="4"/>
              <w:right w:val="single" w:color="666666" w:sz="4"/>
            </w:tcBorders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r>
              <w:rPr>
                <w:rFonts w:ascii="Noto Sans CJK TC" w:cs="Noto Sans CJK TC" w:eastAsia="Noto Sans CJK TC" w:hAnsi="Noto Sans CJK TC"/>
                <w:sz w:val="16"/>
                <w:szCs w:val="16"/>
              </w:rPr>
              <w:t xml:space="preserve">責任歸屬、組織能力、民主課責</w:t>
            </w:r>
          </w:p>
        </w:tc>
      </w:tr>
    </w:tbl>
    <w:p>
      <w:pPr>
        <w:spacing w:after="120" w:before="80" w:line="360"/>
        <w:jc w:val="center"/>
      </w:pPr>
      <w:r>
        <w:rPr>
          <w:rFonts w:ascii="Noto Sans CJK TC" w:cs="Noto Sans CJK TC" w:eastAsia="Noto Sans CJK TC" w:hAnsi="Noto Sans CJK TC"/>
          <w:b w:val="false"/>
          <w:bCs w:val="false"/>
          <w:i/>
          <w:iCs/>
          <w:color w:val="000000"/>
          <w:sz w:val="20"/>
          <w:szCs w:val="20"/>
        </w:rPr>
        <w:t xml:space="preserve">表2-5　四條治理鏈與七項治理審計：以「NPM vs. NPS」為例</w:t>
      </w:r>
    </w:p>
    <w:p>
      <w:pPr>
        <w:spacing w:after="40" w:before="40" w:line="360"/>
        <w:ind w:firstLine="42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2"/>
          <w:szCs w:val="22"/>
        </w:rPr>
        <w:t xml:space="preserve">審計提醒：若只追求新公共管理式的「效率」，而忽略資料代表性與民主課責，就會在「哲學與價值」這一層次出現嚴重的斷裂。</w:t>
      </w:r>
    </w:p>
    <w:p>
      <w:pPr>
        <w:pStyle w:val="Heading1"/>
        <w:spacing w:after="160" w:before="300"/>
      </w:pPr>
      <w:r>
        <w:rPr>
          <w:rFonts w:ascii="Noto Sans CJK TC" w:cs="Noto Sans CJK TC" w:eastAsia="Noto Sans CJK TC" w:hAnsi="Noto Sans CJK TC"/>
          <w:b/>
          <w:bCs/>
          <w:color w:val="1F4E79"/>
          <w:sz w:val="32"/>
          <w:szCs w:val="32"/>
        </w:rPr>
        <w:t xml:space="preserve">案例與思考討論</w:t>
      </w:r>
    </w:p>
    <w:p>
      <w:pPr>
        <w:pStyle w:val="Heading2"/>
        <w:spacing w:after="120" w:before="260"/>
      </w:pPr>
      <w:r>
        <w:rPr>
          <w:rFonts w:ascii="Noto Sans CJK TC" w:cs="Noto Sans CJK TC" w:eastAsia="Noto Sans CJK TC" w:hAnsi="Noto Sans CJK TC"/>
          <w:b/>
          <w:bCs/>
          <w:color w:val="2E75B6"/>
          <w:sz w:val="26"/>
          <w:szCs w:val="26"/>
        </w:rPr>
        <w:t xml:space="preserve">案例思考</w:t>
      </w:r>
    </w:p>
    <w:p>
      <w:pPr>
        <w:spacing w:after="40" w:before="40" w:line="360"/>
        <w:ind w:firstLine="42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2"/>
          <w:szCs w:val="22"/>
        </w:rPr>
        <w:t xml:space="preserve">台灣在COVID-19疫情期間，中央流行疫情指揮中心（CECC）的運作，結合了新公共管理式的快速決策，以及新公共服務式的透明溝通（每日記者會、疾管家、事實查核）。這正是「治理典範」在危機情境中的具體展現，也預示了人機共構治理的可能方向。</w:t>
      </w:r>
    </w:p>
    <w:p>
      <w:pPr>
        <w:pStyle w:val="Heading2"/>
        <w:spacing w:after="120" w:before="260"/>
      </w:pPr>
      <w:r>
        <w:rPr>
          <w:rFonts w:ascii="Noto Sans CJK TC" w:cs="Noto Sans CJK TC" w:eastAsia="Noto Sans CJK TC" w:hAnsi="Noto Sans CJK TC"/>
          <w:b/>
          <w:bCs/>
          <w:color w:val="2E75B6"/>
          <w:sz w:val="26"/>
          <w:szCs w:val="26"/>
        </w:rPr>
        <w:t xml:space="preserve">延伸思考</w:t>
      </w:r>
    </w:p>
    <w:p>
      <w:pPr>
        <w:pStyle w:val="ListParagraph"/>
        <w:numPr>
          <w:ilvl w:val="0"/>
          <w:numId w:val="5"/>
        </w:numPr>
        <w:spacing w:after="40" w:before="40" w:line="360"/>
      </w:pPr>
      <w:r>
        <w:rPr>
          <w:rFonts w:ascii="Noto Sans CJK TC" w:cs="Noto Sans CJK TC" w:eastAsia="Noto Sans CJK TC" w:hAnsi="Noto Sans CJK TC"/>
          <w:sz w:val="22"/>
          <w:szCs w:val="22"/>
        </w:rPr>
        <w:t xml:space="preserve">請用25座標標示：科學管理（Taylor）與新公共服務（Denhardt）分別主要落在哪個層次與單位？AI出現後，哪一個理論的「跨格移動」幅度更大？</w:t>
      </w:r>
    </w:p>
    <w:p>
      <w:pPr>
        <w:pStyle w:val="ListParagraph"/>
        <w:numPr>
          <w:ilvl w:val="0"/>
          <w:numId w:val="5"/>
        </w:numPr>
        <w:spacing w:after="40" w:before="40" w:line="360"/>
      </w:pPr>
      <w:r>
        <w:rPr>
          <w:rFonts w:ascii="Noto Sans CJK TC" w:cs="Noto Sans CJK TC" w:eastAsia="Noto Sans CJK TC" w:hAnsi="Noto Sans CJK TC"/>
          <w:sz w:val="22"/>
          <w:szCs w:val="22"/>
        </w:rPr>
        <w:t xml:space="preserve">POSDCORB七項功能中，哪幾項最容易被AI自動化？這會如何影響「行政原則時期」的假設？請指出對應的權力移轉。</w:t>
      </w:r>
    </w:p>
    <w:p>
      <w:pPr>
        <w:pStyle w:val="ListParagraph"/>
        <w:numPr>
          <w:ilvl w:val="0"/>
          <w:numId w:val="5"/>
        </w:numPr>
        <w:spacing w:after="40" w:before="40" w:line="360"/>
      </w:pPr>
      <w:r>
        <w:rPr>
          <w:rFonts w:ascii="Noto Sans CJK TC" w:cs="Noto Sans CJK TC" w:eastAsia="Noto Sans CJK TC" w:hAnsi="Noto Sans CJK TC"/>
          <w:sz w:val="22"/>
          <w:szCs w:val="22"/>
        </w:rPr>
        <w:t xml:space="preserve">新公共管理強調「顧客」，新公共服務強調「公民」。在AI客服大量使用的今天，你認為政府應該把民眾定位成哪一種？請至少運用一項治理審計說明理由。</w:t>
      </w:r>
    </w:p>
    <w:p>
      <w:pPr>
        <w:pStyle w:val="Heading1"/>
        <w:spacing w:after="160" w:before="300"/>
      </w:pPr>
      <w:r>
        <w:rPr>
          <w:rFonts w:ascii="Noto Sans CJK TC" w:cs="Noto Sans CJK TC" w:eastAsia="Noto Sans CJK TC" w:hAnsi="Noto Sans CJK TC"/>
          <w:b/>
          <w:bCs/>
          <w:color w:val="1F4E79"/>
          <w:sz w:val="32"/>
          <w:szCs w:val="32"/>
        </w:rPr>
        <w:t xml:space="preserve">本章小結</w:t>
      </w:r>
    </w:p>
    <w:p>
      <w:pPr>
        <w:spacing w:after="40" w:before="40" w:line="360"/>
        <w:ind w:firstLine="420"/>
        <w:jc w:val="left"/>
      </w:pPr>
      <w:r>
        <w:t>公共行政理論的發展，不宜理解為「X取代Y、Y取代Z」的直線進化，而應理解為問題意識逐步擴張：古典理論關注秩序、專業與效率；行為理論把人的動機與決策帶入分析；系統與權變理論強調環境與情境；新公共行政重新凸顯公平、回應性與公共價值；新公共管理強調績效與市場機制；新公共服務、公共價值、新公共治理與數位治理則分別強化民主、公民、價值、網絡與數位能力。不同典範不是簡單替代，而是形成多重並存與競合。AI的出現，又使效率、專業、民主、裁量與課責之間的張力更加明顯。</w:t>
      </w:r>
    </w:p>
    <w:p>
      <w:pPr>
        <w:spacing w:after="40" w:before="40" w:line="360"/>
        <w:ind w:firstLine="420"/>
        <w:jc w:val="left"/>
      </w:pPr>
      <w:r>
        <w:t>台灣在數位政府、開放政府、長期照顧與防疫治理等領域的實踐，呈現效率、協力、民主參與與數位轉型等多重治理邏輯交織的現象。這也說明公共行政理論的價值，不是替現實貼上一個唯一標籤，而是提供不同的分析鏡頭，協助我們判斷何種價值正在主導、何種問題被忽略，以及AI介入後權力與責任如何重新配置。</w:t>
      </w:r>
    </w:p>
    <w:p>
      <w:pPr>
        <w:pStyle w:val="Heading1"/>
        <w:spacing w:after="160" w:before="300"/>
      </w:pPr>
      <w:r>
        <w:rPr>
          <w:rFonts w:ascii="Noto Sans CJK TC" w:cs="Noto Sans CJK TC" w:eastAsia="Noto Sans CJK TC" w:hAnsi="Noto Sans CJK TC"/>
          <w:b/>
          <w:bCs/>
          <w:color w:val="1F4E79"/>
          <w:sz w:val="32"/>
          <w:szCs w:val="32"/>
        </w:rPr>
        <w:t xml:space="preserve">關鍵詞彙</w:t>
      </w:r>
    </w:p>
    <w:p>
      <w:pPr>
        <w:spacing w:after="40" w:before="40" w:line="360"/>
        <w:jc w:val="left"/>
      </w:pPr>
      <w:r>
        <w:rPr>
          <w:rFonts w:ascii="Noto Sans CJK TC" w:cs="Noto Sans CJK TC" w:eastAsia="Noto Sans CJK TC" w:hAnsi="Noto Sans CJK TC"/>
          <w:b/>
          <w:bCs/>
          <w:sz w:val="22"/>
          <w:szCs w:val="22"/>
        </w:rPr>
        <w:t xml:space="preserve">中程理論（Middle Range Theory）　</w:t>
      </w:r>
      <w:r>
        <w:rPr>
          <w:rFonts w:ascii="Noto Sans CJK TC" w:cs="Noto Sans CJK TC" w:eastAsia="Noto Sans CJK TC" w:hAnsi="Noto Sans CJK TC"/>
          <w:sz w:val="22"/>
          <w:szCs w:val="22"/>
        </w:rPr>
        <w:t xml:space="preserve">Merton提出，強調理論須具備實踐經驗性、有限範圍與宏觀微觀的聯繫性，反對過度抽象的宏大理論。</w:t>
      </w:r>
    </w:p>
    <w:p>
      <w:pPr>
        <w:spacing w:after="40" w:before="40" w:line="360"/>
        <w:jc w:val="left"/>
      </w:pPr>
      <w:r>
        <w:rPr>
          <w:rFonts w:ascii="Noto Sans CJK TC" w:cs="Noto Sans CJK TC" w:eastAsia="Noto Sans CJK TC" w:hAnsi="Noto Sans CJK TC"/>
          <w:b/>
          <w:bCs/>
          <w:sz w:val="22"/>
          <w:szCs w:val="22"/>
        </w:rPr>
        <w:t xml:space="preserve">科學管理（Scientific Management）　</w:t>
      </w:r>
      <w:r>
        <w:rPr>
          <w:rFonts w:ascii="Noto Sans CJK TC" w:cs="Noto Sans CJK TC" w:eastAsia="Noto Sans CJK TC" w:hAnsi="Noto Sans CJK TC"/>
          <w:sz w:val="22"/>
          <w:szCs w:val="22"/>
        </w:rPr>
        <w:t xml:space="preserve">Taylor提出，主張以科學方法取代經驗判斷，尋求提升效率的「唯一最佳方法」。</w:t>
      </w:r>
    </w:p>
    <w:p>
      <w:pPr>
        <w:spacing w:after="40" w:before="40" w:line="360"/>
        <w:jc w:val="left"/>
      </w:pPr>
      <w:r>
        <w:rPr>
          <w:rFonts w:ascii="Noto Sans CJK TC" w:cs="Noto Sans CJK TC" w:eastAsia="Noto Sans CJK TC" w:hAnsi="Noto Sans CJK TC"/>
          <w:b/>
          <w:bCs/>
          <w:sz w:val="22"/>
          <w:szCs w:val="22"/>
        </w:rPr>
        <w:t xml:space="preserve">POSDCORB　</w:t>
      </w:r>
      <w:r>
        <w:rPr>
          <w:rFonts w:ascii="Noto Sans CJK TC" w:cs="Noto Sans CJK TC" w:eastAsia="Noto Sans CJK TC" w:hAnsi="Noto Sans CJK TC"/>
          <w:sz w:val="22"/>
          <w:szCs w:val="22"/>
        </w:rPr>
        <w:t xml:space="preserve">Gulick提出的行政首長七項功能：計畫、組織、用人、指揮、協調、報告、預算。</w:t>
      </w:r>
    </w:p>
    <w:p>
      <w:pPr>
        <w:spacing w:after="40" w:before="40" w:line="360"/>
        <w:jc w:val="left"/>
      </w:pPr>
      <w:r>
        <w:rPr>
          <w:rFonts w:ascii="Noto Sans CJK TC" w:cs="Noto Sans CJK TC" w:eastAsia="Noto Sans CJK TC" w:hAnsi="Noto Sans CJK TC"/>
          <w:b/>
          <w:bCs/>
          <w:sz w:val="22"/>
          <w:szCs w:val="22"/>
        </w:rPr>
        <w:t xml:space="preserve">官僚體制（Bureaucracy）　</w:t>
      </w:r>
      <w:r>
        <w:rPr>
          <w:rFonts w:ascii="Noto Sans CJK TC" w:cs="Noto Sans CJK TC" w:eastAsia="Noto Sans CJK TC" w:hAnsi="Noto Sans CJK TC"/>
          <w:sz w:val="22"/>
          <w:szCs w:val="22"/>
        </w:rPr>
        <w:t xml:space="preserve">Weber提出的理性化組織理想型，強調依法行政、專業分工與層級節制；Merton其後指出其亦有目標錯置等功能失調的一面。</w:t>
      </w:r>
    </w:p>
    <w:p>
      <w:pPr>
        <w:spacing w:after="40" w:before="40" w:line="360"/>
        <w:jc w:val="left"/>
      </w:pPr>
      <w:r>
        <w:rPr>
          <w:rFonts w:ascii="Noto Sans CJK TC" w:cs="Noto Sans CJK TC" w:eastAsia="Noto Sans CJK TC" w:hAnsi="Noto Sans CJK TC"/>
          <w:b/>
          <w:bCs/>
          <w:sz w:val="22"/>
          <w:szCs w:val="22"/>
        </w:rPr>
        <w:t xml:space="preserve">有限理性（Bounded Rationality）　</w:t>
      </w:r>
      <w:r>
        <w:rPr>
          <w:rFonts w:ascii="Noto Sans CJK TC" w:cs="Noto Sans CJK TC" w:eastAsia="Noto Sans CJK TC" w:hAnsi="Noto Sans CJK TC"/>
          <w:sz w:val="22"/>
          <w:szCs w:val="22"/>
        </w:rPr>
        <w:t xml:space="preserve">Simon提出，主張人僅具有限理性，決策僅能追求滿意而非最適解。</w:t>
      </w:r>
    </w:p>
    <w:p>
      <w:pPr>
        <w:spacing w:after="40" w:before="40" w:line="360"/>
        <w:jc w:val="left"/>
      </w:pPr>
      <w:r>
        <w:rPr>
          <w:rFonts w:ascii="Noto Sans CJK TC" w:cs="Noto Sans CJK TC" w:eastAsia="Noto Sans CJK TC" w:hAnsi="Noto Sans CJK TC"/>
          <w:b/>
          <w:bCs/>
          <w:sz w:val="22"/>
          <w:szCs w:val="22"/>
        </w:rPr>
        <w:t xml:space="preserve">權變理論（Contingency Theory）　</w:t>
      </w:r>
      <w:r>
        <w:rPr>
          <w:rFonts w:ascii="Noto Sans CJK TC" w:cs="Noto Sans CJK TC" w:eastAsia="Noto Sans CJK TC" w:hAnsi="Noto Sans CJK TC"/>
          <w:sz w:val="22"/>
          <w:szCs w:val="22"/>
        </w:rPr>
        <w:t xml:space="preserve">主張管理並無放諸四海皆準的最佳方法，一切須視組織所處環境而定。</w:t>
      </w:r>
    </w:p>
    <w:p>
      <w:pPr>
        <w:spacing w:after="40" w:before="40" w:line="360"/>
        <w:jc w:val="left"/>
      </w:pPr>
      <w:r>
        <w:rPr>
          <w:rFonts w:ascii="Noto Sans CJK TC" w:cs="Noto Sans CJK TC" w:eastAsia="Noto Sans CJK TC" w:hAnsi="Noto Sans CJK TC"/>
          <w:b/>
          <w:bCs/>
          <w:sz w:val="22"/>
          <w:szCs w:val="22"/>
        </w:rPr>
        <w:t xml:space="preserve">公共價值管理（Public Value Management, PVM）　</w:t>
      </w:r>
      <w:r>
        <w:rPr>
          <w:rFonts w:ascii="Noto Sans CJK TC" w:cs="Noto Sans CJK TC" w:eastAsia="Noto Sans CJK TC" w:hAnsi="Noto Sans CJK TC"/>
          <w:sz w:val="22"/>
          <w:szCs w:val="22"/>
        </w:rPr>
        <w:t xml:space="preserve">Moore提出，主張公共價值是經公民審議形成的集體偏好，管理者須平衡策略三角。</w:t>
      </w:r>
    </w:p>
    <w:p>
      <w:pPr>
        <w:spacing w:after="40" w:before="40" w:line="360"/>
        <w:jc w:val="left"/>
      </w:pPr>
      <w:r>
        <w:rPr>
          <w:rFonts w:ascii="Noto Sans CJK TC" w:cs="Noto Sans CJK TC" w:eastAsia="Noto Sans CJK TC" w:hAnsi="Noto Sans CJK TC"/>
          <w:b/>
          <w:bCs/>
          <w:sz w:val="22"/>
          <w:szCs w:val="22"/>
        </w:rPr>
        <w:t xml:space="preserve">新公共治理（New Public Governance, NPG）　</w:t>
      </w:r>
      <w:r>
        <w:rPr>
          <w:rFonts w:ascii="Noto Sans CJK TC" w:cs="Noto Sans CJK TC" w:eastAsia="Noto Sans CJK TC" w:hAnsi="Noto Sans CJK TC"/>
          <w:sz w:val="22"/>
          <w:szCs w:val="22"/>
        </w:rPr>
        <w:t xml:space="preserve">Osborne提出，主張公共管理由跨部門網絡共同執行，公民為共同生產者。</w:t>
      </w:r>
    </w:p>
    <w:p>
      <w:pPr>
        <w:spacing w:after="40" w:before="40" w:line="360"/>
        <w:jc w:val="left"/>
      </w:pPr>
      <w:r>
        <w:t>數位時代治理（Digital Era Governance, DEG）　Dunleavy等人提出，強調再整合、整體主義與數位化，後續研究進一步將資料科學與AI納入數位政府研究。</w:t>
      </w:r>
    </w:p>
    <w:p>
      <w:pPr>
        <w:spacing w:after="40" w:before="40" w:line="360"/>
        <w:jc w:val="left"/>
      </w:pPr>
      <w:r>
        <w:t>公共服務動機（Public Service Motivation, PSM）　Perry與Wise提出的重要研究概念，指個人可能因公共利益與公共服務價值而產生服務動機；後續研究進一步發展其測量構面。</w:t>
      </w:r>
    </w:p>
    <w:p>
      <w:pPr>
        <w:spacing w:after="40" w:before="40" w:line="360"/>
        <w:jc w:val="left"/>
      </w:pPr>
      <w:r>
        <w:rPr>
          <w:rFonts w:ascii="Noto Sans CJK TC" w:cs="Noto Sans CJK TC" w:eastAsia="Noto Sans CJK TC" w:hAnsi="Noto Sans CJK TC"/>
          <w:b/>
          <w:bCs/>
          <w:sz w:val="22"/>
          <w:szCs w:val="22"/>
        </w:rPr>
        <w:t xml:space="preserve">協同治理（Collaborative Governance）　</w:t>
      </w:r>
      <w:r>
        <w:rPr>
          <w:rFonts w:ascii="Noto Sans CJK TC" w:cs="Noto Sans CJK TC" w:eastAsia="Noto Sans CJK TC" w:hAnsi="Noto Sans CJK TC"/>
          <w:sz w:val="22"/>
          <w:szCs w:val="22"/>
        </w:rPr>
        <w:t xml:space="preserve">Ansell與Gash提出，指政府與非政府利害關係人以正式、共識導向、審議的方式進行集體決策。</w:t>
      </w:r>
    </w:p>
    <w:p>
      <w:pPr>
        <w:spacing w:after="40" w:before="40" w:line="360"/>
        <w:jc w:val="left"/>
      </w:pPr>
      <w:r>
        <w:t>韌性治理（Resilient Governance）　強調政府與治理系統面對疫情、氣候變遷、資安等複合衝擊時的吸收、調適與持續運作能力。</w:t>
      </w:r>
    </w:p>
    <w:p>
      <w:pPr>
        <w:spacing w:after="40" w:before="40" w:line="360"/>
        <w:jc w:val="left"/>
      </w:pPr>
      <w:r>
        <w:rPr>
          <w:rFonts w:ascii="Noto Sans CJK TC" w:cs="Noto Sans CJK TC" w:eastAsia="Noto Sans CJK TC" w:hAnsi="Noto Sans CJK TC"/>
          <w:b/>
          <w:bCs/>
          <w:sz w:val="22"/>
          <w:szCs w:val="22"/>
        </w:rPr>
        <w:t xml:space="preserve">開放政府與公民共創　</w:t>
      </w:r>
      <w:r>
        <w:rPr>
          <w:rFonts w:ascii="Noto Sans CJK TC" w:cs="Noto Sans CJK TC" w:eastAsia="Noto Sans CJK TC" w:hAnsi="Noto Sans CJK TC"/>
          <w:sz w:val="22"/>
          <w:szCs w:val="22"/>
        </w:rPr>
        <w:t xml:space="preserve">強調透明、參與與課責，公民同時是監督者、使用者與貢獻者，價值在使用過程中被創造。</w:t>
      </w:r>
    </w:p>
    <w:p>
      <w:pPr>
        <w:pStyle w:val="Heading1"/>
        <w:spacing w:after="160" w:before="300"/>
      </w:pPr>
      <w:r>
        <w:rPr>
          <w:rFonts w:ascii="Noto Sans CJK TC" w:cs="Noto Sans CJK TC" w:eastAsia="Noto Sans CJK TC" w:hAnsi="Noto Sans CJK TC"/>
          <w:b/>
          <w:bCs/>
          <w:color w:val="1F4E79"/>
          <w:sz w:val="32"/>
          <w:szCs w:val="32"/>
        </w:rPr>
        <w:t xml:space="preserve">思考與討論</w:t>
      </w:r>
    </w:p>
    <w:p>
      <w:pPr>
        <w:pStyle w:val="ListParagraph"/>
        <w:numPr>
          <w:ilvl w:val="0"/>
          <w:numId w:val="6"/>
        </w:numPr>
        <w:spacing w:after="40" w:before="40" w:line="360"/>
      </w:pPr>
      <w:r>
        <w:rPr>
          <w:rFonts w:ascii="Noto Sans CJK TC" w:cs="Noto Sans CJK TC" w:eastAsia="Noto Sans CJK TC" w:hAnsi="Noto Sans CJK TC"/>
          <w:sz w:val="22"/>
          <w:szCs w:val="22"/>
        </w:rPr>
        <w:t xml:space="preserve">試比較公共價值管理、新公共治理、數位時代治理三種典範對公共利益、政府角色與績效觀的差異，並以台灣數位發展部為例說明何者最為適切。</w:t>
      </w:r>
    </w:p>
    <w:p>
      <w:pPr>
        <w:pStyle w:val="ListParagraph"/>
        <w:numPr>
          <w:ilvl w:val="0"/>
          <w:numId w:val="6"/>
        </w:numPr>
        <w:spacing w:after="40" w:before="40" w:line="360"/>
      </w:pPr>
      <w:r>
        <w:rPr>
          <w:rFonts w:ascii="Noto Sans CJK TC" w:cs="Noto Sans CJK TC" w:eastAsia="Noto Sans CJK TC" w:hAnsi="Noto Sans CJK TC"/>
          <w:sz w:val="22"/>
          <w:szCs w:val="22"/>
        </w:rPr>
        <w:t xml:space="preserve">Dunleavy與Margetts（2023）提出的第三波數位時代治理指出AI治理帶來黑箱與課責稀釋的風險，請申論應如何設計對應的課責機制？</w:t>
      </w:r>
    </w:p>
    <w:p>
      <w:pPr>
        <w:pStyle w:val="ListParagraph"/>
        <w:numPr>
          <w:ilvl w:val="0"/>
          <w:numId w:val="6"/>
        </w:numPr>
        <w:spacing w:after="40" w:before="40" w:line="360"/>
      </w:pPr>
      <w:r>
        <w:rPr>
          <w:rFonts w:ascii="Noto Sans CJK TC" w:cs="Noto Sans CJK TC" w:eastAsia="Noto Sans CJK TC" w:hAnsi="Noto Sans CJK TC"/>
          <w:sz w:val="22"/>
          <w:szCs w:val="22"/>
        </w:rPr>
        <w:t xml:space="preserve">公共服務動機的四個構面，如何解釋COVID-19疫情期間公務員與醫護人員的超時奉獻？行為公共行政對傳統「理性人」假定提出了哪些挑戰？</w:t>
      </w:r>
    </w:p>
    <w:p>
      <w:pPr>
        <w:pStyle w:val="ListParagraph"/>
        <w:numPr>
          <w:ilvl w:val="0"/>
          <w:numId w:val="6"/>
        </w:numPr>
        <w:spacing w:after="40" w:before="40" w:line="360"/>
      </w:pPr>
      <w:r>
        <w:rPr>
          <w:rFonts w:ascii="Noto Sans CJK TC" w:cs="Noto Sans CJK TC" w:eastAsia="Noto Sans CJK TC" w:hAnsi="Noto Sans CJK TC"/>
          <w:sz w:val="22"/>
          <w:szCs w:val="22"/>
        </w:rPr>
        <w:t xml:space="preserve">協同治理的六項要件如何應用於台灣的口罩地圖或地方創生案例？韌性治理與傳統的危機管理有何不同？</w:t>
      </w:r>
    </w:p>
    <w:p>
      <w:pPr>
        <w:pStyle w:val="ListParagraph"/>
        <w:numPr>
          <w:ilvl w:val="0"/>
          <w:numId w:val="6"/>
        </w:numPr>
        <w:spacing w:after="40" w:before="40" w:line="360"/>
      </w:pPr>
      <w:r>
        <w:rPr>
          <w:rFonts w:ascii="Noto Sans CJK TC" w:cs="Noto Sans CJK TC" w:eastAsia="Noto Sans CJK TC" w:hAnsi="Noto Sans CJK TC"/>
          <w:sz w:val="22"/>
          <w:szCs w:val="22"/>
        </w:rPr>
        <w:t xml:space="preserve">試以25個治理座標，定位「我的E政府與生成式AI客服」屬於哪一格，並說明其在價值層與技術層之間的連結。</w:t>
      </w:r>
    </w:p>
    <w:p>
      <w:pPr>
        <w:pStyle w:val="Heading1"/>
        <w:spacing w:after="160" w:before="300"/>
      </w:pPr>
      <w:r>
        <w:rPr>
          <w:rFonts w:ascii="Noto Sans CJK TC" w:cs="Noto Sans CJK TC" w:eastAsia="Noto Sans CJK TC" w:hAnsi="Noto Sans CJK TC"/>
          <w:b/>
          <w:bCs/>
          <w:color w:val="1F4E79"/>
          <w:sz w:val="32"/>
          <w:szCs w:val="32"/>
        </w:rPr>
        <w:t xml:space="preserve">延伸閱讀與參考文獻</w:t>
      </w:r>
    </w:p>
    <w:p>
      <w:pPr>
        <w:spacing w:after="30" w:before="30" w:line="36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0"/>
          <w:szCs w:val="20"/>
        </w:rPr>
        <w:t xml:space="preserve">Merton, R. K. (1968). Social theory and social structure. Free Press.</w:t>
      </w:r>
    </w:p>
    <w:p>
      <w:pPr>
        <w:spacing w:after="30" w:before="30" w:line="36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0"/>
          <w:szCs w:val="20"/>
        </w:rPr>
        <w:t xml:space="preserve">Taylor, F. W. (1911). The principles of scientific management. Harper.</w:t>
      </w:r>
    </w:p>
    <w:p>
      <w:pPr>
        <w:spacing w:after="30" w:before="30" w:line="36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0"/>
          <w:szCs w:val="20"/>
        </w:rPr>
        <w:t>Fayol, H. (1916). Administration industrielle et générale. Dunod.</w:t>
      </w:r>
    </w:p>
    <w:p>
      <w:pPr>
        <w:spacing w:after="30" w:before="30" w:line="36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0"/>
          <w:szCs w:val="20"/>
        </w:rPr>
        <w:t xml:space="preserve">Gulick, L., &amp; Urwick, L. (Eds.). (1937). Papers on the science of administration. Institute of Public Administration.</w:t>
      </w:r>
    </w:p>
    <w:p>
      <w:pPr>
        <w:spacing w:after="30" w:before="30" w:line="36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0"/>
          <w:szCs w:val="20"/>
        </w:rPr>
        <w:t xml:space="preserve">Weber, M. (1947). The theory of social and economic organization (A. M. Henderson &amp; T. Parsons, Trans.). Free Press.</w:t>
      </w:r>
    </w:p>
    <w:p>
      <w:pPr>
        <w:spacing w:after="30" w:before="30" w:line="36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0"/>
          <w:szCs w:val="20"/>
        </w:rPr>
        <w:t xml:space="preserve">Barnard, C. I. (1938). The functions of the executive. Harvard University Press.</w:t>
      </w:r>
    </w:p>
    <w:p>
      <w:pPr>
        <w:spacing w:after="30" w:before="30" w:line="36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0"/>
          <w:szCs w:val="20"/>
        </w:rPr>
        <w:t xml:space="preserve">Simon, H. A. (1947). Administrative behavior. Macmillan.</w:t>
      </w:r>
    </w:p>
    <w:p>
      <w:pPr>
        <w:spacing w:after="30" w:before="30" w:line="36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0"/>
          <w:szCs w:val="20"/>
        </w:rPr>
        <w:t xml:space="preserve">Maslow, A. H. (1943). A theory of human motivation. Psychological Review, 50(4), 370–396.</w:t>
      </w:r>
    </w:p>
    <w:p>
      <w:pPr>
        <w:spacing w:after="30" w:before="30" w:line="36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0"/>
          <w:szCs w:val="20"/>
        </w:rPr>
        <w:t xml:space="preserve">McGregor, D. (1960). The human side of enterprise. McGraw-Hill.</w:t>
      </w:r>
    </w:p>
    <w:p>
      <w:pPr>
        <w:spacing w:after="30" w:before="30" w:line="36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0"/>
          <w:szCs w:val="20"/>
        </w:rPr>
        <w:t xml:space="preserve">Riggs, F. W. (1961). The ecology of public administration. Asia Publishing House.</w:t>
      </w:r>
    </w:p>
    <w:p>
      <w:pPr>
        <w:spacing w:after="30" w:before="30" w:line="36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0"/>
          <w:szCs w:val="20"/>
        </w:rPr>
        <w:t xml:space="preserve">Hood, C. (1991). A public management for all seasons? Public Administration, 69(1), 3–19.</w:t>
      </w:r>
    </w:p>
    <w:p>
      <w:pPr>
        <w:spacing w:after="30" w:before="30" w:line="36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0"/>
          <w:szCs w:val="20"/>
        </w:rPr>
        <w:t xml:space="preserve">Denhardt, J. V., &amp; Denhardt, R. B. (2003). The new public service: Serving, not steering. M. E. Sharpe.</w:t>
      </w:r>
    </w:p>
    <w:p>
      <w:pPr>
        <w:spacing w:after="30" w:before="30" w:line="36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0"/>
          <w:szCs w:val="20"/>
        </w:rPr>
        <w:t xml:space="preserve">Moore, M. H. (1995). Creating public value: Strategic management in government. Harvard University Press.</w:t>
      </w:r>
    </w:p>
    <w:p>
      <w:pPr>
        <w:spacing w:after="30" w:before="30" w:line="36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0"/>
          <w:szCs w:val="20"/>
        </w:rPr>
        <w:t xml:space="preserve">Stoker, G. (2006). Public value management: A new narrative for networked governance? American Review of Public Administration, 36(1), 41–57.</w:t>
      </w:r>
    </w:p>
    <w:p>
      <w:pPr>
        <w:spacing w:after="30" w:before="30" w:line="36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0"/>
          <w:szCs w:val="20"/>
        </w:rPr>
        <w:t xml:space="preserve">Osborne, S. P. (2006). The new public governance? Public Management Review, 8(3), 377–387.</w:t>
      </w:r>
    </w:p>
    <w:p>
      <w:pPr>
        <w:spacing w:after="30" w:before="30" w:line="36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0"/>
          <w:szCs w:val="20"/>
        </w:rPr>
        <w:t xml:space="preserve">Osborne, S. P. (Ed.). (2010). The new public governance: Emerging perspectives on the theory and practice of public governance. Routledge.</w:t>
      </w:r>
    </w:p>
    <w:p>
      <w:pPr>
        <w:spacing w:after="30" w:before="30" w:line="36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0"/>
          <w:szCs w:val="20"/>
        </w:rPr>
        <w:t xml:space="preserve">Dunleavy, P., Margetts, H., Bastow, S., &amp; Tinkler, J. (2006). Digital era governance: IT corporations, the state, and e-government. Oxford University Press.</w:t>
      </w:r>
    </w:p>
    <w:p>
      <w:pPr>
        <w:spacing w:after="30" w:before="30" w:line="36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0"/>
          <w:szCs w:val="20"/>
        </w:rPr>
        <w:t xml:space="preserve">Margetts, H., &amp; Dunleavy, P. (2013). The second wave of digital-era governance: A quasi-paradigm for government on the Web. Philosophical Transactions of the Royal Society A, 371(1987).</w:t>
      </w:r>
    </w:p>
    <w:p>
      <w:pPr>
        <w:spacing w:after="30" w:before="30" w:line="36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0"/>
          <w:szCs w:val="20"/>
        </w:rPr>
        <w:t xml:space="preserve">Dunleavy, P., &amp; Margetts, H. (2023). Data science, artificial intelligence and the third wave of digital era governance. Public Policy and Administration, 40(2), 185–214. https://doi.org/10.1177/09520767231198737</w:t>
      </w:r>
    </w:p>
    <w:p>
      <w:pPr>
        <w:spacing w:after="30" w:before="30" w:line="36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0"/>
          <w:szCs w:val="20"/>
        </w:rPr>
        <w:t xml:space="preserve">Perry, J. L., &amp; Wise, L. R. (1990). The motivational bases of public service. Public Administration Review, 50(3), 367–373.</w:t>
      </w:r>
    </w:p>
    <w:p>
      <w:pPr>
        <w:spacing w:after="30" w:before="30" w:line="36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0"/>
          <w:szCs w:val="20"/>
        </w:rPr>
        <w:t xml:space="preserve">Perry, J. L., &amp; Ritz, A. (2022). Public service motivation. In K. Schedler (Ed.), Elgar encyclopedia of public management (pp. 172–175). Edward Elgar.</w:t>
      </w:r>
    </w:p>
    <w:p>
      <w:pPr>
        <w:spacing w:after="30" w:before="30" w:line="36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0"/>
          <w:szCs w:val="20"/>
        </w:rPr>
        <w:t xml:space="preserve">Ansell, C., &amp; Gash, A. (2008). Collaborative governance in theory and practice. Journal of Public Administration Research and Theory, 18(4), 543–571.</w:t>
      </w:r>
    </w:p>
    <w:p>
      <w:pPr>
        <w:spacing w:after="30" w:before="30" w:line="36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0"/>
          <w:szCs w:val="20"/>
        </w:rPr>
        <w:t xml:space="preserve">Deloitte. (2024). 2024 government trends: Resilient government, cloud and cybersecurity. Deloitte Insights.</w:t>
      </w:r>
    </w:p>
    <w:p>
      <w:pPr>
        <w:spacing w:after="30" w:before="30" w:line="36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0"/>
          <w:szCs w:val="20"/>
        </w:rPr>
        <w:t xml:space="preserve">Alford, J. (2009). Engaging public sector clients: From service-delivery to co-production. Palgrave Macmillan.</w:t>
      </w:r>
    </w:p>
    <w:p>
      <w:pPr>
        <w:spacing w:after="30" w:before="30" w:line="36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0"/>
          <w:szCs w:val="20"/>
        </w:rPr>
        <w:t xml:space="preserve">Bozeman, B. (2007). Public values and public interest: Counterbalancing economic individualism. Georgetown University Press.</w:t>
      </w:r>
    </w:p>
    <w:p>
      <w:pPr>
        <w:spacing w:after="30" w:before="30" w:line="36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0"/>
          <w:szCs w:val="20"/>
        </w:rPr>
        <w:t>Yeung, K. (2022). The new public analytics as an emerging paradigm in public sector administration. Tilburg Law Review, 27(2), 1–32.</w:t>
      </w:r>
    </w:p>
    <w:p>
      <w:pPr>
        <w:spacing w:after="30" w:before="30" w:line="36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0"/>
          <w:szCs w:val="20"/>
        </w:rPr>
        <w:t xml:space="preserve">張潤書（2010）。行政學。三民。</w:t>
      </w:r>
    </w:p>
    <w:p>
      <w:pPr>
        <w:spacing w:after="30" w:before="30" w:line="360"/>
        <w:jc w:val="left"/>
      </w:pPr>
      <w:r>
        <w:rPr>
          <w:rFonts w:ascii="Noto Sans CJK TC" w:cs="Noto Sans CJK TC" w:eastAsia="Noto Sans CJK TC" w:hAnsi="Noto Sans CJK TC"/>
          <w:b w:val="false"/>
          <w:bCs w:val="false"/>
          <w:i w:val="false"/>
          <w:iCs w:val="false"/>
          <w:color w:val="000000"/>
          <w:sz w:val="20"/>
          <w:szCs w:val="20"/>
        </w:rPr>
        <w:t xml:space="preserve">丘昌泰（2022）。公共管理。智勝。</w:t>
      </w:r>
    </w:p>
    <w:p>
      <w:pPr>
        <w:spacing w:before="2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F4E79" w:sz="12"/>
              <w:left w:val="single" w:color="1F4E79" w:sz="12"/>
              <w:bottom w:val="single" w:color="1F4E79" w:sz="12"/>
              <w:right w:val="single" w:color="1F4E79" w:sz="12"/>
            </w:tcBorders>
            <w:shd w:fill="FFF8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 w:before="40"/>
            </w:pPr>
            <w:r>
              <w:rPr>
                <w:rFonts w:ascii="Noto Sans CJK TC" w:cs="Noto Sans CJK TC" w:eastAsia="Noto Sans CJK TC" w:hAnsi="Noto Sans CJK TC"/>
                <w:b/>
                <w:bCs/>
                <w:color w:val="8B5A00"/>
                <w:sz w:val="22"/>
                <w:szCs w:val="22"/>
              </w:rPr>
              <w:t xml:space="preserve">前瞻：通往第三章</w:t>
            </w:r>
          </w:p>
          <w:p>
            <w:pPr>
              <w:spacing w:after="40" w:before="20" w:line="320"/>
            </w:pPr>
            <w:r>
              <w:rPr>
                <w:rFonts w:ascii="Noto Sans CJK TC" w:cs="Noto Sans CJK TC" w:eastAsia="Noto Sans CJK TC" w:hAnsi="Noto Sans CJK TC"/>
                <w:sz w:val="20"/>
                <w:szCs w:val="20"/>
              </w:rPr>
              <w:t xml:space="preserve">當本章把眾多理論放進五個發展階段與25座標之後，下一章將進一步追問：我們該用什麼「研究途徑」與「分析層次」來檢視這些理論？第三章將介紹行政學的典範、途徑與分析層次，並示範如何以宏觀、中觀、微觀與跨層次的視角，重新檢驗本章所梳理的每一種理論在AI治理下的適用邊界。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Noto Sans CJK TC" w:cs="Noto Sans CJK TC" w:eastAsia="Noto Sans CJK TC" w:hAnsi="Noto Sans CJK TC"/>
        <w:color w:val="666666"/>
        <w:sz w:val="16"/>
        <w:szCs w:val="16"/>
      </w:rPr>
      <w:t xml:space="preserve">— </w:t>
    </w:r>
    <w:r>
      <w:rPr>
        <w:rFonts w:ascii="Noto Sans CJK TC" w:cs="Noto Sans CJK TC" w:eastAsia="Noto Sans CJK TC" w:hAnsi="Noto Sans CJK TC"/>
        <w:color w:val="6666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Noto Sans CJK TC" w:cs="Noto Sans CJK TC" w:eastAsia="Noto Sans CJK TC" w:hAnsi="Noto Sans CJK TC"/>
        <w:color w:val="666666"/>
        <w:sz w:val="16"/>
        <w:szCs w:val="16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Noto Sans CJK TC" w:cs="Noto Sans CJK TC" w:eastAsia="Noto Sans CJK TC" w:hAnsi="Noto Sans CJK TC"/>
        <w:color w:val="666666"/>
        <w:sz w:val="16"/>
        <w:szCs w:val="16"/>
      </w:rPr>
      <w:t xml:space="preserve">行政學　第二章　行政學的理論與發展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、"/>
      <w:lvlJc w:val="left"/>
      <w:pPr>
        <w:ind w:left="720" w:hanging="42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、"/>
      <w:lvlJc w:val="left"/>
      <w:pPr>
        <w:ind w:left="720" w:hanging="420"/>
      </w:pPr>
    </w:lvl>
  </w:abstractNum>
  <w:abstractNum w:abstractNumId="6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7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5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oto Sans CJK TC" w:cs="Noto Sans CJK TC" w:eastAsia="Noto Sans CJK TC" w:hAnsi="Noto Sans CJK TC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00"/>
      <w:outlineLvl w:val="0"/>
    </w:pPr>
    <w:rPr>
      <w:rFonts w:ascii="Noto Sans CJK TC" w:cs="Noto Sans CJK TC" w:eastAsia="Noto Sans CJK TC" w:hAnsi="Noto Sans CJK TC"/>
      <w:b/>
      <w:bCs/>
      <w:color w:val="1F4E79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60"/>
      <w:outlineLvl w:val="1"/>
    </w:pPr>
    <w:rPr>
      <w:rFonts w:ascii="Noto Sans CJK TC" w:cs="Noto Sans CJK TC" w:eastAsia="Noto Sans CJK TC" w:hAnsi="Noto Sans CJK TC"/>
      <w:b/>
      <w:bCs/>
      <w:color w:val="2E75B6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100" w:before="200"/>
      <w:outlineLvl w:val="2"/>
    </w:pPr>
    <w:rPr>
      <w:rFonts w:ascii="Noto Sans CJK TC" w:cs="Noto Sans CJK TC" w:eastAsia="Noto Sans CJK TC" w:hAnsi="Noto Sans CJK TC"/>
      <w:b/>
      <w:bCs/>
      <w:color w:val="404040"/>
      <w:sz w:val="24"/>
      <w:szCs w:val="24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3fb00a5bfd78f81c0bc33b41f06005cfe5c5602e.png"/><Relationship Id="rId10" Type="http://schemas.openxmlformats.org/officeDocument/2006/relationships/fontTable" Target="fontTable.xml"/><Relationship Id="rId11" Type="http://schemas.openxmlformats.org/officeDocument/2006/relationships/image" Target="media/image_added1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2026-09-04T11:35:19.836Z</dcterms:created>
  <dcterms:modified xsi:type="dcterms:W3CDTF">2026-09-04T11:35:19.837Z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