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行政學概要 第07章</w:t>
      </w:r>
    </w:p>
    <w:p>
      <w:r>
        <w:t>行政學概要</w:t>
      </w:r>
    </w:p>
    <w:p>
      <w:r>
        <w:t>第七章　行政環境</w:t>
      </w:r>
    </w:p>
    <w:p>
      <w:r>
        <w:t>——從地理到數位:全球化、生態與AI治理的制度結構分析</w:t>
      </w:r>
    </w:p>
    <w:p>
      <w:r>
        <w:t>學習目標</w:t>
      </w:r>
    </w:p>
    <w:p>
      <w:r>
        <w:t>能闡釋行政環境的意涵與行政生態學核心命題(相互依存性、動態適應性、情境合宜性),並區辨環境決定論與環境制約論。</w:t>
      </w:r>
    </w:p>
    <w:p>
      <w:r>
        <w:t>能掌握比較行政興起的三次方法論轉向,以及比較行政群體(CAG)的貢獻、終止資助的真正原因與其對當代治理研究的啟示。</w:t>
      </w:r>
    </w:p>
    <w:p>
      <w:r>
        <w:t>能深入解析Riggs稜柱模型(鎔合、稜柱、繞射)與SALA模型,辨識異質性、重疊性與形式主義三大病理,並對比已開發與開發中國家的行政文化與體制。</w:t>
      </w:r>
    </w:p>
    <w:p>
      <w:r>
        <w:t>能分析全球化對行政的五大衝擊、競爭型國家與調節型國家的轉型,以及行政革新與發展行政的意涵與台灣經驗。</w:t>
      </w:r>
    </w:p>
    <w:p>
      <w:r>
        <w:t>能論述COVID-19後韌性行政五特徵,並運用於我國數位治理案例的分析與評估。</w:t>
      </w:r>
    </w:p>
    <w:p>
      <w:r>
        <w:t>能闡釋數位/AI環境作為「第四環境」的興起,包含資料作為戰略資源(呼應資料共有財)與2023-2024全球AI治理四模式比較。</w:t>
      </w:r>
    </w:p>
    <w:p>
      <w:r>
        <w:t>能運用25-3-3-4-7架構之情境建構鏈與資料代表性審計,分析行政環境如何形塑並制約本書前六章建立的公共性、官僚課責與行政倫理體系。</w:t>
      </w:r>
    </w:p>
    <w:p>
      <w:r>
        <w:t>開場與定位</w:t>
      </w:r>
    </w:p>
    <w:p>
      <w:r>
        <w:t>「政府不是在真空中運作,行政行為深受其所處生態環境的制約;無視環境的行政,如同離水的魚。」——Fred W. Riggs,《The Ecology of Public Administration》,1961</w:t>
      </w:r>
    </w:p>
    <w:p>
      <w:r>
        <w:t>第六章結尾已經預告:行政倫理與責任終究不是在真空中運作,而是鑲嵌於特定的政治、經濟、社會與科技環境之中。本章正是回應這個提問——把分析焦點從「層次一:哲學與價值」下降到「層次二:制度分工」,探討公共行政所處的外部環境,如何形塑、也限制了前六章所建立的公共性、官僚權威與行政倫理體系。</w:t>
      </w:r>
    </w:p>
    <w:p>
      <w:r>
        <w:t>本章依序從Gaus與Riggs的行政生態學出發,經由比較行政的三次方法論轉向,深入Riggs稜柱模型與SALA模型,檢視已開發與開發中國家的行政文化差異;接著分析全球化對行政的衝擊、行政革新與發展行政的意涵。讀完前六節後,本章將以相當篇幅處理數位/AI環境作為「第四環境」的興起——資料作為戰略資源、後疫情韌性行政五特徵,以及2023-2024全球AI治理競合下的四種模式比較,並引入一組完整的資訊社會理論脈絡,說明台灣如何在這場全球競合中定位自身路徑。</w:t>
      </w:r>
    </w:p>
    <w:p>
      <w:r>
        <w:t>第一節　行政環境的意涵與行政生態學</w:t>
      </w:r>
    </w:p>
    <w:p>
      <w:r>
        <w:t>一、行政環境的定義與類型</w:t>
      </w:r>
    </w:p>
    <w:p>
      <w:r>
        <w:t>行政環境(administrative environment)指行政體系外部存在,並對行政體系產生影響,且行政體系無法在短期內完全控制的諸般條件總和(Gaus, 1947)。高斯(John Gaus)在《生態學途徑對公共行政研究的反省》中首倡生態研究,主張應從人、地方、物理技術、社會制度、理念與人格五要因理解行政;達爾(Dahl, 1947)則進一步批判傳統原則學派忽略環境,主張比較行政必須具有生態敏感性,這正是本章第二節比較行政興起的思想前奏。</w:t>
      </w:r>
    </w:p>
    <w:p>
      <w:r>
        <w:t>傳統分類將環境依PESTEL分為政治(Political)、經濟(Economic)、社會(Social)、科技(Technological)、生態(Ecological)、法律(Legal)六構面。在AI世代,本章主張增列第七構面:數位/資料環境(Digital/Data),作為繼自然、社會、政治環境之後的獨立分析層——第四環境。這個增補並非趕流行式的技術樂觀論,而是承認資料基礎設施與演算法系統,已經具備足以獨立形塑行政運作的結構性力量,值得與傳統六構面並列分析,而不再只是「科技」構面下的一個附屬項目。</w:t>
      </w:r>
    </w:p>
    <w:p>
      <w:r>
        <w:t>表7-1　行政環境的七構面與對行政的結構制約</w:t>
      </w:r>
    </w:p>
    <w:p>
      <w:r>
        <w:t>二、行政生態學的興起與核心主張</w:t>
      </w:r>
    </w:p>
    <w:p>
      <w:r>
        <w:t>行政生態學(Ecological Approach)將生物學的生態概念引介至行政研究,主張行政體系如同有機體,持續與外在環境交換能量與資訊,並在互動中調整內部結構與功能(Riggs, 1961)。其核心命題有三:第一,相互依存性,環境形塑行政,行政亦反作用於環境,並非單向決定;第二,動態適應性,行政需具負熵(negentropy)能力,透過資訊與學習對抗組織惰性與崩解;第三,情境合宜性(contextual fit),世上並無普世最佳的行政模式,西方官僚制移植到開發中國家,往往產生水土不服。Heady(2022)在《Public Administration: A Comparative Perspective》第七版中重申,生態途徑是比較行政的認識論基石,忽略生態脈絡的改革移植,多以失敗收場。</w:t>
      </w:r>
    </w:p>
    <w:p>
      <w:r>
        <w:t>第二節　比較行政的開展與比較行政群體(CAG)</w:t>
      </w:r>
    </w:p>
    <w:p>
      <w:r>
        <w:t>一、比較行政的意義與三次轉向</w:t>
      </w:r>
    </w:p>
    <w:p>
      <w:r>
        <w:t>比較行政(Comparative Public Administration, CPA)指有系統地比較不同國家、文化與時空背景下行政制度、行為與改革的異同,以建立具通則性又不失情境敏感的中程理論。依Riggs(1962)與Heady(2022)的綜整,其發展歷經三次典範轉向:從規範到經驗(Normative to Empirical),二戰前以德、法官房學為典範,推崇單一理想官僚制,二戰後轉向經驗實證,承認行政現象需要實地調查;從個別記述到通則建立(Idiographic to Nomothetic),早期學者僅作文官制度的國別記述,後期則追求跨文化通則與類型學;從非生態到生態(Non-ecological to Ecological),承認行政與環境的鑲嵌性,為比較行政群體的興起做好理論準備。</w:t>
      </w:r>
    </w:p>
    <w:p>
      <w:r>
        <w:t>二、比較行政群體(CAG)的成立、貢獻與限制</w:t>
      </w:r>
    </w:p>
    <w:p>
      <w:r>
        <w:t>比較行政群體(Comparative Administration Group, CAG)成立於1963年,隸屬於美國公共行政學會(ASPA),由福特基金會(Ford Foundation)資助,主席為雷格斯(Fred W. Riggs, 1960-1970)。其貢獻有三:將比較行政研究焦點由已開發國家轉向亞、非、拉新興獨立國家,開創發展行政(Development Administration)研究;引入生態概念與結構功能論,提出本章第三節的稜柱模型;發行大量比較行政論文與工作坊,培養Heady、Diamant、Montgomery等重要學者。然而1971年福特基金會終止資助,原因有二:外部認為CAG過度理論化,缺乏對美國外交政策(如越戰下的發展援助)的實務解方;內部則因成員對「發展」定義本身意見分歧。CAG於1973年併入國際比較研究委員會(SICA)——但這並非研究途徑的失敗,而是比較行政研究的常態化:全球化使比較成為必要,原本CAG開創的研究途徑,已經融入主流公共行政研究之中,不再需要一個獨立的專責群體維繫。這段歷史對本章稍後討論AI治理研究,也具有明確的啟示:基礎理論建構與實務解方之間如何平衡,是任何新興治理領域都必須面對的張力。</w:t>
      </w:r>
    </w:p>
    <w:p>
      <w:r>
        <w:t>第三節　雷格斯稜柱模型與開發中國家行政</w:t>
      </w:r>
    </w:p>
    <w:p>
      <w:r>
        <w:t>一、從農業-工業二分到五面向轉型</w:t>
      </w:r>
    </w:p>
    <w:p>
      <w:r>
        <w:t>Riggs早期受結構功能論(Parsons, Merton)影響,認為社會由農業社會(Agraria)向工業社會(Industria)轉型,行政則由傳統向現代轉型。但這個二分過於粗略,無法解釋多數同時具有傳統與現代特徵的開發中國家,因此Riggs提出過渡型態的稜柱社會(Prismatic</w:t>
      </w:r>
    </w:p>
    <w:p>
      <w:r>
        <w:t>Society),主張任何社會可由五個功能面向衡量轉型程度:經濟(物資交換)、社會(社會化與社團形成)、象徵(正當性與政治符號)、政治(權力分配)、行政(政策執行)。</w:t>
      </w:r>
    </w:p>
    <w:p>
      <w:r>
        <w:t>二、鎔合、稜柱、繞射三模型</w:t>
      </w:r>
    </w:p>
    <w:p>
      <w:r>
        <w:t>借用光學稜柱將白光分解為多色光譜的隱喻,Riggs提出社會轉型的光譜三階段:鎔合型(Fused)社會結構與功能高度重疊未分化,近似傳統社會;稜柱型(Prismatic)社會處於分化過程中,傳統與現代結構並存交錯,如同光線穿越稜柱正在分解的瞬間;繞射型(Diffracted)社會結構高度分化、功能專化,近似現代工業社會。多數開發中國家正處於稜柱階段,這正是Riggs理論最具解釋力之處。</w:t>
      </w:r>
    </w:p>
    <w:p>
      <w:r>
        <w:t>表7-2　Riggs三社會模型對照</w:t>
      </w:r>
    </w:p>
    <w:p>
      <w:r>
        <w:t>三、稜柱社會的三大病理與SALA模型</w:t>
      </w:r>
    </w:p>
    <w:p>
      <w:r>
        <w:t>Riggs指出稜柱社會存在三大結構性病理。異質性(Heterogeneity)指同一時空並存截然不同的制度、行為與觀點,例如同一都市中現代化醫院與傳統民俗療法並存,文官同時受大學專業訓練與家族忠誠拉扯,新舊並存造成認同混亂——須特別澄清,異質性本身並不等同於貪腐,而是新舊制度落差的過渡現象。重疊性(Overlapping)指源自傳統的結構與源自現代的正式結構重疊,一種功能由不同結構履行,或一結構履行矛盾功能,造成權責混淆,例如正式編制外仍有非正式親族派系實際主導決策。形式主義(Formalism)指憲法、法律、計畫等形式規範與實際行為脫節率偏高,法規理想崇高但執行力低落,這同樣不等同於貪腐——貪污只是形式主義可能導致的極端後果之一,更多時候形式主義導致的是清談與無作為。</w:t>
      </w:r>
    </w:p>
    <w:p>
      <w:r>
        <w:t>SALA模型:Riggs將稜柱社會的行政機關稱為SALA,語源自泰語sala(小亭)與西班牙語sala(衙門)。其特徵兼具官僚制外形與家族、派系、恩庇實質——有官僚職位但選才重親緣,有預算書但挪用挪移,有正式分工但實際多頭馬車。這個模型對理解我國地方派系與人情文化研究,至今仍有啟發性。此外,bazaar-canteen經濟隱喻中,bazaar為市集,依關係議價;canteen為軍中福利社,依公定價格與規費收費;二者並存意謂行政補貼價格與市場價格雙軌運作,容易產生套利與尋租空間。</w:t>
      </w:r>
    </w:p>
    <w:p>
      <w:r>
        <w:t>第四節　行政文化與行政體制:已開發與開發中國家對比</w:t>
      </w:r>
    </w:p>
    <w:p>
      <w:r>
        <w:t>行政文化(administrative culture)指特定環境下,人民與官僚對行政體系之認知、情感與評價所構成之價值信念與行為模式總和。Heady(2022)區分已開發(繞射型)與開發中/低度開發(稜柱型為主)兩型,兩者在文化價值、官僚專業、權力結構、控制取向、與環境關係、代表病理與改革動力等面向,均呈現系統性差異。</w:t>
      </w:r>
    </w:p>
    <w:p>
      <w:r>
        <w:t>表7-3　已開發與開發中國家行政文化與體制對比</w:t>
      </w:r>
    </w:p>
    <w:p>
      <w:r>
        <w:t>就台灣而言,行政文化整體已開發特徵為主——功績用人、法治框架、專業分工大致完備,惟仍殘留派系、人情與部分形式主義等稜柱痕跡,故較適切的定位是「已開發中的稜柱殘餘」混合型,而非簡單歸入任一極端,這正是台灣行政環境研究深具比較價值之處。</w:t>
      </w:r>
    </w:p>
    <w:p>
      <w:r>
        <w:t>第五節　全球化作為行政環境</w:t>
      </w:r>
    </w:p>
    <w:p>
      <w:r>
        <w:t>一、全球化的多重定義</w:t>
      </w:r>
    </w:p>
    <w:p>
      <w:r>
        <w:t>全球化指跨國界之人員、資本、資訊、技術與理念加速流動,使各地互賴加深的過程。學理上有四重詮釋(Held et al., 2020):國際化(internationalization),指國與國互動密度增加;自由化(liberalization),指拆除管制、邊界開放;普同化(universalization),指價值與制度趨同;去領土化(deterritorialization),指社會關係超越地理疆界。在行政學上,全球化最核心的意涵並非單純的國際化,而是「內外鑲嵌、治理尺度重組」——國內行政體系必須直接處理原本屬於國際層次的議題,國際規範也直接內國化為行政運作的一部分。</w:t>
      </w:r>
    </w:p>
    <w:p>
      <w:r>
        <w:t>二、全球化對行政的五大衝擊</w:t>
      </w:r>
    </w:p>
    <w:p>
      <w:r>
        <w:t>全球化並未使國家消失,而是使國家轉型為「競爭型國家(Competition State)」與「調節型國家(Regulatory State)」:政府任務增加但直接生產減少,管制與協調功能相對提升。這個轉型具體反映在任務邊界、行為者、工具、課責與能力需求五個面向的結構轉型上。</w:t>
      </w:r>
    </w:p>
    <w:p>
      <w:r>
        <w:t>表7-4　全球化對行政運作的結構轉型</w:t>
      </w:r>
    </w:p>
    <w:p>
      <w:r>
        <w:t>第六節　行政革新與發展行政</w:t>
      </w:r>
    </w:p>
    <w:p>
      <w:r>
        <w:t>一、行政革新的定義與動因</w:t>
      </w:r>
    </w:p>
    <w:p>
      <w:r>
        <w:t>依Caiden(1969, 2022再版)定義,行政革新(administrative innovation)是「人為運用權力與影響,刻意引導行政體系轉型的歷程」,與自然演變不同,強調刻意性、價值性與未來導向。其動因包括財政緊迫、人民期待升高、科技創新、國際競爭與正當性危機(legitimacy crisis)。革新與改革(reform)常被混用:革新強調創新與價值重塑,改革強調修正與結構調整,本書以革新一詞涵括改革。</w:t>
      </w:r>
    </w:p>
    <w:p>
      <w:r>
        <w:t>二、發展行政 vs. 行政發展</w:t>
      </w:r>
    </w:p>
    <w:p>
      <w:r>
        <w:t>Weidner(1964)提出重要區分:發展行政(Development Administration)指為達成國家建構與社經發展目標而進行的行政作為,強調目標導向;行政發展(Administrative Development)指使行政體系自身具備執行發展任務能力的現代化過程,強調手段能力。二者如雞生蛋、蛋生雞,缺一不可。以台灣經驗為例,1960年代美援與經建會主導的進口替代與出口導向政策,即為發展行政的實踐;同期推行的人事、主計、企管現代化,則屬行政發展的具體展現。</w:t>
      </w:r>
    </w:p>
    <w:p>
      <w:r>
        <w:t>三、當代革新的三面向</w:t>
      </w:r>
    </w:p>
    <w:p>
      <w:r>
        <w:t>參照典範演變,並呼應Deloitte(2024)政府趨勢報告,本章將行政革新歸納為三面向。結構革新:專案組織、去任務化(民間可做的政府不做)、地方化、行政法人化,2002年我國「四化」原則——去任務化、地方化、行政法人化、委外化——即屬此面向。技術革新:績效管理、電子化政府→數位政府→AI驅動政府,從G2C/G2B/G2G/G2E的分眾服務模式,進一步走向平台政府(Gov-as-a-Platform)。價值革新:從顧客導向(新公共管理NPM)→公民導向(新公共服務NPS)→公共價值(公共價值管理PVM)→協同與韌性(新公共治理NPG/韌性治理),這條價值軸線,正是連結本章行政環境與第四、六章公共價值、行政倫理的重要橋梁。</w:t>
      </w:r>
    </w:p>
    <w:p>
      <w:r>
        <w:t>第七節　本教科書定位</w:t>
      </w:r>
    </w:p>
    <w:p>
      <w:r>
        <w:t>依25-3-3-4-7架構,本章正確定位於「層次二:制度分工 × 社會/國際」分析單位,主要對應四條治理鏈中的「情境建構鏈」,並以「資料代表性審計」為主要檢視工具。行政生態學、比較行政、Riggs稜柱模型、全球化與行政革新,共同構成公共行政運作的外部結構制約,說明「為何而治」(哲學層)與「如何而治」(管理層)之間,還存在一層決定「在何種環境條件下可以治理」的結構中介;而數位/AI環境作為第四環境的興起,使這層結構中介的分析,變得更加迫切且具體——這正是本章接下來要深入處理的主題。</w:t>
      </w:r>
    </w:p>
    <w:p>
      <w:r>
        <w:t>AI鑲嵌後的權力與結構變化:第四環境與全球AI治理競合</w:t>
      </w:r>
    </w:p>
    <w:p>
      <w:r>
        <w:t>當資料、算力與模型本身成為一種環境,傳統行政生態學的分析架構是否仍然適用?全球AI治理的分裂與競合,又如何具體影響台灣的行政環境?本節依序處理第四環境的興起與其思想脈絡、資料作為戰略資源、後疫情韌性行政五特徵、2023-2024全球AI治理四模式比較、治理新議題,以及台灣脈絡與案例。</w:t>
      </w:r>
    </w:p>
    <w:p>
      <w:r>
        <w:t>一、</w:t>
      </w:r>
    </w:p>
    <w:p>
      <w:r>
        <w:t>第四環境的興起:從自然環境到數位環境</w:t>
      </w:r>
    </w:p>
    <w:p>
      <w:r>
        <w:t>傳統行政生態學僅將科技列為環境之一環,但在生成式AI與資料基礎設施時代,數位環境已成為自成邏輯的新環境,具備半自主性演化能力(Rahman &amp; Thelen, 2023)。本教科書主張,數位環境(Digital Environment)是繼物理、社會、政治環境之後的第四環境,具有三項特徵:非地域性與可複製性,資料與模型可以零邊際成本複製,但算力與基礎設施卻高度集中於美國與少數平台企業;代理性(Agency),AI具備半自主決策能力,Young等人(2023)在《Public Administration Review》提出AI委託代理模型——人類公務員→AI系統→公民——AI雖無意識,卻已重塑行政裁量的實質內容,學界稱之為「人工裁量(Artificial Discretion)」與「街頭演算法(Street-Level Algorithm)」(Alkhatib &amp; Bernstein, 2023);基礎設施化,資料、雲端與模型逐漸成為如水電一般的公共基礎設施,政府無法自外於平台依賴,卻又必須避免陷入數位殖民的風險。</w:t>
      </w:r>
    </w:p>
    <w:p>
      <w:r>
        <w:t>要理解第四環境何以具有如此力量,必須把它放回一段更長的資訊社會理論脈絡之中。這段脈絡從貝爾(Bell, 1973)的後工業社會理論出發,主張知識與資訊將取代資本與勞動,成為社會組織的軸心原則;增田米二(Masuda, 1981/1994)進一步提出資訊社會理論,描繪一個以資訊生產與流通為核心的新社會型態;卡斯提爾(Castells, 1996)的網絡社會理論,則主張社會權力已從科層節點轉移至網絡節點本身,我國學者盧建旭亦於同年在《政治科學論叢》發表相關評述,將這股理論脈絡引介入國內行政學界;到了帕斯奎爾(Pasquale, 2015)的黑箱社會理論,焦點進一步聚焦於演算法決策的不透明性,此一時期也正是方特恩(Fountain, 2001)所稱「科技制訂與制度轉向」出現方法論分岔的關鍵節點——究竟該把科技視為外生變數,還是視為與制度共構的內生力量,自此分歧為兩條研究路徑;范迪克等人(van Dijck et al., 2018)的平台社會理論,主張社會生活已被少數平台的基礎設施邏輯重新組織;祖博夫(Zuboff, 2019)的監控資本主義理論,揭露行為資料如何被系統性商品化為預測性產品;克勞馥(Crawford, 2021)則從物質與生態角度,揭示AI運作背後的行星成本(礦產、能源、勞動);瓦魯法克斯(Varoufakis, 2023)的技術封建主義理論,進一步主張平台巨頭已不再只是市場中的資本家,而是透過對數位基礎設施的獨佔,收取近似封建地租的「雲端租金」。</w:t>
      </w:r>
    </w:p>
    <w:p>
      <w:r>
        <w:t>圖7-1　資訊社會概念演進:從後工業社會到生成式AI社會(1973-2026)</w:t>
      </w:r>
    </w:p>
    <w:p>
      <w:r>
        <w:t>這段長達半世紀的理論脈絡,在2022至2026年間的生成式AI浪潮中,並未收斂為單一敘事,而是分裂並存為三條競合軌跡:其一為演算法資本主義/技術封建主義軌跡,延續祖博夫與瓦魯法克斯的批判取徑,強調平台對資料與算力的獨佔性收租;其二為規制型數位國家軌跡,以歐盟《數位服務法》(DSA)與《數位市場法》(DMA)為代表,主張唯有透過強制性的權利與風險導向規制,才能馴服平台權力;其三為科技集團化軌跡,晶片與資料管制沿著地緣政治斷層線分裂,美中兩大集團各自建構排他性的技術供應鏈與資料主權範圍。這三條軌跡同時並存、彼此拉扯,本教科書亦不在此刻選定其一為終局答案——這正是「第四環境」不同於物理、社會、政治環境之處:它不僅是一個既定的外部條件,其自身的未來型態,仍在被全球治理競合積極形塑之中。</w:t>
      </w:r>
    </w:p>
    <w:p>
      <w:r>
        <w:t>這三條軌跡對台灣的行政環境分析尤其重要,因為台灣同時鑲嵌在三條軌跡的交會點上:作為全球半導體供應鏈的關鍵節點,台灣直接承受科技集團化軌跡的地緣政治壓力;作為積極推動AI基本法草案與主權AI的中小型民主國家,台灣的政策選擇又更貼近規制型數位國家與公民共創路徑,而非放任式的演算法資本主義。</w:t>
      </w:r>
    </w:p>
    <w:p>
      <w:r>
        <w:t>表7-7　生成式AI社會敘事的三條競合軌跡(2022-2026)</w:t>
      </w:r>
    </w:p>
    <w:p>
      <w:r>
        <w:t>二、資料作為戰略資源:呼應資料共有財</w:t>
      </w:r>
    </w:p>
    <w:p>
      <w:r>
        <w:t>本節將資料提升至戰略層次分析。第一,資料不再只是行政作業的副產品,而是核心生產要素,OECD(2024)《Data for Public Value》指出,政府資料治理成熟度與國家競爭力高度相關。第二,歐斯壯(Ostrom, 1990)提出的八項共有財治理原則,可轉譯為資料治理的制度設計:明確界定資料邊界、使用者參與規則制定、集體選擇安排、監督機制、可分級制裁、衝突解決機制、組織權承認、巢狀企業體制——這正是我國《資料治理指引》與數位發展部「國家資料治理架構」的理論基礎。第三,從電子化政府時代的「開放資料」,走向AI政府時代的「資料戰略」,必須同時處理跨機關整合、隱私保護(privacy-preserving)、公私資料協力(data trust, data commons)與資安韌性等課題。第四,必須特別強調:資料治理若僅強調「應消除資料交換障礙」,而未處理隱私與不當連結風險,將是危險的簡化。2023-2024年國際共識已轉向「可信賴資料共享(Trusted Data Sharing)」,強調去識別化、目的限制與公民授權,而非無限制共享——這一點,呼應本章稍早對資料作為共有財的強調:共有財治理從來不等於無限制開放。</w:t>
      </w:r>
    </w:p>
    <w:p>
      <w:r>
        <w:t>三、韌性環境與後COVID-19五特徵</w:t>
      </w:r>
    </w:p>
    <w:p>
      <w:r>
        <w:t>COVID-19大流行揭露了傳統官僚體系的結構脆弱性,也催生了一套後疫情韌性行政的理論輪廓。整合韌性治理文獻(Ansell et al., 2021; OECD, 2023; Deloitte, 2024),可歸納為五項特徵:不預設解方,面對複合挑戰,無單一終極解方,需以問題為導向,循漸進、架構化摸索,先開議、建夥伴網絡、小規模試驗、滾動學習(Andrews et al., 2020的PDIA途徑);內聚外開,對內跨域整合(健康、經濟、教育並治),對外納入企業、科學社群、公民社會,打破本位與層級;實驗容錯,由零錯誤文化轉向實驗型政府,容許失敗、快速回饋,並編列實驗預算(OECD OPSI, 2023);資料戰略,將資料視為戰略資源,打破資料孤島、推動公私資料協力,運用AI與衛星、移動、交易等非傳統資料提升決策即時性,同時兼顧隱私;貼近公民,將公民置於政策生命週期中心,從數位化櫃檯到簡化流程、主動服務與近用性(可及、無障礙、行動友善),以推力而非禁罰為導向。</w:t>
      </w:r>
    </w:p>
    <w:p>
      <w:r>
        <w:t>表7-5　後疫情時代韌性行政的五特徵</w:t>
      </w:r>
    </w:p>
    <w:p>
      <w:r>
        <w:t>四、AI全球治理與2023-2024比較AI治理模式</w:t>
      </w:r>
    </w:p>
    <w:p>
      <w:r>
        <w:t>AI已同時具備環境本身與治理工具的雙重性,全球因而出現「AI治理競逐(AI Governance Race)」。依據OECD AI Policy Observatory(2024)、Stanford AI Index(2024)與Roberts等人(2024)的比較研究,可分為四種模式:市場驅動模式以美國為代表,核心邏輯是創新優先、分散式自律、事後究責,關鍵文件包括NIST AI RMF(2023)與白宮行政命令14110(2023);權利/風險導向模式以歐盟為代表,以基本權利為基礎,採取風險四級分類(不可接受、高、中、低)</w:t>
      </w:r>
    </w:p>
    <w:p>
      <w:r>
        <w:t>,關鍵法規為2024年6月正式通過、2025-2026年分階實施的《人工智慧法》(EU AI Act);國家安全導向模式以威權體制為對照分析對象,核心邏輯是國家安全與社會穩定優先,對全球AI環境產生制度外溢與標準競爭效應,台灣需以韌性因應;公民共創/小國靈活模式則以台灣、英國、新加坡為代表,強調小國敏捷、公民參與、監理沙盒與人權連結創新,關鍵文件包括我國AI基本法草案(2024)、AI行動方案2.0、英國布萊切利AI安全高峰會(2023)與新加坡Model AI Governance Framework(2024)。</w:t>
      </w:r>
    </w:p>
    <w:p>
      <w:r>
        <w:t>表7-6　2023-2024比較AI治理模式</w:t>
      </w:r>
    </w:p>
    <w:p>
      <w:r>
        <w:t>五、治理新議題</w:t>
      </w:r>
    </w:p>
    <w:p>
      <w:r>
        <w:t>AI與行政裁量稀釋:Bullock等人(2023)指出,自動化決策導致「課責空洞化」,公務員過度依賴系統建議形成自動化偏誤(automation bias),需設計「人在迴路(Human-in-the-Loop)」與可解釋性(XAI, Explainable AI)機制加以對抗。</w:t>
      </w:r>
    </w:p>
    <w:p>
      <w:r>
        <w:t>資料與算力不平等:算力集中於少數雲端業者,政府因而出現「主權雲(Sovereign Cloud)」與「可攜式模型」的需求,以避免陷入平台俘虜(Platform Capture)。</w:t>
      </w:r>
    </w:p>
    <w:p>
      <w:r>
        <w:t>公共價值失靈的AI版:Bozeman(2023)與Fazekas與Cingolani(2024)將公共價值失靈(Public Value Failure)概念擴充至演算法領域——偏見歧視、黑箱不透明、可追溯性缺失、公民無法有效爭訟,這正呼應本書「層次一:哲學與價值」對公共性的核心關懷。</w:t>
      </w:r>
    </w:p>
    <w:p>
      <w:r>
        <w:t>永續與韌性:生成式AI高度耗能,行政治理需納入綠色算力(Green Computing)、資安韌性(Resilient Cloud),並與永續發展目標SDG 9(產業創新與基礎設施)及SDG 13(氣候行動)相連結。</w:t>
      </w:r>
    </w:p>
    <w:p>
      <w:r>
        <w:t>六、三種權力移轉</w:t>
      </w:r>
    </w:p>
    <w:p>
      <w:r>
        <w:t>情境建構權(P1):訓練資料的標註方式、提示模板的預設類別,以及AI治理各國模式背後的風險分級標準,都預先框定了何種議題會被納入「治理議題」的範疇、何種聲音會被排除在外,行政環境原本應由制度性審議完成的「議題界定」環節,悄悄前移至資料工程與模型設計階段。</w:t>
      </w:r>
    </w:p>
    <w:p>
      <w:r>
        <w:t>行政裁量權(P2):街頭演算法與人工裁量,承擔了原本由基層公務員在特定環境條件下行使的第一輪裁量功能,而這輪裁量又高度依賴算力與雲端基礎設施的可近用性,使裁量權間接受制於少數平台企業的商業條件。</w:t>
      </w:r>
    </w:p>
    <w:p>
      <w:r>
        <w:t>公權力影響力(P3):晶片供應商、雲端服務商與大型AI模型開發商,雖為私人組織,卻透過對基礎設施的掌控,實質參與了「什麼才算可治理的環境條件」之定義權——這正是科技集團化軌跡對公權力邊界最直接的衝擊。</w:t>
      </w:r>
    </w:p>
    <w:p>
      <w:r>
        <w:t>七、三種結構性效應</w:t>
      </w:r>
    </w:p>
    <w:p>
      <w:r>
        <w:t>跨格移動:行政環境原本屬於「層次二:制度分工」的結構制約分析,卻因資料與算力的高度集中,向下滲透至「層次五:管理運作」的日常技術依賴,使制度層次的環境分析,被壓縮為對少數雲端供應商商業條款的被動接受。</w:t>
      </w:r>
    </w:p>
    <w:p>
      <w:r>
        <w:t>邊界消解:國家行政體系原本清楚的轄區邊界,因平台社會與全球資料流動而日益模糊,國家從直接生產者轉型為競爭型與調節型國家,行政環境的「內」與「外」不再能截然二分。</w:t>
      </w:r>
    </w:p>
    <w:p>
      <w:r>
        <w:t>權威重構:誰有權定義「何謂風險」「何謂治理議題」,逐漸從國家行政權威,部分轉移至掌握訓練資料與運算基礎設施的技術行為者手中,這正是本章一再強調「資料代表性審計」不可或缺的制度性理由。</w:t>
      </w:r>
    </w:p>
    <w:p>
      <w:r>
        <w:t>八、台灣脈絡與案例</w:t>
      </w:r>
    </w:p>
    <w:p>
      <w:r>
        <w:t>我國數位發展部持續推動AI基本法草案(2024)與AI行動方案2.0,並設立AI評測中心,對政府與企業AI系統進行風險評估;同時推動TAIDE(可信賴AI對話引擎)作為主權AI的具體實踐,以及主權雲規劃,降低對外國雲端業者的結構性依賴。這些制度選擇,清楚展現台灣在三條資訊社會競合軌跡中的定位:一方面積極貼近規制型數位國家與公民共創/小國靈活模式,以監理沙盒、資料信託與人權連結創新回應歐盟權利風險導向的精神;另一方面,作為全球半導體供應鏈的關鍵節點,台灣的行政環境又無可迴避地直接承受科技集團化軌跡的地緣政治壓力——晶片管制、資料在地化要求與供應鏈重組,都不是單純的產業政策議題,而是本章所稱「第四環境」對行政體系的結構性制約。整體而言,我國政府AI治理已具備部分制度雛形,但距離資料主權、算力主權與模型主權三者兼備的完整第四環境治理能力,仍有相當距離。</w:t>
      </w:r>
    </w:p>
    <w:p>
      <w:r>
        <w:t>四鏈追蹤＋七項審計應用</w:t>
      </w:r>
    </w:p>
    <w:p>
      <w:r>
        <w:t>本章討論的行政環境與第四環境興起,可對應至四條治理鏈逐一檢視,其中又以「情境建構鏈」最貼近本章「層次二:制度分工 × 社會/國際」的定位。</w:t>
      </w:r>
    </w:p>
    <w:p>
      <w:r>
        <w:t>表7-8　四條治理鏈與七項治理審計:以行政環境與第四環境為例</w:t>
      </w:r>
    </w:p>
    <w:p>
      <w:r>
        <w:t>案例與思考討論</w:t>
      </w:r>
    </w:p>
    <w:p>
      <w:r>
        <w:t>案例思考</w:t>
      </w:r>
    </w:p>
    <w:p>
      <w:r>
        <w:t>我國作為全球半導體供應鏈的關鍵節點,近年積極推動AI基本法草案、TAIDE主權AI對話引擎與主權雲規劃,期望在全球AI治理競合中走出「公民共創/小國靈活模式」的自主路徑。然而,晶片出口管制與資料在地化要求,卻使台灣的行政環境同時被捲入科技集團化軌跡的地緣政治斷層線之中——政府一方面必須以監理沙盒與人權連結創新回應歐盟式的權利風險導向精神,另一方面又必須在算力採購、雲端服務選擇上,承受來自不同技術集團的結構性壓力。依本章行政生態學「相互依存性」與「情境合宜性」的核心命題分析,這個案例顯示:即使制度設計者有意識地選擇特定治理模式,行政環境的第四環境層面,仍可能因全球供應鏈與地緣政治因素,產生制度設計者無法完全掌控的外部制約。</w:t>
      </w:r>
    </w:p>
    <w:p>
      <w:r>
        <w:t>延伸思考</w:t>
      </w:r>
    </w:p>
    <w:p>
      <w:r>
        <w:t>1、請以Riggs稜柱模型分析我國地方政府仍存在的派系、紅包與關說文化:何者屬於異質性、重疊性、形式主義與SALA?並評論Riggs模型在AI世代是否仍具解釋力?</w:t>
      </w:r>
    </w:p>
    <w:p>
      <w:r>
        <w:t>2、試以本章表7-6四種AI治理模式,評估我國AI基本法草案較接近何種模式?若我國欲採「公民共創/小國靈活模式」,在25分類矩陣中,制度結構層需要哪些配套(如主權雲、資料信託、人在迴路、演算法影響評估)才能支撐管理過程層的落實?</w:t>
      </w:r>
    </w:p>
    <w:p>
      <w:r>
        <w:t>3、資料作為戰略資源與資料作為共有財之間存在張力:戰略性強調國安與競爭,共有財強調開放與共享。請運用Ostrom八項原則,設計一套「可信賴資料共享」機制,並說明如何避免僅強調消除交換障礙而忽略隱私與不當連結的風險。</w:t>
      </w:r>
    </w:p>
    <w:p>
      <w:r>
        <w:t>本章小結</w:t>
      </w:r>
    </w:p>
    <w:p>
      <w:r>
        <w:t>行政環境由物理、政經、社會、法律,延伸至數位/資料的第四環境。行政生態學揭示環境與行政相互依存、動態適應與情境合宜,世上並無放諸四海皆準的最佳行政模式。比較行政歷經三次方法論轉向,比較行政群體(CAG)以稜柱模型解釋開發中國家的行政病理——異質性、重疊性、形式主義與SALA,說明西方官僚制的直接移植,容易產生水土不服。已開發與開發中國家行政文化的系統性對比,顯示台灣屬於「已開發中的稜柱殘餘」混合型,深具比較研究價值。全球化使國家從直接生產者轉型為競爭型與調節型國家,治理邊界日益模糊、工具日趨多元、課責日漸多重;行政革新則需在結構、技術與價值三面向並進,發展行政與行政發展互為因果,缺一不可。</w:t>
      </w:r>
    </w:p>
    <w:p>
      <w:r>
        <w:t>進入AI世代,數位/資料環境已成為具半自主代理能力、基礎設施化的第四環境,其思想脈絡可追溯至貝爾的後工業社會、增田米二的資訊社會、卡斯提爾的網絡社會、帕斯奎爾的黑箱社會、范迪克等人的平台社會、祖博夫的監控資本主義,直至克勞馥的行星成本與瓦魯法克斯的技術封建主義</w:t>
      </w:r>
    </w:p>
    <w:p>
      <w:r>
        <w:t>——這段脈絡在生成式AI浪潮中,分裂並存為演算法資本主義、規制型數位國家與科技集團化三條競合軌跡,尚未收斂於單一終局。COVID-19揭露官僚體系的結構脆弱性,催生了不預設解方、內聚外開、實驗容錯、資料戰略、貼近公民五項韌性特徵;2023-2024全球AI治理則形成美、歐、威權體制與台灣等四種模式競合,資料作為共有財與戰略資源的雙重性、AI委託代理下的人工裁量與自動化偏誤、演算法版公共價值失靈,都已成為制度結構層次必須正視的新制約。全章定位於25分類矩陣制度結構層的外在環境,作為連結上游哲學價值層與下游管理過程層的結構中介,也為下一章討論政府與市場的抉擇,奠定生態基礎。</w:t>
      </w:r>
    </w:p>
    <w:p>
      <w:r>
        <w:t>關鍵詞彙</w:t>
      </w:r>
    </w:p>
    <w:p>
      <w:r>
        <w:t>行政環境 Administrative Environment　影響行政體系運作的外部條件總和,含政治、經濟、社會、科技、生態、法律與數位七構面。</w:t>
      </w:r>
    </w:p>
    <w:p>
      <w:r>
        <w:t>行政生態學 Ecology of Public Administration　Gaus、Riggs主張以生態互動觀,分析行政與環境相互依存與適應的研究途徑。</w:t>
      </w:r>
    </w:p>
    <w:p>
      <w:r>
        <w:t>比較行政 Comparative Public Administration (CPA)　系統化比較各國行政制度以建立中程理論的次領域。</w:t>
      </w:r>
    </w:p>
    <w:p>
      <w:r>
        <w:t>比較行政群體 CAG　1963年成立、福特基金會資助、Riggs主持,開創生態與發展行政研究,1971年終止資助,並非研究失敗而是常態化。</w:t>
      </w:r>
    </w:p>
    <w:p>
      <w:r>
        <w:t>稜柱社會 Prismatic Society　Riggs指同時具有傳統與現代特徵的過渡型社會,為開發中國家的典型型態。</w:t>
      </w:r>
    </w:p>
    <w:p>
      <w:r>
        <w:t>鎔合/稜柱/繞射模型　Riggs的社會轉型光譜三階段,分別對應傳統、過渡、現代社會的分化程度。</w:t>
      </w:r>
    </w:p>
    <w:p>
      <w:r>
        <w:t>異質性 Heterogeneity　同一時空並存不調和的制度與行為,是過渡期病理而非等同貪腐。</w:t>
      </w:r>
    </w:p>
    <w:p>
      <w:r>
        <w:t>重疊性 Overlapping　不同結構履行相同功能,或一結構履行矛盾功能,致使權責不清。</w:t>
      </w:r>
    </w:p>
    <w:p>
      <w:r>
        <w:t>形式主義 Formalism　理想規範與實際行為脫節率偏高,貪污僅為其可能後果之一。</w:t>
      </w:r>
    </w:p>
    <w:p>
      <w:r>
        <w:t>SALA Model　稜柱社會行政機關的原型,外具官僚形式、內含家族恩庇實質。</w:t>
      </w:r>
    </w:p>
    <w:p>
      <w:r>
        <w:t>發展行政 vs. 行政發展　前者為達成發展目標之行政作為,後者為提升行政能力本身之現代化過程。</w:t>
      </w:r>
    </w:p>
    <w:p>
      <w:r>
        <w:t>競爭型國家/調節型國家　全球化下國家從直接生產者轉型為著重管制與協調功能的兩種國家型態。</w:t>
      </w:r>
    </w:p>
    <w:p>
      <w:r>
        <w:t>第四環境 Fourth Environment　本章主張數位/資料環境已成為具半自主代理能力、基礎設施化的獨立環境構面。</w:t>
      </w:r>
    </w:p>
    <w:p>
      <w:r>
        <w:t>資料作為戰略資源　資料由行政副產品轉為核心生產要素,需以共有財治理與可信賴共享框架治理。</w:t>
      </w:r>
    </w:p>
    <w:p>
      <w:r>
        <w:t>韌性行政 Resilient Government　具備預應、吸納、恢復、學習與轉型能力之行政體系(OECD, 2023)。</w:t>
      </w:r>
    </w:p>
    <w:p>
      <w:r>
        <w:t>人工裁量 Artificial Discretion/街頭演算法　AI系統在街頭官僚裁量中扮演的替代與中介角色。</w:t>
      </w:r>
    </w:p>
    <w:p>
      <w:r>
        <w:t>比較AI治理 Comparative AI Governance　2023-2024形成市場驅動、權利/風險導向、國家安全導向、公民共創四模式並競的格局。</w:t>
      </w:r>
    </w:p>
    <w:p>
      <w:r>
        <w:t>技術封建主義 Technofeudalism　Varoufakis提出,主張平台巨頭透過獨佔數位基礎設施收取近似封建地租之利益。</w:t>
      </w:r>
    </w:p>
    <w:p>
      <w:r>
        <w:t>思考與討論</w:t>
      </w:r>
    </w:p>
    <w:p>
      <w:r>
        <w:t>一、CAG因過度理論化而被終止資助的歷史教訓,對當代AI治理研究有何啟示?基礎理論建構與實務解方應如何平衡?</w:t>
      </w:r>
    </w:p>
    <w:p>
      <w:r>
        <w:t>二、全球化對行政的衝擊常被誤解為國家退場,請以「競爭型國家」與「調節型國家」概念,分析我國數位發展部與金管會在平台治理中的角色轉變。</w:t>
      </w:r>
    </w:p>
    <w:p>
      <w:r>
        <w:t>三、COVID-19後五特徵(不預設解方至貼近公民)如何應用於我國生成式AI公務導入(如客服機器人、公文幫手)?請以實驗容錯與資料戰略二特徵,設計一個小規模實驗方案。</w:t>
      </w:r>
    </w:p>
    <w:p>
      <w:r>
        <w:t>四、圖7-1所呈現的三條資訊社會競合軌跡(演算法資本主義/技術封建主義、規制型數位國家、科技集團化),對台灣的行政環境分別帶來哪些具體挑戰?台灣是否可能同時受三條軌跡牽引,而非只選擇其一?</w:t>
      </w:r>
    </w:p>
    <w:p>
      <w:r>
        <w:t>五、以本章25分類矩陣定位,說明「政府採購雲端AI服務並簽署跨國資料傳輸協議」屬於何格?並分析其可能引發的權力移轉與結構性效應。</w:t>
      </w:r>
    </w:p>
    <w:p>
      <w:r>
        <w:t>六、本章主張資料作為戰略資源與資料作為共有財存在張力。請說明這個張力與第六章行政倫理討論的「公共利益誤導」結構性困境,是否具有相似的制度邏輯?</w:t>
      </w:r>
    </w:p>
    <w:p>
      <w:r>
        <w:t>延伸閱讀與參考文獻</w:t>
      </w:r>
    </w:p>
    <w:p>
      <w:r>
        <w:t>Gaus, J. M. (1947). Reflections on Public Administration. University of Alabama Press.</w:t>
      </w:r>
    </w:p>
    <w:p>
      <w:r>
        <w:t>Dahl, R. A. (1947). The Science of Public Administration: Three Problems. Public Administration Review, 7(1).</w:t>
      </w:r>
    </w:p>
    <w:p>
      <w:r>
        <w:t>Riggs, F. W. (1961). The Ecology of Public Administration. Asia Publishing House.</w:t>
      </w:r>
    </w:p>
    <w:p>
      <w:r>
        <w:t>Riggs, F. W. (1964). Administration in Developing Countries: The Theory of Prismatic Society. Houghton Mifflin.</w:t>
      </w:r>
    </w:p>
    <w:p>
      <w:r>
        <w:t>Heady, F. (2022). Public Administration: A Comparative Perspective (7th ed.). Routledge.</w:t>
      </w:r>
    </w:p>
    <w:p>
      <w:r>
        <w:t>Weidner, E. W. (1964). Development Administration in Asia. Duke University Press.</w:t>
      </w:r>
    </w:p>
    <w:p>
      <w:r>
        <w:t>Caiden, G. E. (1969, 2022 reprint). Administrative Reform. Aldine.</w:t>
      </w:r>
    </w:p>
    <w:p>
      <w:r>
        <w:t>Andrews, M., Pritchett, L., &amp; Woolcock, M. (2020). Building State Capability: Evidence, Analysis, Action. Oxford University Press.</w:t>
      </w:r>
    </w:p>
    <w:p>
      <w:r>
        <w:t>Ansell, C., Sørensen, E., &amp; Torfing, J. (2021). The COVID-19 Pandemic as a Game Changer for Public Administration and Leadership? Public Management Review, 23(8), 1087-1089.</w:t>
      </w:r>
    </w:p>
    <w:p>
      <w:r>
        <w:t>OECD. (2020). Building Resilience to the COVID-19 Pandemic: The Role of Centres of Government.</w:t>
      </w:r>
    </w:p>
    <w:p>
      <w:r>
        <w:t>OECD. (2023). Resilient Governance Framework and Government at a Glance 2023.</w:t>
      </w:r>
    </w:p>
    <w:p>
      <w:r>
        <w:t>OECD OPSI. (2023). Global Trends Report: Experimental Government an</w:t>
      </w:r>
    </w:p>
    <w:p>
      <w:r>
        <w:t>d Anticipatory Innovation.</w:t>
      </w:r>
    </w:p>
    <w:p>
      <w:r>
        <w:t>Deloitte. (2024). Government Trends 2024: The Future of Government Operations and Resilient Governance. Deloitte Center for Government Insights.</w:t>
      </w:r>
    </w:p>
    <w:p>
      <w:r>
        <w:t>Held, D., et al. (2020). Global Transformations: Politics, Economics and Culture (2nd ed.). Polity.</w:t>
      </w:r>
    </w:p>
    <w:p>
      <w:r>
        <w:t>Bell, D. (1973). The Coming of Post-Industrial Society. Basic Books.</w:t>
      </w:r>
    </w:p>
    <w:p>
      <w:r>
        <w:t>Masuda, Y. (1981/1994). The Information Society as Post-Industrial Society. World Future Society.</w:t>
      </w:r>
    </w:p>
    <w:p>
      <w:r>
        <w:t>Castells, M. (1996). The Rise of the Network Society. Blackwell.</w:t>
      </w:r>
    </w:p>
    <w:p>
      <w:r>
        <w:t>盧建旭 (1996). 網絡社會與行政學典範反思. 政治科學論叢.</w:t>
      </w:r>
    </w:p>
    <w:p>
      <w:r>
        <w:t>Fountain, J. E. (2001). Building the Virtual State: Information Technology and Institutional Change. Brookings Institution Press.</w:t>
      </w:r>
    </w:p>
    <w:p>
      <w:r>
        <w:t>Pasquale, F. (2015). The Black Box Society. Harvard University Press.</w:t>
      </w:r>
    </w:p>
    <w:p>
      <w:r>
        <w:t>van Dijck, J., Poell, T., &amp; de Waal, M. (2018). The Platform Society. Oxford University Press.</w:t>
      </w:r>
    </w:p>
    <w:p>
      <w:r>
        <w:t>Zuboff, S. (2019). The Age of Surveillance Capitalism. PublicAffairs.</w:t>
      </w:r>
    </w:p>
    <w:p>
      <w:r>
        <w:t>Crawford, K. (2021). Atlas of AI: Power, Politics, and the Planetary Costs of Artificial Intelligence. Yale University Press.</w:t>
      </w:r>
    </w:p>
    <w:p>
      <w:r>
        <w:t>Varoufakis, Y. (2023). Technofeudalism: What Killed Capitalism. Melville House.</w:t>
      </w:r>
    </w:p>
    <w:p>
      <w:r>
        <w:t>Rahman, K. S., &amp; Thelen, K. (2023). The Rise of the Platform Business Model and the Transformation of Twenty-First-Century Capitalism. Politics &amp; Society.</w:t>
      </w:r>
    </w:p>
    <w:p>
      <w:r>
        <w:t>Young, M. M., Bullock, J. B., &amp; Lecy, J. D. (2023). A Principal-Agent Model of AI Delegation in Public Administration. Public Administration Review.</w:t>
      </w:r>
    </w:p>
    <w:p>
      <w:r>
        <w:t>Alkhatib, A., &amp; Bernstein, M. (2023). Street-Level Algorithms: Studying the Interaction of Humans and Algorithms in Public Sector Decision Making. Public Administration Review, 83(2), 563-580.</w:t>
      </w:r>
    </w:p>
    <w:p>
      <w:r>
        <w:t>Bullock, J. B., Young, M. M., &amp; Wang, Y. (2023). Artificial Intelligence and Bureaucratic Discretion. Public Administration Review, 83(6).</w:t>
      </w:r>
    </w:p>
    <w:p>
      <w:r>
        <w:t>Bozeman, B., &amp; Johnson, J. (2023). Public Values, Artificial Intelligence, and the Drift to Technocracy. Perspectives on Public Management and Governance, 6(3).</w:t>
      </w:r>
    </w:p>
    <w:p>
      <w:r>
        <w:t>Fazekas, M., &amp; Cingolani, L. (2024). Public Value Failure and Algorithmic Governance: Mapping Risks in Public Procurement. Governance, 37(1), 121-140.</w:t>
      </w:r>
    </w:p>
    <w:p>
      <w:r>
        <w:t>OECD. (2024). Data for Public Value and AI Principles Update 2024. OECD AI Policy Observatory.</w:t>
      </w:r>
    </w:p>
    <w:p>
      <w:r>
        <w:t>Ostrom, E. (1990). Governing the Commons: The Evolution of Institutions for Collective Action. Cambridge University Press.</w:t>
      </w:r>
    </w:p>
    <w:p>
      <w:r>
        <w:t>Mayer-Schönberger, V., &amp; Ramge, T. (2022). Access Rules: Freeing Data from Big Tech for a Better Future. University of California Press.</w:t>
      </w:r>
    </w:p>
    <w:p>
      <w:r>
        <w:t>O'Reilly, T. (2023). Data as Infrastructure: Governance for the Platform Economy. Journal of Institutional Economics.</w:t>
      </w:r>
    </w:p>
    <w:p>
      <w:r>
        <w:t>Bradford, A. (2023). Digital Empires: The Global Battle to Regulate Technology. Oxford University Press.</w:t>
      </w:r>
    </w:p>
    <w:p>
      <w:r>
        <w:t>European Union. (2024). Regulation (EU) 2024/1689 — The Artificial Intelligence Act. Official Journal of the European Union.</w:t>
      </w:r>
    </w:p>
    <w:p>
      <w:r>
        <w:t>NIST. (2023). AI Risk Management Framework (AI RMF 1.0). National Institute of Standards and Technology, U.S.</w:t>
      </w:r>
    </w:p>
    <w:p>
      <w:r>
        <w:t>White House. (2023). Executive Order 14110: Safe, Secure, and Trustworthy Development and Use of Artific</w:t>
      </w:r>
    </w:p>
    <w:p>
      <w:r>
        <w:t>ial Intelligence.</w:t>
      </w:r>
    </w:p>
    <w:p>
      <w:r>
        <w:t>Stanford HAI. (2024). Artificial Intelligence Index Report 2024. Stanford Institute for Human-Centered AI.</w:t>
      </w:r>
    </w:p>
    <w:p>
      <w:r>
        <w:t>Roberts, H., Cowls, J., et al. (2024). Mapping the AI Governance Landscape: Convergence and Variance in 2023-2024. AI &amp; Governance, 1(2).</w:t>
      </w:r>
    </w:p>
    <w:p>
      <w:r>
        <w:t>Dunleavy, P., &amp; Margetts, H. (2023). Data Science, Artificial Intelligence and the Third Wave of Digital Era Governance. Public Policy and Administration, 38(2), 185-204.</w:t>
      </w:r>
    </w:p>
    <w:p>
      <w:r>
        <w:t>UNESCO. (2021). Recommendation on the Ethics of Artificial Intelligence.</w:t>
      </w:r>
    </w:p>
    <w:p>
      <w:r>
        <w:t>台灣數位發展部. (2024). 國家資料治理與AI基本法草案說明. 台北:數位發展部.</w:t>
      </w:r>
    </w:p>
    <w:p>
      <w:r>
        <w:t>本章在25座標的位置</w:t>
      </w:r>
    </w:p>
    <w:p>
      <w:r>
        <w:t>本章正確定位於「層次二:制度分工 × 社會/國際」分析單位,處理行政環境——特別是第四環境與全球AI治理競合——下的情境建構問題;主要對應四條治理鏈中的「情境建構鏈」,並以「資料代表性審計」為核心檢視工具,追問訓練資料、提示模板與預設類別如何框定治理議題,又是哪些聲音在全球治理生態中被系統性地納入或邊緣化。在垂直鏈上,本章上承第一章的公共性提問與第四、五、六章對公共價值、官僚權威與行政倫理的哲學及制度追問,向下則連結第三層管理過程(組織設計、人力、預算)必須在何種環境條件下運作;在水平軸上,本章雖以制度/社會與國際單位為主,但貫穿個人(公務員數位素養)、團體(政策網絡)、組織(資料治理機關)與組織間(跨國AI監理網絡)四個分析單位的交互影響,是理解後續章節市場抉擇與治理網絡的環境基礎。</w:t>
      </w:r>
    </w:p>
    <w:p>
      <w:r>
        <w:t>環境構面 | 構成要素 | 對行政的結構制約示例</w:t>
      </w:r>
    </w:p>
    <w:p>
      <w:r>
        <w:t>政治 | 政體、政黨體系、國際組織 | 兩公約施行法具國內法效力,全球治理規範內國化</w:t>
      </w:r>
    </w:p>
    <w:p>
      <w:r>
        <w:t>經濟 | 產業結構、財政能力、全球供應鏈 | 稅基侵蝕、Wagner法則下公共支出擴張</w:t>
      </w:r>
    </w:p>
    <w:p>
      <w:r>
        <w:t>社會文化 | 價值、信任、人口結構 | 高齡少子化、公民參與期待升高</w:t>
      </w:r>
    </w:p>
    <w:p>
      <w:r>
        <w:t>科技 | ICT、AI、平台 | 數位落差、演算法課責缺口</w:t>
      </w:r>
    </w:p>
    <w:p>
      <w:r>
        <w:t>生態物理 | 氣候、疫情、地理 | COVID-19衝擊、氣候韌性要求</w:t>
      </w:r>
    </w:p>
    <w:p>
      <w:r>
        <w:t>法律 | 憲政、行政法理 | 依法行政原則於數位時代的再詮釋</w:t>
      </w:r>
    </w:p>
    <w:p>
      <w:r>
        <w:t>數位/資料(第四環境) | 資料基礎設施、算力、模型 | 資料作為共有財與戰略資源,詳見本章第七節</w:t>
      </w:r>
    </w:p>
    <w:p>
      <w:r>
        <w:t>觀念釐清:環境決定論 vs. 環境制約論;依法行政的正確表述</w:t>
      </w:r>
    </w:p>
    <w:p>
      <w:r>
        <w:t>環境決定論主張環境完全決定行政,近乎宿命式悲觀;環境制約論則主張環境僅構成機會與限制條件,行政仍保有能動性與裁量空間,這是本教科書一貫立場,也呼應第五章對行政裁量並非「民主失控」的強調。另須正本清源:依法行政原則下,公部門奉行「法無授權即禁止」(法律保留原則,參見釋字第443號層級化保留),此為公務員行為正當性之基礎;私部門與人民則奉行「法無禁止即自由」(私法自治、契約自由)。二者不可倒置——這是國家考試最常見的陷阱之一,也是理解政府使用AI系統必須有明確法律授權、不能以「法律未禁止」擴權的制度起點。</w:t>
      </w:r>
    </w:p>
    <w:p>
      <w:r>
        <w:t>面向 | 鎔合型(Fused)傳統 | 稜柱型(Prismatic)過渡 | 繞射型(Diffracted)現代 | 備註</w:t>
      </w:r>
    </w:p>
    <w:p>
      <w:r>
        <w:t>經濟結構 | 自給自足、重分配 | 市集—餐館並存(bazaar-canteen) | 市場經濟、價格機能</w:t>
      </w:r>
    </w:p>
    <w:p>
      <w:r>
        <w:t>社會結構 | 同質、擴散、多功能 | 異質性(Heterogeneity)並存 | 異質中高度分化、專化</w:t>
      </w:r>
    </w:p>
    <w:p>
      <w:r>
        <w:t>權力結構 | 歸屬主義、家族主義 | 重疊性(Overlapping)權責不清 | 成就主義、普遍主義</w:t>
      </w:r>
    </w:p>
    <w:p>
      <w:r>
        <w:t>規範行為 | 實然即應然 | 形式主義(Formalism)理想與實然脫節 | 形式與實質一致</w:t>
      </w:r>
    </w:p>
    <w:p>
      <w:r>
        <w:t>行政特徵 | 行政與政治、經濟未分化 | SALA(行政衙門化家族型) | 高度分化、專業官僚制 | SALA=行政室</w:t>
      </w:r>
    </w:p>
    <w:p>
      <w:r>
        <w:t>對比面向 | 已開發(繞射型) | 開發中/低度開發(稜柱型為主)</w:t>
      </w:r>
    </w:p>
    <w:p>
      <w:r>
        <w:t>文化價值 | 理性、法治、普遍主義、成就導向、冒險創新、政治中立 | 家族主義、歸屬主義、特殊主義、權威服從、人情關係、形式主義</w:t>
      </w:r>
    </w:p>
    <w:p>
      <w:r>
        <w:t>官僚專業 | 高度專化、專業分工、功績制、永業化與退休保障完備 | 通才、兼職、俸給低、兼業普遍、專業主義薄弱</w:t>
      </w:r>
    </w:p>
    <w:p>
      <w:r>
        <w:t>權力結構 | 功能分化、權力制衡、雙重傳遞(政治→行政→公民) | 重疊性、恩庇侍從、多頭競爭與權責不清</w:t>
      </w:r>
    </w:p>
    <w:p>
      <w:r>
        <w:t>控制取向 | 結果控制、課責制度化 | 過程控制、形式控制、實質監督薄弱</w:t>
      </w:r>
    </w:p>
    <w:p>
      <w:r>
        <w:t>與環境關係 | 相對自主、能動調適環境 | 高度依賴國際援助與外部環境,內部派系鑲嵌</w:t>
      </w:r>
    </w:p>
    <w:p>
      <w:r>
        <w:t>代表病理 | 繁文縟節、目標錯置(Merton官僚失調) | 異質性、重疊性、形式主義、系統性貪腐風險</w:t>
      </w:r>
    </w:p>
    <w:p>
      <w:r>
        <w:t>改革動力 | 公民驅動、法制內改革 | 外部驅動、精英或國際組織驅動,移植失敗率高</w:t>
      </w:r>
    </w:p>
    <w:p>
      <w:r>
        <w:t>觀念釐清:形式主義 ≠ 貪腐,異質性 ≠ 多樣性</w:t>
      </w:r>
    </w:p>
    <w:p>
      <w:r>
        <w:t>考試題庫常將形式主義等同貪污,這是錯誤的簡化。形式主義指規範與行為脫節,貪污僅為其可能後果之一,但也可能只是導致清談、無作為,二者為因果關係而非等同關係。異質性則指不調和、衝突並存的過渡病理(傳統與現代價值互斥),與現代民主社會多元尊重的多樣性(diversity)價值截然不同——前者是過渡期的病理現象,後者則是民主社會的正面資產,不應混為一談。</w:t>
      </w:r>
    </w:p>
    <w:p>
      <w:r>
        <w:t>衝擊面向 | 傳統公共行政 | 全球化後韌性/網絡行政</w:t>
      </w:r>
    </w:p>
    <w:p>
      <w:r>
        <w:t>任務邊界 | 轄區封閉、內政為主 | 管轄跨域、議題跨域(氣候、疫情、AI)</w:t>
      </w:r>
    </w:p>
    <w:p>
      <w:r>
        <w:t>行為者 | 官僚單一主導 | 公私協力、多層次治理、國際組織、平台企業並列</w:t>
      </w:r>
    </w:p>
    <w:p>
      <w:r>
        <w:t>工具 | 直接供給、命令管制 | 契約外包、網絡治理、資料治理、監理沙盒</w:t>
      </w:r>
    </w:p>
    <w:p>
      <w:r>
        <w:t>課責 | 層級課責、單一國家課責 | 多重課責、跨國課責(SDGs、兩公約)與演算法課責</w:t>
      </w:r>
    </w:p>
    <w:p>
      <w:r>
        <w:t>能力需求 | 專業分工、安定 | 跨文化能力、危機管理、數據素養、快速學習與調適</w:t>
      </w:r>
    </w:p>
    <w:p>
      <w:r>
        <w:t>觀念釐清:全球在地化(Glocalization)</w:t>
      </w:r>
    </w:p>
    <w:p>
      <w:r>
        <w:t>全球化並非同質化。Robertson提出全球在地化概念:全球壓力需經由在地脈絡轉譯才能落地,例如我國推行開放資料,雖師法國際開放政府夥伴關係(OGP),但也加入宮廟資料、長照據點等在地需求。因此「全球化必然破壞在地文化延續」是過度決定論的錯誤敘述——在地文化往往因為全球化壓力,轉型為觀光與認同資源,而非單純消逝。</w:t>
      </w:r>
    </w:p>
    <w:p>
      <w:r>
        <w:t>軌跡 | 核心邏輯 | 代表現象或法制</w:t>
      </w:r>
    </w:p>
    <w:p>
      <w:r>
        <w:t>演算法資本主義/技術封建主義軌跡 | 平台獨佔資料與算力,收取近似地租的數位租金 | 監控資本主義批判、雲端租金、Big Tech市值集中</w:t>
      </w:r>
    </w:p>
    <w:p>
      <w:r>
        <w:t>規制型數位國家軌跡 | 以強制性權利與風險導向規制馴服平台權力 | EU數位服務法(DSA)、數位市場法(DMA)</w:t>
      </w:r>
    </w:p>
    <w:p>
      <w:r>
        <w:t>、EU AI Act</w:t>
      </w:r>
    </w:p>
    <w:p>
      <w:r>
        <w:t>科技集團化軌跡 | 晶片與資料管制沿地緣政治斷層線分裂為排他性集團 | 美中晶片出口管制、主權雲、供應鏈重組</w:t>
      </w:r>
    </w:p>
    <w:p>
      <w:r>
        <w:t>五特徵 | 內涵 | 對我國啟示</w:t>
      </w:r>
    </w:p>
    <w:p>
      <w:r>
        <w:t>不預設解方 | 複合挑戰無單一終極解方,以問題為導向,漸進試驗、滾動學習 | 口罩地圖、疫苗預約系統並非一次到位,而是滾動迭代</w:t>
      </w:r>
    </w:p>
    <w:p>
      <w:r>
        <w:t>內聚外開 | 對內跨域整合,對外納入企業、科學社群與公民社會 | 中央流行疫情指揮中心跨部會整合、公私協力</w:t>
      </w:r>
    </w:p>
    <w:p>
      <w:r>
        <w:t>實驗容錯 | 由零錯誤文化轉向實驗型政府,小規模實驗、容許失敗 | 監理沙盒、公共政策網路參與平台試辦</w:t>
      </w:r>
    </w:p>
    <w:p>
      <w:r>
        <w:t>資料戰略 | 資料為戰略資源,打破孤島,兼顧即時性與隱私 | 1922專線、健保資料與口罩地圖協力、電子圍籬爭議</w:t>
      </w:r>
    </w:p>
    <w:p>
      <w:r>
        <w:t>貼近公民 | 以公民為中心,簡化流程、主動服務、近用性 | MyData、線上申辦一站式、社會創新實驗室共創</w:t>
      </w:r>
    </w:p>
    <w:p>
      <w:r>
        <w:t>模式 | 代表 | 核心邏輯 | 關鍵法規/文件 | 行政環境意涵</w:t>
      </w:r>
    </w:p>
    <w:p>
      <w:r>
        <w:t>市場驅動 | 美國 | 創新優先、分散式自律、事後究責 | NIST AI RMF 2023;行政命令14110(2023) | 強調產業自我評估、演算法影響評估自願性</w:t>
      </w:r>
    </w:p>
    <w:p>
      <w:r>
        <w:t>權利/風險導向 | 歐盟 | 以基本權利為基礎,風險四級分類 | EU AI Act(2024.6通過,分階實施) | 須完成合規評估、資料治理、人力監督,制度結構最嚴格</w:t>
      </w:r>
    </w:p>
    <w:p>
      <w:r>
        <w:t>國家安全導向 | 威權體制(對照外部性) | 國家安全與社會穩定優先 | 生成式AI服務管理暫行辦法(2023)等 | 對全球AI環境產生制度外溢與標準競爭,台灣需韌性因應</w:t>
      </w:r>
    </w:p>
    <w:p>
      <w:r>
        <w:t>公民共創/小國靈活 | 台灣、英國、新加坡 | 小國敏捷、公民參與、監理沙盒、人權連結創新 | 我國AI基本法草案(2024);英國布萊切利峰會;新加坡框架 | 數位發展部跨域協調,以資料信託與開放資料為槓桿</w:t>
      </w:r>
    </w:p>
    <w:p>
      <w:r>
        <w:t>觀念釐清:AI治理非去政治,而是政治的再媒介</w:t>
      </w:r>
    </w:p>
    <w:p>
      <w:r>
        <w:t>常見誤解是「AI是中立技術,只要講求效率即可」。實則演算法的訓練資料、目標函數與風險容忍度,皆是政治價值選擇的產物(Moor, 2023)。例如歐盟《人工智慧法》將社會信用評分列為不可接受風險,正是歐洲人權政治立場的具體體現。因此,第四環境仍然需要政治課責與民主審議,而不能交由技術專家單方面決定——這正是本章「情境建構鏈」與「資料代表性審計」存在的根本理由。</w:t>
      </w:r>
    </w:p>
    <w:p>
      <w:r>
        <w:t>治理鏈 | 本章關鍵問題 | 對應審計重點</w:t>
      </w:r>
    </w:p>
    <w:p>
      <w:r>
        <w:t>情境建構鏈 | 訓練資料、提示模板與AI治理模式的風險分級標準,如何預先框定何謂「治理議題」?全球治理生態中,哪些聲音被納入或邊緣化? | 資料代表性審計</w:t>
      </w:r>
    </w:p>
    <w:p>
      <w:r>
        <w:t>權威鏈 | 當算力與模型的掌控權集中於少數平台與晶片供應商,國家行政環境的定義權是否已部分外溢至技術行為者? | 組織能力審計、裁量邊界審計</w:t>
      </w:r>
    </w:p>
    <w:p>
      <w:r>
        <w:t>理由鏈 | 四種AI治理模式各自宣稱的正當性(創新優先、人權保障、國家安全、公民共創),是否經得起跨模式的相互檢視? | 理由說明審計</w:t>
      </w:r>
    </w:p>
    <w:p>
      <w:r>
        <w:t>責任鏈 | 資料主權、算力主權與模型主權若無法兼備,行政環境的結構性依賴所造成的風險,最終應由誰承擔? | 責任歸屬審計、民主課責審計</w:t>
      </w:r>
    </w:p>
    <w:p>
      <w:r>
        <w:t>第二層的環境治理檢查清單</w:t>
      </w:r>
    </w:p>
    <w:p>
      <w:r>
        <w:t>本章所定位的環境分析,是否已將數位/資料環境(第四環境)與傳統六構面並列檢視,而非僅視為「科技」構面的附屬項目(情境建構鏈)?政府AI治理模式的選擇,是否已明確評估對資料主權、算力主權與模型主權的影響(權威鏈)?每一種治理模式(市場驅動、權利風險導向、國家安全導向、公民共創)背後的價值選擇,是否已被公開說明,而非以「技術中立」帶過(理由鏈)?當行政環境因平台依賴或供應鏈重組出現風險,責任歸屬是否已在制度設計階段就明確到相關機關,而非留待危機發生後才追查(責任鏈)?這組問題,是「層次二:制度分工」對第四環境治理提出的結構性提醒。</w:t>
      </w:r>
    </w:p>
    <w:p>
      <w:r>
        <w:t>前瞻:通往第八章</w:t>
      </w:r>
    </w:p>
    <w:p>
      <w:r>
        <w:t>本章以行政生態學、比較行政、Riggs稜柱模型、全球化與行政革新,確立了「層次二:制度分工 × 社會/國際」在情境建構鏈與資料代表性審計上的結構基礎,並示範了第四環境的興起、資料作為戰略資源,以及2023-2024全球AI治理四模式競合,如何把這套環境分析延伸至AI治理。然而,行政環境終究只是政府運作的外部條件,政府自身在提供公共服務時,究竟該直接生產、委外經營,還是與市場協力,始終是行政學另一個核心抉擇。下一章「政府與市場的抉擇」,將接續討論公私界線如何從民營化走向平台治理,並在數位時代面臨政府失靈與市場失靈之外的第三種失靈風險。</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