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行政學概要 第06章</w:t>
      </w:r>
    </w:p>
    <w:p>
      <w:r>
        <w:t>[DOCX page 1 image attached. Read this image directly to extract content.]</w:t>
      </w:r>
    </w:p>
    <w:p>
      <w:r>
        <w:t>行政學概要</w:t>
      </w:r>
    </w:p>
    <w:p>
      <w:r>
        <w:t>第六章　行政倫理與責任</w:t>
      </w:r>
    </w:p>
    <w:p>
      <w:r>
        <w:t>——從防禦性倫理到AI演算法課責:制度結構層次的倫理制度重構</w:t>
      </w:r>
    </w:p>
    <w:p>
      <w:r>
        <w:t>學習目標</w:t>
      </w:r>
    </w:p>
    <w:p>
      <w:r>
        <w:t>能區辨防禦性與促進性行政倫理的內涵演變,並闡釋公共利益誤導、行政機關獨大、組織倫理三項結構性困境在數位治理時代的新貌。</w:t>
      </w:r>
    </w:p>
    <w:p>
      <w:r>
        <w:t>能掌握Cooper權威、角色、利益三類型倫理衝突,以及Warwick五原則(公共取向、反省性選擇、真誠、程序尊重、手段限制),並應用於行政裁量情境分析。</w:t>
      </w:r>
    </w:p>
    <w:p>
      <w:r>
        <w:t>能闡釋Rawls正義論的原初情境、無知之幕與正義兩原則,並評析其對行政倫理與弱勢保障的制度涵義。</w:t>
      </w:r>
    </w:p>
    <w:p>
      <w:r>
        <w:t>能詮釋行政中立從去政治化到民主錨定的新意涵,並掌握我國公務人員行政中立法的具體制度設計。</w:t>
      </w:r>
    </w:p>
    <w:p>
      <w:r>
        <w:t>能系統說明行政責任的確保途徑:Fesler與Kettl二分、Starling六要素、Gilbert四宮格與三元責任論(政治、法律、專業)。</w:t>
      </w:r>
    </w:p>
    <w:p>
      <w:r>
        <w:t>能掌握我國旋轉門條款、公務員廉政倫理規範、利益衝突迴避法、陽光法案與政治獻金法等具體法制,理解其如何落實行政責任。</w:t>
      </w:r>
    </w:p>
    <w:p>
      <w:r>
        <w:t>能整合至AI世代的演算法課責、AI倫理五支柱、OECD AI原則與EU AI Act,並運用25-3-3-4-7架構分析AI對行政倫理與責任的衝擊。</w:t>
      </w:r>
    </w:p>
    <w:p>
      <w:r>
        <w:t>開場與定位</w:t>
      </w:r>
    </w:p>
    <w:p>
      <w:r>
        <w:t>「公共行政是道德的事業,若失去倫理,效率僅是精緻的邪惡。」——Dwight Waldo,《行政國》,1948;重釋於AI世代</w:t>
      </w:r>
    </w:p>
    <w:p>
      <w:r>
        <w:t>第五章確立了官僚體制的權威從何而來、又該如何被民主政治馴服的制度分工邏輯,並以「權威鏈」與「裁量邊界審計」作為主要檢視工具,結尾處也預告:權威的追問,終究要進一步追問權威應如何被課以責任。本章正是回應這個提問——從「層次二:制度分工」下降到更根本的「層次一:哲學與價值」,探討行政裁量在制度分工之外,還必須滿足哪些倫理義務,以及當裁量出錯時,責任究竟應由誰承擔。</w:t>
      </w:r>
    </w:p>
    <w:p>
      <w:r>
        <w:t>本章從行政倫理的雙元架構(防禦性與促進性)出發,依序討論行政裁量的倫理困境、Rawls正義論的哲學根基、行政中立的新詮釋,以及行政責任的確保途徑與我國具體法制。讀完前七節後,本章將以相當篇幅處理AI世代最尖銳的倫理課題:當演算法參與行政裁量甚至準司法判斷,傳統的行政倫理原則與課責機制是否仍然有效?這正是本章「AI鑲嵌後的權力與結構變化」一節,以及全書25-3-3-4-7架構在「理由鏈」與「責任鏈」上最重要的應用場域。</w:t>
      </w:r>
    </w:p>
    <w:p>
      <w:r>
        <w:t>第一節　行政倫理的本質與雙元架構</w:t>
      </w:r>
    </w:p>
    <w:p>
      <w:r>
        <w:t>一、倫理、道德與行政倫理</w:t>
      </w:r>
    </w:p>
    <w:p>
      <w:r>
        <w:t>行政倫理(administrative ethics),又稱公務倫理(public service ethics),是倫理學在公共行政場域的具體化,指公務人員在執行公務、運用裁量時,基於專業與民主價值,對公共利益與手段合宜性的反省與判斷能力。</w:t>
      </w:r>
    </w:p>
    <w:p>
      <w:r>
        <w:t>觀念釐清:道德與倫理不盡相同。道德(morality)指個人內化的最高操守原則,具有普遍性與內省性;倫理(ethics)指特定職業或社群脈絡中,個人與他人、制度形成的合理群己關係之規範共識。道德問「我應成為何種人?」,倫理問「在此角色中,我應如何行事才符合群體期待與制度正當性?」行政倫理即公務員群體之道德共識與自律機制,屬於角色倫理(role ethics)。</w:t>
      </w:r>
    </w:p>
    <w:p>
      <w:r>
        <w:t>行政倫理的弔詭性在於:它是匡正行政行為的治本依據,卻缺乏法律般的強制制裁力;在功利與選舉壓力下,常被視為不切實際的空談,但一旦崩壞,卻導致民主正當性危機。</w:t>
      </w:r>
    </w:p>
    <w:p>
      <w:r>
        <w:t>二、防禦性與促進性倫理的演變</w:t>
      </w:r>
    </w:p>
    <w:p>
      <w:r>
        <w:t>學界常以二元論分析當代行政倫理的發展軌跡。防禦性行政倫理(defensive ethics)又稱消極性倫理,聚焦如何防杜公務員貪污、賄賂、濫權、瀆職、詐欺等行為,核心問題是「合法與否」的底線判斷,偏重傳統行政法與控制取向,易使公務員僅滿足於「不犯錯」,而缺乏積極興利思維。促進性行政倫理(affirmative ethics)受1950至60年代行為科學與1968年新公共行政運動影響,強調社會公平、多元利益、公民參與、政治回應與專業精神,核心關懷從「不可為」轉向「應積極為」。一個好公務員不僅「不貪不取」,若對食安風險、環境污染等公共危害消極不作為,同樣屬於違反促進性倫理。從防禦到促進,反映行政倫理從合法律性(legality)到合倫理性(ethicality)、從控制到賦能的典範轉移。</w:t>
      </w:r>
    </w:p>
    <w:p>
      <w:r>
        <w:t>表6-1　防禦性與促進性行政倫理對比及AI世代新詮釋</w:t>
      </w:r>
    </w:p>
    <w:p>
      <w:r>
        <w:t>三、行政倫理的結構性困境</w:t>
      </w:r>
    </w:p>
    <w:p>
      <w:r>
        <w:t>學界歸納出三重結構性困境,至今仍具解釋力,但在數位時代出現新變形。第一,公共利益誤導:行政人員應以公共利益為依歸,然公共利益本質模糊,常被特定團體包裝化,行政人員因菁英同質性、本位主義或組織忠誠,易曲解公益。AI時代,公共利益更容易被「數據中立」「技術效率」等話語掩蓋,實則演算法已內建價值選擇。第二,行政機關獨大:源於專業資訊壟斷、全職永業優勢與組織膨脹,民選官員面對高度專業化議題,指令模糊甚或衝突,反成行政規避的擋箭牌;民營化、委託外包與AI外包(GovTech),更形成「多手問題」(many hands,決策分散多人致責任歸屬不明)與「無臉政府」(no-face government,組織龐大與AI外包致人民不知向誰究責)。第三,組織倫理問題:官僚組織強調團體忠誠,獎勵遵守遊戲規則者,成員將組織忠誠置於個人良知之上,導致非道德的服從,即所謂官僚病態(bureaupathology);弊端揭發者保護即為對抗此困境之制度回應。</w:t>
      </w:r>
    </w:p>
    <w:p>
      <w:r>
        <w:t>第二節　行政裁量的倫理困境與決策原則</w:t>
      </w:r>
    </w:p>
    <w:p>
      <w:r>
        <w:t>一、Cooper的三類型倫理衝突</w:t>
      </w:r>
    </w:p>
    <w:p>
      <w:r>
        <w:t>在法治國家,法規無法鉅細靡遺,遂授予行政機關判斷空間,即行政裁量(administrative discretion)。裁量並非恣意,而是「在法律授權範圍內,就作為與不作為及其方法,作合理自由選擇」之權力,並受比例原則、平等原則與正當程序拘束。當主觀責任(subjective responsibility,指內心信仰、良知)與客觀責任(objective responsibility,指法律、層級、對公民義務)相互矛盾時,即產生倫理困境。Cooper(2012)提出三種類型:權威衝突(conflict of authority),指長官命令與個人良知、或不同權威來源間的衝突,例如長官要求加速通過具爭議的開發案,承辦人員基於專業認為應補做環評;角色衝突(conflict of roles),包括內部角色與外部角色的衝突(如衛生主管機關官員同時身為公衛專家,作為官員須安撫民心,作為專家應警示危害),以及內部角色與內部角色的衝突(中階主管夾於高層要求與基層權益爭取之間,陷入忠誠拉扯);利益衝突(conflict of interests),指個人私利、家族利益與公共職務相衝突,從財產利益延伸至升遷、人脈、資訊不對稱等非財產利益,皆屬廣義利益衝突,須透過迴避制度處理。</w:t>
      </w:r>
    </w:p>
    <w:p>
      <w:r>
        <w:t>表6-2　Cooper倫理困境三類型與制度回應</w:t>
      </w:r>
    </w:p>
    <w:p>
      <w:r>
        <w:t>二、Warwick五項倫理原則及其當代轉譯</w:t>
      </w:r>
    </w:p>
    <w:p>
      <w:r>
        <w:t>面對上述困境,Warwick(1981)提出五項決策檢核原則,是政策倫理的核心,也是AI倫理五原則的思想前身。第一,公共取向(public orientation):任何私利或派系利益,不可超越與扭曲公共利益,即民主行政須超越派閥;轉譯至AI,即避免演算法圖利特定廠商或偏袒多數群體,追求演算法公平性。第二,反省性選擇(refle</w:t>
      </w:r>
    </w:p>
    <w:p>
      <w:r>
        <w:t>[DOCX page 2 image attached. Read this image directly to extract content.]</w:t>
      </w:r>
    </w:p>
    <w:p>
      <w:r>
        <w:t>ctive choice):決策前須完成四重反省——理解問題本質與脈絡、反思自我價值偏見、謹慎評估資訊品質、檢視價值與手段的邏輯鏈;轉譯至AI,即對抗自動化偏見,強調有意義的人類覆核。第三,真誠(sincerity):誠實執勤,真實報導資訊,尊重質疑;轉譯至AI,即誠實揭露AI使用事實、資料來源與限制,避免黑箱欺瞞。第四,程序的尊重(respect for procedure):依法行政,避免墨守成規致目標錯置,亦避免為效率犧牲程序正義;轉譯至AI,即落實數位正當程序,告知、聽證、理由說明義務不因自動化而免除。第五,手段的限制(limitation of means):手段須符合比例原則,不可不擇手段或偏袒;轉譯至AI,即最小侵害、比例性、可撤回,例如人臉辨識僅用於重大治安而非日常監控。這五項原則由價值層貫穿至技術層,成為古典倫理與AI倫理之間的橋梁。</w:t>
      </w:r>
    </w:p>
    <w:p>
      <w:r>
        <w:t>表6-3　Warwick五原則從傳統到AI脈絡轉譯</w:t>
      </w:r>
    </w:p>
    <w:p>
      <w:r>
        <w:t>第三節　正義的行政:Rawls原初情境與無知之幕</w:t>
      </w:r>
    </w:p>
    <w:p>
      <w:r>
        <w:t>一、原初情境與無知之幕的思想實驗</w:t>
      </w:r>
    </w:p>
    <w:p>
      <w:r>
        <w:t>行政倫理的靈魂是社會公平。John Rawls於1971年出版《正義論》(A Theory of Justice),提供了最系統的哲學基礎。原初情境(original position)設想人們在訂立社會基本結構契約之前,處於理性、自由且互無利害但彼此合作的假想起點。無知之幕(veil of ignorance)則是為確保契約公正,參與者被置於無知之幕後,對自身天賦、階級、性別、族群、宗教、世代與社經地位一無所知,僅具一般社會理論知識,此設計目的在排除既得利益偏頗。</w:t>
      </w:r>
    </w:p>
    <w:p>
      <w:r>
        <w:t>觀念釐清:無知之幕並非「愚民無知」,而是一種「公平的程序裝置」,其核心是資訊限制下的公正推演。在幕後,理性個體基於風險規避,採取「最大化最小值」(maximin)策略,優先保障最劣勢者,因為每個人都可能成為最弱勢的一方。</w:t>
      </w:r>
    </w:p>
    <w:p>
      <w:r>
        <w:t>二、正義兩原則</w:t>
      </w:r>
    </w:p>
    <w:p>
      <w:r>
        <w:t>第一原則(自由平等原則):每個人對與所有人所享最廣泛平等的基本自由體系相容之類似自由體系,享有平等權利,包括政治自由、言論自由、人身自由等,具有優先性。第二原則(機會均等與差別原則):其一為機會公平平等原則,職位與地位應在公平機會平等下對所有人開放;其二為差別原則(difference principle),社會與經濟的不平等,僅在對社會中最弱勢者最有利時,始具有正當性。</w:t>
      </w:r>
    </w:p>
    <w:p>
      <w:r>
        <w:t>三、對行政倫理的制度涵義</w:t>
      </w:r>
    </w:p>
    <w:p>
      <w:r>
        <w:t>Rawls正義論對行政倫理至少有三重制度涵義:最弱勢者保障應作為資源分配的優先考量;程序正義與補償正義須取得平衡;而在AI治理中,「演算法無知之幕」(blind testing,遮蔽種族、性別等受保護特徵以檢測模型偏見)則成為公平機器學習的哲學基礎。</w:t>
      </w:r>
    </w:p>
    <w:p>
      <w:r>
        <w:t>表6-4　Rawls正義論在行政實務與AI治理之應用</w:t>
      </w:r>
    </w:p>
    <w:p>
      <w:r>
        <w:t>第四節　行政中立的新詮釋:從去政治化到民主錨定</w:t>
      </w:r>
    </w:p>
    <w:p>
      <w:r>
        <w:t>一、傳統定義與功能</w:t>
      </w:r>
    </w:p>
    <w:p>
      <w:r>
        <w:t>行政中立(administrative neutrality)指事務官依法執行公務,以同一標準服務全民,不因政黨色彩介入政爭。強調行政中立的原因包括社會多元化、專業主義與民主鞏固,其功能則在於維持社會公平、防止分贓、履行信託、穩定體系與避免公器私用。各國模式不盡相同:英國將文官分為政治自由類(可從事政治但上班時間禁止)、中間類(經許可得參與全國與地方政治)、限制類(不得從事全國性政治);美國Hatch Act(1939年制定、1993年修正)則禁止文官利用職權介入黨爭、募款、公開助選,但保障其私下投票表達的權利,並防止政治首長脅迫。</w:t>
      </w:r>
    </w:p>
    <w:p>
      <w:r>
        <w:t>二、弔詭性與新詮釋</w:t>
      </w:r>
    </w:p>
    <w:p>
      <w:r>
        <w:t>黑堡宣言(1983)與新公共管理皆認為政治與行政無法截然二分,代表性官僚理論也主張要求公務員如僧侶般中立並不切實際;Waldo更指出,中立若等同於無價值,將淪為單純的效率工具。當代學界因而提出新詮釋:中立對象由「不介入政治」轉移為「忠於憲法、法律與民主程序本身」(constitutional loyalty);行為模式由消極的「不介入」轉為積極的「捍衛弱勢、促進人權」;價值立場由「價值中立」轉為「價值澄清、公共價值導向」;數位中立則是新增課題——演算法中立並非價值中立,平台與GovTech廠商的政治偏見同樣需要納入監督範疇。</w:t>
      </w:r>
    </w:p>
    <w:p>
      <w:r>
        <w:t>表6-5　行政中立新舊詮釋與AI世代挑戰</w:t>
      </w:r>
    </w:p>
    <w:p>
      <w:r>
        <w:t>三、我國行政中立法之制度設計</w:t>
      </w:r>
    </w:p>
    <w:p>
      <w:r>
        <w:t>我國公務人員行政中立法於2009年制定,第1條明定目的為確保公務人員依法行政、執行公正、政治中立,並適度規範公務人員參與政治活動。其規範對象為法定機關依法任用、派用之有給專任人員及公立學校依法任用之職員(第2條),並延伸準用於公立學校校長、軍職教官、政風及機要人員、行政法人有給專任人員等九類人員(第17條),以及依憲法或法律規定須超出黨派、依法獨立行使職權之政務人員(第18條)。</w:t>
      </w:r>
    </w:p>
    <w:p>
      <w:r>
        <w:t>在義務內容上(第5條至第9條),公務人員得加入政黨或其他政治團體,但不得兼任政黨或其他政治團體之職務,也不得兼任公職候選人競選辦事處之職務;不得利用職務上之權力、機會或方法介入黨派紛爭,或要求他人加入、不加入政黨;不得利用職權為政黨、政治團體或擬參選人要求、期約或收受捐助,也不得阻止他人依法募款;不得動用行政資源(公物、公款、場所、房舍、人力)編製散發宣傳品、在辦公場所懸掛政黨徽章旗幟、主持集會遊行、具銜具名廣告助選,或對職務相關人員表達政治指示。在參選規定上(第11條),公務人員登記為公職候選人者,自候選人名單公告之日起至投票日止,應依規定請事假或休假,長官不得拒絕。</w:t>
      </w:r>
    </w:p>
    <w:p>
      <w:r>
        <w:t>第五節　行政責任的體系:向誰負責?如何確保?</w:t>
      </w:r>
    </w:p>
    <w:p>
      <w:r>
        <w:t>一、責任的意涵</w:t>
      </w:r>
    </w:p>
    <w:p>
      <w:r>
        <w:t>行政責任(administrative responsibility)指行政人員應向誰(to whom)、為何事(for what)負責。Fesler與Kettl提出二分架構:負責行為(accountable behavior)指遵守法律、服從長官、追求效率,即依法辦事之客觀責任;倫理行為(ethical behavior)指堅守道德標準、公共利益、專業良知之主觀責任。二者相輔相成,僅有前者容易淪為「依照命令作惡」,僅有後者則可能導致無政府化。Starling則提出六項要素作為責任成熟度的檢核標準:回應性(responsiveness)、彈性(flexibility)、課責性(accountability)、廉潔性(integrity)、勝任能力(competency)與正當程序(due process),近年文獻並納入可審計性(auditability)作為擴充。</w:t>
      </w:r>
    </w:p>
    <w:p>
      <w:r>
        <w:t>二、Gilbert四宮格</w:t>
      </w:r>
    </w:p>
    <w:p>
      <w:r>
        <w:t>Gilbert依「正式/非正式」與「內部/外部」兩個向度,建構出確保行政責任的四種途徑。內部正式途徑包括行政控制(層級節制、標準作業程序)、調查委員會,以及人事、主計、政風的雙重監督;外部正式途徑包括議會控制(立法、預算、質詢、聽證)、司法控制(行政訴訟、裁量審查)、監察控制(糾舉、彈劾、審計)與選舉課責;內部非正式途徑包括代表性官僚、專業倫理與吹哨者揭弊——我國目前已有相關保護法草案持續推動;外部非正式途徑則包括公民參與(陳情、公聽會、審議式民調)、媒體監督(第四權),以及資訊自由(政府資訊公開法、開放資料)。正式途徑側重制裁,非正式途徑側重預防;內部途徑側重效率,</w:t>
      </w:r>
    </w:p>
    <w:p>
      <w:r>
        <w:t>[DOCX page 3 image attached. Read this image directly to extract content.]</w:t>
      </w:r>
    </w:p>
    <w:p>
      <w:r>
        <w:t>外部途徑側重民主。過度倚賴內部正式容易形成防衛性官僚,過度倚賴外部非正式則容易形成民粹式課責。</w:t>
      </w:r>
    </w:p>
    <w:p>
      <w:r>
        <w:t>表6-6　Gilbert行政責任確保途徑(納入數位機制)</w:t>
      </w:r>
    </w:p>
    <w:p>
      <w:r>
        <w:t>三、三元責任論與課責分流</w:t>
      </w:r>
    </w:p>
    <w:p>
      <w:r>
        <w:t>整合美國實務與國內研究,可提出三元責任論:政治責任,對民選首長、政黨與民意負責,確保回應性,機制為選舉、議會質詢、參與式預算;法律責任,對憲法、法律與法院負責,確保合法性與人權保障,機制為行政訴訟、國家賠償、司法審查與監察,課責邏輯即「法無授權即禁止」的依法行政;專業責任,對專業社群、倫理守則與公共利益負責,確保效能與倫理,機制為專業認證、倫理守則、同儕評鑑與吹哨者揭弊。三者經常相互衝突——政治要求快速、法律要求嚴謹、專業要求正確,例如疫情快篩緊急授權即為三角拉扯的典型案例。成熟的制度不在於消除衝突,而在於提供透明的權衡機制。課責的完整流程應包含資訊、辯論、制裁三個階段,若缺乏可爭訟性,課責便僅是儀式。</w:t>
      </w:r>
    </w:p>
    <w:p>
      <w:r>
        <w:t>表6-7　三元責任論比較</w:t>
      </w:r>
    </w:p>
    <w:p>
      <w:r>
        <w:t>第六節　我國行政責任的具體法制:陽光四法與利益迴避</w:t>
      </w:r>
    </w:p>
    <w:p>
      <w:r>
        <w:t>前述理論架構若不落實為具體法制,便只是抽象原則。我國近年已發展出一組被稱為「陽光法案」的具體制度,分別從不同角度落實行政責任與利益迴避。</w:t>
      </w:r>
    </w:p>
    <w:p>
      <w:r>
        <w:t>一、旋轉門條款</w:t>
      </w:r>
    </w:p>
    <w:p>
      <w:r>
        <w:t>公務員服務法第16條規定,公務員於其離職後三年內,不得擔任與其離職前五年內之職務直接相關之營利事業董事、監察人、經理、執行業務之股東或顧問,此即俗稱的「旋轉門條款」,目的在防止公務員利用職務影響力,於離職後轉任相關產業謀取不當利益。此外,依同法第14條,公務員原則上不得經營商業或擔任營利事業之負責人、董事、監察人,對其職務有直接監督或管理權限之營利事業,也不得取得該事業之股份或出資額。</w:t>
      </w:r>
    </w:p>
    <w:p>
      <w:r>
        <w:t>二、公務員廉政倫理規範</w:t>
      </w:r>
    </w:p>
    <w:p>
      <w:r>
        <w:t>行政院訂定之公務員廉政倫理規範,對公務員收受餽贈與飲宴應酬訂有具體數額門檻:與其職務有利害關係者之餽贈,原則上應予拒絕或退還;無職務利害關係者之餽贈,若市價超過「正常社交禮俗標準」(一般社交往來市價不超過新臺幣三千元,同一年度來自同一來源受贈財物以新臺幣一萬元為限),應簽報長官並視情況知會政風機構。屬公務禮儀、長官獎勵慰問,或受贈財物市價在新臺幣五百元以下(對多數人餽贈總額一千元以下)之偶發受贈,始得例外收受。這組具體數額,正是行政倫理「法則化」的實例——把抽象的廉潔要求,轉譯為可操作、可稽核的行為標準。</w:t>
      </w:r>
    </w:p>
    <w:p>
      <w:r>
        <w:t>三、公職人員利益衝突迴避法</w:t>
      </w:r>
    </w:p>
    <w:p>
      <w:r>
        <w:t>本法第1條明定目的為促進廉能政治、端正政治風氣,建立公職人員利益衝突迴避之規範,有效遏阻貪污腐化及不當利益輸送。規範對象(第2條)涵蓋總統副總統、各級政府機關首長副首長、政務人員、民意代表、法官檢察官,以及辦理工務、建管、政風、會計、採購等業務之主管人員等十二類公職人員;關係人(第3條)則包括公職人員之配偶或共同生活家屬、二親等以內親屬、信託財產受託人,以及公職人員或其親屬擔任負責人、董事之營利與非營利法人。本法所稱利益(第4條)包括財產上利益(動產不動產、現金存款、有價證券、其他財產權利)與非財產上利益(有利於公職人員或其關係人在相關機關團體之任用、聘任、陞遷、調動、考績等人事措施)——這個「非財產上利益」的擴張定義,正呼應本章稍早討論的利益衝突不僅止於金錢,升遷、人脈等隱性利益同樣須受規範。</w:t>
      </w:r>
    </w:p>
    <w:p>
      <w:r>
        <w:t>四、陽光法案:公職人員財產申報法</w:t>
      </w:r>
    </w:p>
    <w:p>
      <w:r>
        <w:t>本法第1條明定目的為端正政風,確立公職人員清廉之作為。應申報財產之對象(第2條)涵蓋總統副總統、五院正副院長、政務人員、簡任第十職等以上之政府機關首長主管、法官檢察官、政風與稅務地政等業務主管人員等十二類。受理申報機關(第4條)則依身分層級分流:總統副總統、政務人員及簡任第十二職等以上高階首長之申報機關為監察院;其餘人員之申報機關則為所屬機關之政風單位;總統副總統及縣市級以上公職候選人之申報機關則為各級選舉委員會。這套分流設計,使財產申報審查的專業與獨立性,能依申報人職級高低有所區隔。</w:t>
      </w:r>
    </w:p>
    <w:p>
      <w:r>
        <w:t>五、政治獻金法</w:t>
      </w:r>
    </w:p>
    <w:p>
      <w:r>
        <w:t>政治獻金法規範政黨、政治團體、擬參選人與當選人收受政治獻金的資格、來源限制與申報揭露義務,目的在防止金錢政治扭曲民主程序,受理政黨與擬參選人政治獻金申報的機關為監察院。政治獻金法與遊說法、政府資訊公開法等法制,共同構成我國廉能政府建立的法制拼圖,彼此分工互補,而非各自獨立運作。</w:t>
      </w:r>
    </w:p>
    <w:p>
      <w:r>
        <w:t>六、弊端揭發者保護</w:t>
      </w:r>
    </w:p>
    <w:p>
      <w:r>
        <w:t>弊端揭發(whistle-blowing)是官僚異議(bureaucratic opposition)的一種形式,有賴於行政人員個人批判反省意識的培養,是抗衡「組織倫理困境」最直接的制度回應。美國自1978年文官改革法(Civil Service Reform Act)起正式建立揭弊保護,1989年進一步制定揭弊者保護法(Whistleblower Protection Act),由功績制保護委員會(Merit System Protection Board)作為專責機關。揭弊管道應同時包括組織內部與外部途徑,揭發範圍也不應僅限於貪腐,鼓勵方式亦可搭配獎金誘因。我國尚無專責的弊端揭發者保護專法,相關保護散見於各機關內部規範與草案研議之中,是我國陽光法制中相對薄弱的一環,也是本章「AI鑲嵌」小節稍後將討論演算法課責時,格外需要補強的制度缺口——當揭弊對象從人為貪腐擴展到演算法偏誤,揭弊者保護的必要性只會更高,而非更低。</w:t>
      </w:r>
    </w:p>
    <w:p>
      <w:r>
        <w:t>表6-8　我國陽光法制與利益迴避法規對照</w:t>
      </w:r>
    </w:p>
    <w:p>
      <w:r>
        <w:t>第七節　本教科書定位</w:t>
      </w:r>
    </w:p>
    <w:p>
      <w:r>
        <w:t>依25-3-3-4-7架構,本章正確定位於「層次一:哲學與價值 × 個人/組織」分析單位,主要對應四條治理鏈中的「理由鏈」與「責任鏈」,並以「理由說明審計」與「責任歸屬審計」為主要檢視工具。行政倫理的雙元架構、行政裁量的倫理困境、Rawls正義論、行政中立與行政責任的確保途徑,共同構成公共行政作為一門專業與志業,在制度化的權力運用之上,所必須承擔的規範性義務;而AI系統的嵌入,使這份義務的追問變得更加迫切與具體——這正是本章接下來要深入處理的主題。</w:t>
      </w:r>
    </w:p>
    <w:p>
      <w:r>
        <w:t>AI鑲嵌後的權力與結構變化:演算法課責與虛擬法官的紅線</w:t>
      </w:r>
    </w:p>
    <w:p>
      <w:r>
        <w:t>當AI系統參與行政裁量,甚至涉入準司法性質的判斷,傳統行政倫理原則與課責機制是否仍然有效,便成為本章最尖銳的提問。本節依序處理街頭演算法的責任危機、演算法課責機制、AI倫理五支柱、虛擬法官的三個層次,以及國際治理工具箱與台灣脈絡。</w:t>
      </w:r>
    </w:p>
    <w:p>
      <w:r>
        <w:t>一、從街頭官僚到街頭演算法的責任危機</w:t>
      </w:r>
    </w:p>
    <w:p>
      <w:r>
        <w:t>Lipsky筆下的街頭官僚,透過裁量形塑政策的實際樣貌。AI進入行政流程後,學界普遍指出裁量正轉向「街頭演算法」與「系統層官僚」。人工裁量(artificial discretion)指政府將裁量任務委託給AI,AI雖無意識,卻作為非人代理人形塑資源分配——以委託人-代理人模型分析,可以看出資訊不對稱更加嚴重(演算法黑箱)、目標可能不一致(廠商利潤與公共利益的落差),以及風險偏好上的差異。這帶來三重責任危機:多手問題(設計者、資料提供者、承辦人員、機關首長,究竟誰該負責?)、無臉政府(民眾甚至不知道自己被AI決定)、自動化偏見(承辦人員過度信任機器輸出,喪失反省能力)。這三重危機,正是本章必須建構「演算法課責」的根本原因。</w:t>
      </w:r>
    </w:p>
    <w:p>
      <w:r>
        <w:t>二、演算法課責機制</w:t>
      </w:r>
    </w:p>
    <w:p>
      <w:r>
        <w:t>課責的本質,是行為者向論壇說明並接受評判的關係。近年文獻將這個定義延伸至AI領域,主張演算法課</w:t>
      </w:r>
    </w:p>
    <w:p>
      <w:r>
        <w:t>[DOCX page 4 image attached. Read this image directly to extract content.]</w:t>
      </w:r>
    </w:p>
    <w:p>
      <w:r>
        <w:t>責(algorithmic accountability)等於可歸責性、可解釋性、可爭訟性與可審計性四者的總和。具體機制包括:演算法影響評估(AIA),例如加拿大自動化決策指令要求機關於系統上線前強制評估風險與偏見;模型卡與資料卡(model cards, data cards),揭露系統的用途、限制與已知偏見,已成為ISO 42001等國際標準的要求項目;演算法審計,涵蓋內部稽核、外部獨立稽核與公民協作審計三種形式;以及人類意義覆核(meaningful human review),歐盟《人工智慧法》(EU AI Act, 2024)第14條即要求高風險AI系統須受過訓練的人類監督,且監督者須具備實質介入、暫停或推翻系統輸出的能力,而不僅是形式上的簽章。</w:t>
      </w:r>
    </w:p>
    <w:p>
      <w:r>
        <w:t>三、AI倫理五支柱與虛擬法官的三個層次</w:t>
      </w:r>
    </w:p>
    <w:p>
      <w:r>
        <w:t>在Warwick五原則的AI轉譯基礎上,國際治理實務進一步收斂出五項「AI倫理支柱」:公平性(fairness),關注訓練資料與模型輸出是否對特定群體產生系統性歧視,美國COMPAS再犯風險評估系統的種族偏見爭議,以及愛沙尼亞曾嘗試導入的小額訴訟AI法官,都是這項支柱最常被引用的案例,操作上可將差別原則轉化為「機會均等化」(Equalized Odds)等公平性指標;可解釋性(explainability),歐盟《一般資料保護規則》(GDPR)第22條原則上禁止完全自動化的決策,《人工智慧法》第86條進一步賦予當事人對高風險AI決定的解釋請求權,可解釋AI(XAI)技術則依對象分為對開發者、對監理者與對一般公民三個層次;可爭訟性(contestability),受影響者須有實際質疑、提供反證並要求重新審查的制度能力,而非僅是形式上的申訴窗口;隱私與資料治理,涉及差別隱私、資料信託與主權AI等技術與制度設計;人類監督與尊嚴,歐盟《人工智慧法》第14條的人類監督要求,以及法官保留原則,是這項支柱在司法領域最鮮明的體現,具體可再細分為人在迴圈(human-in-the-loop)、人在迴圈之上(human-on-the-loop)與人於指揮(human-in-command)三種監督強度。</w:t>
      </w:r>
    </w:p>
    <w:p>
      <w:r>
        <w:t>虛擬法官能否取代人類法官,是這五項支柱交會的極限案例。學界一般將AI在司法場域的角色,區分為三個層次:輔助(AI協助法官整理卷證、提供量刑參考數據)、替代(AI直接產出裁決建議,法官形式上覆核)與增強(AI與法官在決策過程中持續互動、相互修正)。歐盟《人工智慧法》附件三已將司法用途AI列為高風險系統,並明確禁止完全自動化的司法判決——這條「人類保留」的紅線,正是虛擬法官三層次中,唯一被國際治理實務明文禁止跨越的一層。</w:t>
      </w:r>
    </w:p>
    <w:p>
      <w:r>
        <w:t>表6-9　AI倫理五支柱:傳統淵源、操作內涵與國際法制</w:t>
      </w:r>
    </w:p>
    <w:p>
      <w:r>
        <w:t>四、OECD AI原則與EU AI Act的風險分級</w:t>
      </w:r>
    </w:p>
    <w:p>
      <w:r>
        <w:t>OECD於2019年發布AI原則,並於2023年因應生成式AI浪潮修訂,強化人權、民主與包容面向,涵蓋五項原則:包容性成長與永續福祉,要求AI服務全民尤其弱勢群體;尊重法治、人權與民主價值,包括公平與隱私;透明度與可解釋性,確保受影響者能理解並挑戰決定;韌性與安全,防止危害並確保資訊安全;以及課責性,要求組織對AI生命週期負責,並可追溯至具體的自然人或法人。歐盟則於2024年通過首部《人工智慧法》,採取風險分級管制:不可接受風險(全面禁止,如社會信用評分系統)、高風險(嚴格管制,如徵信、招募、警政用途)、有限風險(課予透明義務,如生成式AI內容須標示)與最小風險(由業者自律)。高風險系統須完成符合性評估、資料治理、人工監督與基本權利影響評估。對公共部門而言,由於政府具有主權特質、人民對政府服務往往別無選擇,行政倫理的意涵是應採取最高注意義務,以高風險標準自我要求,而非僅滿足最低合規門檻。</w:t>
      </w:r>
    </w:p>
    <w:p>
      <w:r>
        <w:t>表6-10　OECD AI原則(2023)與三元責任論的對應</w:t>
      </w:r>
    </w:p>
    <w:p>
      <w:r>
        <w:t>五、可爭訟性:課責的最後一哩</w:t>
      </w:r>
    </w:p>
    <w:p>
      <w:r>
        <w:t>即使系統具備透明度與可解釋性,若受影響者無法有效質疑決定,課責便僅停留在儀式層次。可爭訟性(contestability)指受AI決策影響者,能夠有效質疑、提供反證並獲得重新審查的制度能力,已被OECD與多國AI倫理原則列為課責核心。落實在行政法架構中,即是「陳述意見、聽證、說明理由、行政救濟」這一組正當程序鏈,在AI時代的延伸。實務上可行的具體設計包括:明顯可見的申訴按鈕、對抗式解釋(counterfactual explanation,例如告知當事人「若收入多五千元即可通過」)、獨立於原決策系統之外的覆核軌道,以及舉證責任反轉(由機關負責證明系統決定並無歧視,而非由當事人自行舉證)。教科書建議:任何政府AI系統上線前,都應完成「三可檢核」——可解釋、可追溯、可爭訟,三者缺一,系統便不應正式上線。</w:t>
      </w:r>
    </w:p>
    <w:p>
      <w:r>
        <w:t>表6-11　演算法課責制度工具箱:事前、事中、事後與全週期</w:t>
      </w:r>
    </w:p>
    <w:p>
      <w:r>
        <w:t>六、三種權力移轉</w:t>
      </w:r>
    </w:p>
    <w:p>
      <w:r>
        <w:t>情境建構權(P1):訓練資料的標註方式與模型優化目標,預先決定了何種行為被歸類為「異常」或「高風險」,行政倫理原本應由人類反省判斷的「情境理解」環節,悄悄轉移到資料工程與模型設計階段。</w:t>
      </w:r>
    </w:p>
    <w:p>
      <w:r>
        <w:t>行政裁量權(P2):街頭演算法承擔了第一輪裁量的實質功能,承辦人員形式上保有推翻權,卻承受著遵循演算法輸出的實務壓力,反省性選擇(Warwick第二原則)因而面臨被架空的風險。</w:t>
      </w:r>
    </w:p>
    <w:p>
      <w:r>
        <w:t>公權力影響力(P3):當虛擬法官從輔助走向替代甚至增強,演算法本身開始參與準司法性質的公權力行使,傳統上僅由具正當性之公務員承擔的責任,出現了向技術系統外溢的現象。</w:t>
      </w:r>
    </w:p>
    <w:p>
      <w:r>
        <w:t>七、三種結構性效應</w:t>
      </w:r>
    </w:p>
    <w:p>
      <w:r>
        <w:t>跨格移動:行政倫理原本屬於「層次一:哲學與價值」的個人道德判斷,卻因AI系統的標準化與規模化,向下滲透至「層次五:管理運作」的日常自動化流程,使個人良知層次的倫理反省,被大量壓縮為系統參數設定的一次性決定。</w:t>
      </w:r>
    </w:p>
    <w:p>
      <w:r>
        <w:t>邊界消解:模型開發商與雲端服務商雖為私人組織,卻透過模型卡、資料卡等技術文件,實質參與了「什麼才算合乎倫理」的定義權,行政倫理的守門人角色,不再僅由公務員獨佔。</w:t>
      </w:r>
    </w:p>
    <w:p>
      <w:r>
        <w:t>權威重構:當演算法輸出被賦予「客觀、可稽核」的技術權威,傳統上仰賴個人良知與專業判斷的行政倫理權威,逐漸讓位給「誰能解讀模型」「誰掌握稽核權」的新型技術權威,這正是本章一再強調「三可檢核」的制度性理由。</w:t>
      </w:r>
    </w:p>
    <w:p>
      <w:r>
        <w:t>八、台灣脈絡與案例</w:t>
      </w:r>
    </w:p>
    <w:p>
      <w:r>
        <w:t>我國司法院AI量刑輔助系統的試行,已引發虛擬法官爭議的初步討論——系統僅提供量刑參考數據,最終裁決權仍保留於法官,呼應本節「輔助」層次而非「替代」層次的設計原則。憲法法庭近年相關見解,也對自動化行政處分的正當程序要求提出闡釋,強調正當程序不因決定過程自動化而得以免除。行政院2023年發布生成式AI參考指引,要求政府機關使用生成式AI時應標示AI介入事實;國家科學及技術委員會亦持續推動AI基本法草案,納入可爭訟性與人類監督相關規範,但目前仍缺乏強制性的稽核機制。整體而言,我國政府AI應用已具備部分「三可」要素的雛形,但距離制度化的演算法課責,仍有相當距離——尤其在弊端揭發者保護專法付之闕如的情況下,一旦AI系統出現偏誤,揭弊者所能仰賴的制度保障,遠不及陽光四法對傳統貪腐行為的規範完整。</w:t>
      </w:r>
    </w:p>
    <w:p>
      <w:r>
        <w:t>四鏈追蹤＋七項審計應用</w:t>
      </w:r>
    </w:p>
    <w:p>
      <w:r>
        <w:t>本章討論的行政倫理與責任危機,可對應至四條治理鏈逐一檢視,其中又以「理由鏈</w:t>
      </w:r>
    </w:p>
    <w:p>
      <w:r>
        <w:t>[DOCX page 5 image attached. Read this image directly to extract content.]</w:t>
      </w:r>
    </w:p>
    <w:p>
      <w:r>
        <w:t>」與「責任鏈」最貼近本章「層次一:哲學與價值」的定位。</w:t>
      </w:r>
    </w:p>
    <w:p>
      <w:r>
        <w:t>表6-12　四條治理鏈與七項治理審計:以行政倫理與演算法課責為例</w:t>
      </w:r>
    </w:p>
    <w:p>
      <w:r>
        <w:t>案例與思考討論</w:t>
      </w:r>
    </w:p>
    <w:p>
      <w:r>
        <w:t>案例思考</w:t>
      </w:r>
    </w:p>
    <w:p>
      <w:r>
        <w:t>某縣市政府導入生成式AI自動回覆民眾陳情,並依系統評分決定社福補助的核發優先順序,但系統上線時未標示AI介入事實、未設計人類覆核機制,民眾也無管道申訴。依Gilbert四宮格與三元責任論分析,這個案例同時暴露內部正式監督的缺位(未經內部稽核即上線)與外部非正式監督的缺位(民眾無從得知、更無從監督);依「三可檢核」標準,系統顯然未能滿足可解釋、可追溯、可爭訟三項要求中的任何一項,構成本章所稱「無臉政府」的典型案例。</w:t>
      </w:r>
    </w:p>
    <w:p>
      <w:r>
        <w:t>延伸思考</w:t>
      </w:r>
    </w:p>
    <w:p>
      <w:r>
        <w:t>1、請以黑心食品或社福補助溢發案例,區辨防禦性與促進性倫理,並評析承辦人員僅滿足「依法未違法」是否已符合促進性倫理?在AI自動審核社福資格時,這個區辨會產生什麼新的意涵?</w:t>
      </w:r>
    </w:p>
    <w:p>
      <w:r>
        <w:t>2、若某機關導入AI輔助量刑或補助決定系統,請運用表6-9「AI倫理五支柱」逐項檢視:這套系統在公平性、可解釋性、可爭訟性、隱私與資料治理、人類監督五個面向,各應設計哪些具體的課責機制?</w:t>
      </w:r>
    </w:p>
    <w:p>
      <w:r>
        <w:t>3、Rawls無知之幕若用於設計「低收入戶AI資格審核模型」,設計者應如何實踐「演算法無知之幕」?請論述差別原則如何轉化為公平性指標,並批判「數據中立即公正」這個常見迷思。</w:t>
      </w:r>
    </w:p>
    <w:p>
      <w:r>
        <w:t>本章小結</w:t>
      </w:r>
    </w:p>
    <w:p>
      <w:r>
        <w:t>行政倫理從防禦性(不貪不濫)演進至促進性(積極興利、關懷弱勢),而公共利益模糊、行政機關獨大與組織倫理三重困境,在AI外包與GovTech興起後更形嚴峻。Cooper的三類型倫理衝突與Warwick的五項決策原則,說明行政裁量無可迴避,關鍵在於建構反省性的決策能力;Rawls的原初情境與無知之幕,則為行政倫理提供了最系統的正義論基礎,差別原則也成為資源重分配與演算法公平性的重要標竿。行政中立從去政治化的消極不介入,重新詮釋為忠於憲法、人權與弱勢的積極民主錨定;行政責任的確保途徑,則整合了Fesler與Kettl的責任倫理二分、Starling六要素、Gilbert四宮格與政治、法律、專業三元責任論,並具體落實於旋轉門條款、廉政倫理規範、利益衝突迴避法、陽光法案與政治獻金法等台灣本土法制之中。</w:t>
      </w:r>
    </w:p>
    <w:p>
      <w:r>
        <w:t>進入AI世代,裁量權從街頭官僚轉移至街頭演算法,帶來多手問題、無臉政府與自動化偏見三重責任危機,促使演算法課責(可歸責、可解釋、可爭訟、可審計)成為必要的制度回應。AI倫理五支柱(公平性、可解釋性、可爭訟性、隱私與資料治理、人類監督與尊嚴),是Warwick五原則在技術層次的當代延伸;虛擬法官三層次(輔助、替代、增強)與「人類保留」的紅線,則劃出了演算法治理在司法場域不可跨越的界線。OECD AI原則與歐盟《人工智慧法》的風險分級,為這些倫理要求提供了可操作的規制工具;而可爭訟性作為課責的最後一哩,提醒我們透明與可解釋若缺乏實質的質疑與救濟能力,終究只是儀式性的透明。這正是本書25-3-3-4-7架構中,「理由鏈」與「責任鏈」在哲學與價值層次最核心的應用場域,也是下一章討論行政環境時,必須延續的制度基礎。</w:t>
      </w:r>
    </w:p>
    <w:p>
      <w:r>
        <w:t>關鍵詞彙</w:t>
      </w:r>
    </w:p>
    <w:p>
      <w:r>
        <w:t>防禦性行政倫理　聚焦防杜貪污濫權的底線倫理,核心問題是「合法與否」。</w:t>
      </w:r>
    </w:p>
    <w:p>
      <w:r>
        <w:t>促進性行政倫理　受新公共行政運動影響,強調社會公平、公益與關懷弱勢的積極興利倫理。</w:t>
      </w:r>
    </w:p>
    <w:p>
      <w:r>
        <w:t>多手問題(Many Hands Problem)　決策分散於多個行動者,致使責任歸屬不明的現象。</w:t>
      </w:r>
    </w:p>
    <w:p>
      <w:r>
        <w:t>無臉政府(No-Face Government)　組織龐大與AI外包,使人民不知向誰究責的治理困境。</w:t>
      </w:r>
    </w:p>
    <w:p>
      <w:r>
        <w:t>Cooper三類型倫理衝突　權威衝突、角色衝突與利益衝突,描述主觀責任與客觀責任相互矛盾的情境。</w:t>
      </w:r>
    </w:p>
    <w:p>
      <w:r>
        <w:t>Warwick五原則　公共取向、反省性選擇、真誠、程序尊重、手段限制,是政策倫理決策的核心檢核原則。</w:t>
      </w:r>
    </w:p>
    <w:p>
      <w:r>
        <w:t>原初情境與無知之幕　Rawls提出,設想理性個體在遮蔽自身社經資訊下訂立社會契約,以確保公正。</w:t>
      </w:r>
    </w:p>
    <w:p>
      <w:r>
        <w:t>差別原則(Difference Principle)　社會與經濟的不平等,僅在對最弱勢者最有利時始具正當性。</w:t>
      </w:r>
    </w:p>
    <w:p>
      <w:r>
        <w:t>行政中立與民主錨定　行政中立由對政黨保持距離的去政治化,轉向忠於憲法與人權的民主錨定新詮釋。</w:t>
      </w:r>
    </w:p>
    <w:p>
      <w:r>
        <w:t>Fesler與Kettl責任二分　負責行為(依法之客觀責任)與倫理行為(依德之主觀責任)的二元架構。</w:t>
      </w:r>
    </w:p>
    <w:p>
      <w:r>
        <w:t>Gilbert四宮格　以正式/非正式與內部/外部兩個向度,分類行政責任的四種確保途徑。</w:t>
      </w:r>
    </w:p>
    <w:p>
      <w:r>
        <w:t>三元責任論　政治責任、法律責任與專業責任三種課責邏輯之間的動態平衡。</w:t>
      </w:r>
    </w:p>
    <w:p>
      <w:r>
        <w:t>旋轉門條款　公務員服務法第16條規定,離職後三年內不得任職於與離職前職務直接相關之營利事業。</w:t>
      </w:r>
    </w:p>
    <w:p>
      <w:r>
        <w:t>公職人員利益衝突迴避法　規範公職人員及其關係人之財產上與非財產上利益迴避義務的專法。</w:t>
      </w:r>
    </w:p>
    <w:p>
      <w:r>
        <w:t>陽光法案(財產申報法)　要求特定層級以上公職人員定期申報財產,以透明確立清廉作為的法制。</w:t>
      </w:r>
    </w:p>
    <w:p>
      <w:r>
        <w:t>演算法課責(Algorithmic Accountability)　可歸責性、可解釋性、可爭訟性與可審計性四者的總和。</w:t>
      </w:r>
    </w:p>
    <w:p>
      <w:r>
        <w:t>AI倫理五支柱　公平性、可解釋性、可爭訟性、隱私與資料治理、人類監督與尊嚴。</w:t>
      </w:r>
    </w:p>
    <w:p>
      <w:r>
        <w:t>虛擬法官三層次　AI在司法場域的角色可區分為輔助、替代與增強,國際治理實務明文禁止完全自動化判決。</w:t>
      </w:r>
    </w:p>
    <w:p>
      <w:r>
        <w:t>可爭訟性(Contestability)　受AI決策影響者能有效質疑、提供反證並獲得重新審查的制度能力。</w:t>
      </w:r>
    </w:p>
    <w:p>
      <w:r>
        <w:t>思考與討論</w:t>
      </w:r>
    </w:p>
    <w:p>
      <w:r>
        <w:t>一、行政中立新詮釋強調忠於憲法而非政黨,若公務員發現機關採購之AI人臉辨識系統存在族群偏見,揭露此事是否違反行政中立?請結合弊端揭發者保護與數位中立,論述我國法制的保障與不足。</w:t>
      </w:r>
    </w:p>
    <w:p>
      <w:r>
        <w:t>二、試以Gilbert四宮格與三元責任論,分析我國現行陽光四法(公務員服務法旋轉門條款、廉政倫理規範、利益衝突迴避法、財產申報法)分別對應哪一象限與哪一種責任邏輯?哪一象限的制度目前最為薄弱?</w:t>
      </w:r>
    </w:p>
    <w:p>
      <w:r>
        <w:t>三、OECD AI原則與歐盟《人工智慧法》風險分級,分別回答「AI應遵循什麼價值」與「用什麼工具管制AI」兩個不同層次的問題。請說明兩者如何互補,並以我國司法院AI量刑輔助系統為例,分析其應被歸類為哪一風險等級。</w:t>
      </w:r>
    </w:p>
    <w:p>
      <w:r>
        <w:t>四、試以本書25座標,定位「政府採購生成式AI自動回覆民眾陳情系統」屬於何格?並說明其在哲學與價值層次可能引發的權力移轉與結構性效應。</w:t>
      </w:r>
    </w:p>
    <w:p>
      <w:r>
        <w:t>五、「三可檢核」(可解釋、可追溯、可爭訟)若作為政府AI系統上線的必要條件,可能面臨哪些行政實務上的落實困難?請提出至少一項具體的配套制度設計。</w:t>
      </w:r>
    </w:p>
    <w:p>
      <w:r>
        <w:t>延伸閱讀與參考文獻</w:t>
      </w:r>
    </w:p>
    <w:p>
      <w:r>
        <w:t>Waldo, D. (1948). The Administrative State. Ronald Press.</w:t>
      </w:r>
    </w:p>
    <w:p>
      <w:r>
        <w:t>Cooper, T. L. (2012). The Responsible Administrator (6th ed.). Jossey-Bass.</w:t>
      </w:r>
    </w:p>
    <w:p>
      <w:r>
        <w:t>Rohr, J. A. (1989). Ethics for Bureaucrats (2nd ed.). Marcel Dekker.</w:t>
      </w:r>
    </w:p>
    <w:p>
      <w:r>
        <w:t>Frederickson, H. G. (2010). Social Equity and Public Administration. M.E. Sharpe.</w:t>
      </w:r>
    </w:p>
    <w:p>
      <w:r>
        <w:t>Bowman, J. S., &amp; West, J. P. (2021). Public Service Et</w:t>
      </w:r>
    </w:p>
    <w:p>
      <w:r>
        <w:t>[DOCX page 6 image attached. Read this image directly to extract content.]</w:t>
      </w:r>
    </w:p>
    <w:p>
      <w:r>
        <w:t>hics (3rd ed.). Routledge.</w:t>
      </w:r>
    </w:p>
    <w:p>
      <w:r>
        <w:t>Rawls, J. (1971, rev. 1999). A Theory of Justice. Harvard University Press.</w:t>
      </w:r>
    </w:p>
    <w:p>
      <w:r>
        <w:t>Wolff, J. (2023). Rawls and Fair Machine Learning. Philosophy &amp; Public Affairs, 51(1).</w:t>
      </w:r>
    </w:p>
    <w:p>
      <w:r>
        <w:t>Overeem, P. (2022). The Value of Administrative Neutrality. Public Administration Review.</w:t>
      </w:r>
    </w:p>
    <w:p>
      <w:r>
        <w:t>Overeem, P., &amp; Tholen, B. (2021). Public Administration Ethics Audit. Public Money &amp; Management, 41(1).</w:t>
      </w:r>
    </w:p>
    <w:p>
      <w:r>
        <w:t>Thompson, D. F. (2014). Responsibility for Failures of Government. American Review of Public Administration, 44(3S).</w:t>
      </w:r>
    </w:p>
    <w:p>
      <w:r>
        <w:t>Bovens, M. (2007). Analysing and Assessing Accountability: A Conceptual Framework. European Law Journal, 13(4), 447-468.</w:t>
      </w:r>
    </w:p>
    <w:p>
      <w:r>
        <w:t>Bovens, M. (2020). Accountability and Algorithm. In Oxford Handbook of Public Accountability.</w:t>
      </w:r>
    </w:p>
    <w:p>
      <w:r>
        <w:t>Busuioc, M. (2021). Accountable Artificial Intelligence: Holding Algorithms to Account. Public Administration Review, 81(5), 825-836.</w:t>
      </w:r>
    </w:p>
    <w:p>
      <w:r>
        <w:t>Diakopoulos, N. (2020). Automating the News. Harvard University Press.</w:t>
      </w:r>
    </w:p>
    <w:p>
      <w:r>
        <w:t>Raji, I. D., et al. (2020). Closing the AI Accountability Gap. FAT* 2020.</w:t>
      </w:r>
    </w:p>
    <w:p>
      <w:r>
        <w:t>de Laat, P. B. (2021). Algorithmic Decision-Making. Ethics and Information Technology, 23, 45-62.</w:t>
      </w:r>
    </w:p>
    <w:p>
      <w:r>
        <w:t>Widlak, A., et al. (2023). Auditing Algorithms in the Public Sector. Government Information Quarterly, 40(2).</w:t>
      </w:r>
    </w:p>
    <w:p>
      <w:r>
        <w:t>Mitchell, M., et al. (2019). Model Cards for Model Reporting. FAT* 2019.</w:t>
      </w:r>
    </w:p>
    <w:p>
      <w:r>
        <w:t>Arrieta, A. B., et al. (2020). Explainable AI (XAI). Information Fusion, 58, 82-115.</w:t>
      </w:r>
    </w:p>
    <w:p>
      <w:r>
        <w:t>Alfrink, K., et al. (2023). Contestable AI by Design: Four Patterns. AI &amp; Society, 38.</w:t>
      </w:r>
    </w:p>
    <w:p>
      <w:r>
        <w:t>Alon-Barkat, S., &amp; Busuioc, M. (2023). Human-AI Interactions in Public Sector Decision Making. Journal of Public Administration Research and Theory, 33(1), 153-169.</w:t>
      </w:r>
    </w:p>
    <w:p>
      <w:r>
        <w:t>Busch, P. A., &amp; Henriksen, H. Z. (2018). Digital Discretion. Government Information Quarterly, 35(4), 561-572.</w:t>
      </w:r>
    </w:p>
    <w:p>
      <w:r>
        <w:t>Alkhatib, A., &amp; Bernstein, M. (2019). Street-Level Algorithms. CHI 2019.</w:t>
      </w:r>
    </w:p>
    <w:p>
      <w:r>
        <w:t>Reiling, A. D. (2020). Courts and Artificial Intelligence. International Journal for Court Administration, 11(2).</w:t>
      </w:r>
    </w:p>
    <w:p>
      <w:r>
        <w:t>Sourdin, T. (2021). Judge v Robot? Artificial Intelligence and Judicial Decision-Making. UNSW Law Journal, 41(4).</w:t>
      </w:r>
    </w:p>
    <w:p>
      <w:r>
        <w:t>Coeckelbergh, M. (2022). The Political Philosophy of AI. Polity.</w:t>
      </w:r>
    </w:p>
    <w:p>
      <w:r>
        <w:t>OECD. (2023). Recommendation of the Council on Artificial Intelligence (Revised). OECD Legal Instruments.</w:t>
      </w:r>
    </w:p>
    <w:p>
      <w:r>
        <w:t>European Union. (2024). Regulation (EU) 2024/1689 Laying Down Harmonised Rules on Artificial Intelligence (AI Act).</w:t>
      </w:r>
    </w:p>
    <w:p>
      <w:r>
        <w:t>NIST. (2023). AI Risk Management Framework (AI RMF 1.0). U.S. Department of Commerce.</w:t>
      </w:r>
    </w:p>
    <w:p>
      <w:r>
        <w:t>Bullock, J., et al. (2023). Digital Neutrality and Government Algorithms. Public Administration Review, 83(2), 325-337.</w:t>
      </w:r>
    </w:p>
    <w:p>
      <w:r>
        <w:t>Young, M. M., et al. (2023). The Principal-Agent Model of AI Delegation. Journal of Public Administration Research and Theory, 33(2), 237-251.</w:t>
      </w:r>
    </w:p>
    <w:p>
      <w:r>
        <w:t>新加坡政府 (2023). Model AI Governance Framework for Generative AI v2. PDPC Singapore.</w:t>
      </w:r>
    </w:p>
    <w:p>
      <w:r>
        <w:t>公務員服務法(2022年修正)。</w:t>
      </w:r>
    </w:p>
    <w:p>
      <w:r>
        <w:t>公務人員行政中立法(2009年制定)。</w:t>
      </w:r>
    </w:p>
    <w:p>
      <w:r>
        <w:t>公職人員利益衝突迴避法(2018年修正)。</w:t>
      </w:r>
    </w:p>
    <w:p>
      <w:r>
        <w:t>公職人員財產申報法(2022年修正)。</w:t>
      </w:r>
    </w:p>
    <w:p>
      <w:r>
        <w:t>政治獻金法(2023年修正)。</w:t>
      </w:r>
    </w:p>
    <w:p>
      <w:r>
        <w:t>行政院公務員廉政倫理規範(2022年修正)。</w:t>
      </w:r>
    </w:p>
    <w:p>
      <w:r>
        <w:t>本章在25座標的位置</w:t>
      </w:r>
    </w:p>
    <w:p>
      <w:r>
        <w:t>主要落在「層次一:哲學與價值 × 個人/組織」分析單位,向前呼應第五章「層次二:制度分工」對官僚權威與民主控制的討論,向後預告第七章對行政環境的分析。本章主要對應四條治理鏈中的「理由鏈」與</w:t>
      </w:r>
    </w:p>
    <w:p>
      <w:r>
        <w:t>[DOCX page 7 image attached. Read this image directly to extract content.]</w:t>
      </w:r>
    </w:p>
    <w:p>
      <w:r>
        <w:t>「責任鏈」,並以「理由說明審計」與「責任歸屬審計」為核心檢視工具——把行政倫理從個人道德共識,轉化為可課責的制度設計,回答「公務員(及其AI協作系統)的裁量,為何合理、又應向誰負責」這一哲學與價值層次的核心提問。</w:t>
      </w:r>
    </w:p>
    <w:p>
      <w:r>
        <w:t>面向 | 防禦性(消極) | 促進性(積極) | AI世代新詮釋</w:t>
      </w:r>
    </w:p>
    <w:p>
      <w:r>
        <w:t>核心問題 | 不可為何者? | 應為何者? | AI不可為與應為何者?如防杜歧視與促進包容</w:t>
      </w:r>
    </w:p>
    <w:p>
      <w:r>
        <w:t>價值基礎 | 合法性、服從 | 公平、正義、回應性、關懷 | 可解釋性、公平性、包容性、永續性</w:t>
      </w:r>
    </w:p>
    <w:p>
      <w:r>
        <w:t>理論淵源 | 傳統行政法、官僚控制 | 新公共行政、公共服務動機、公共價值 | 數位治理、人工裁量、負責任AI</w:t>
      </w:r>
    </w:p>
    <w:p>
      <w:r>
        <w:t>課責重點 | 懲罰貪腐 | 獎勵興利、保障弱勢 | 演算法審計、影響評估、可爭訟</w:t>
      </w:r>
    </w:p>
    <w:p>
      <w:r>
        <w:t>風險 | 目標錯置、消極避責 | 價值衝突、公益界定困難 | 自動化偏見、責任分散、倫理洗白</w:t>
      </w:r>
    </w:p>
    <w:p>
      <w:r>
        <w:t>觀念釐清:兩個常見誤解</w:t>
      </w:r>
    </w:p>
    <w:p>
      <w:r>
        <w:t>依法行政的正確表述,是公部門奉行「法無授權即禁止」(法律保留原則),私部門與人民則奉行「法無禁止即自由」,兩者不可顛倒——這是國家考試常考、也是討論AI治理時最容易混淆的起點:政府使用AI系統輔助決策,仍須有明確法律授權,不能以「法律未禁止」作為擴權理由。另一個常見誤解是「行政裁量不受司法審查」,這並不正確:依我國行政程序法與實務見解,裁量仍受司法審查,包括裁量逾越、濫用、怠惰,法院僅在專業判斷餘地內予以尊重。</w:t>
      </w:r>
    </w:p>
    <w:p>
      <w:r>
        <w:t>類型 | 衝突來源 | 行政現場案例 | 制度回應</w:t>
      </w:r>
    </w:p>
    <w:p>
      <w:r>
        <w:t>權威衝突 | 主觀良知與客觀命令衝突 | 長官指示加速通過爭議開發案 | 陳述意見義務、吹哨者保護</w:t>
      </w:r>
    </w:p>
    <w:p>
      <w:r>
        <w:t>角色衝突(內外) | 組織角色與專業角色衝突 | 衛生主管機關官員面對疫情發言 | 專業倫理守則、利益迴避</w:t>
      </w:r>
    </w:p>
    <w:p>
      <w:r>
        <w:t>角色衝突(內內) | 層級間角色期待拉扯 | 中階主管夾於高層要求與基層權益之間 | 倫理領導、組織正義</w:t>
      </w:r>
    </w:p>
    <w:p>
      <w:r>
        <w:t>利益衝突 | 私益與公益衝突 | 承辦人員親屬參與政府標案 | 財產申報、利益衝突迴避法、旋轉門條款</w:t>
      </w:r>
    </w:p>
    <w:p>
      <w:r>
        <w:t>原則 | 傳統意涵 | AI轉譯 | 課責檢核點</w:t>
      </w:r>
    </w:p>
    <w:p>
      <w:r>
        <w:t>公共取向 | 超越私利派系 | 超越商業與多數偏見、保障弱勢 | 偏見稽核、公平性指標</w:t>
      </w:r>
    </w:p>
    <w:p>
      <w:r>
        <w:t>反省選擇 | 四重反省 | 對抗自動化偏見、有意義人類覆核 | 覆核率、推翻率紀錄</w:t>
      </w:r>
    </w:p>
    <w:p>
      <w:r>
        <w:t>真誠 | 誠實報導 | 可解釋性、揭露AI介入 | 模型卡、可解釋AI報告</w:t>
      </w:r>
    </w:p>
    <w:p>
      <w:r>
        <w:t>程序尊重 | 正當法律程序 | 數位正當程序、告知聽證 | 稽核軌跡保存</w:t>
      </w:r>
    </w:p>
    <w:p>
      <w:r>
        <w:t>手段限制 | 比例、不偏袒 | 最小侵害、風險分級、可撤銷 | 人權影響評估</w:t>
      </w:r>
    </w:p>
    <w:p>
      <w:r>
        <w:t>構成 | 原典意涵 | 行政轉譯 | AI治理轉譯</w:t>
      </w:r>
    </w:p>
    <w:p>
      <w:r>
        <w:t>原初情境 | 契約起點 | 政策制定前的利害關係人審議 | 演算法設計前的影響評估</w:t>
      </w:r>
    </w:p>
    <w:p>
      <w:r>
        <w:t>無知之幕 | 遮蔽社經資訊 | 中立檢視政策對弱勢的衝擊 | 遮蔽種族、性別等特徵以檢測偏見</w:t>
      </w:r>
    </w:p>
    <w:p>
      <w:r>
        <w:t>自由原則 | 基本自由平等 | 基本人權優先於效率 | 隱私權不因AI效率而犧牲</w:t>
      </w:r>
    </w:p>
    <w:p>
      <w:r>
        <w:t>機會均等 | 職位對所有人開放 | 考試用人、採購公平 | 資料與算力近用權的公平</w:t>
      </w:r>
    </w:p>
    <w:p>
      <w:r>
        <w:t>差別原則 | 對最弱勢者最有利 | 重分配、矯正措施 | 改善最弱勢群體的錯誤率</w:t>
      </w:r>
    </w:p>
    <w:p>
      <w:r>
        <w:t>維度 | 舊詮釋(去政治化) | 新詮釋(民主錨定) | AI世代挑戰</w:t>
      </w:r>
    </w:p>
    <w:p>
      <w:r>
        <w:t>中立對象 | 對政黨保持距離 | 忠於憲法、法治、人權 | 忠於憲法並揭露演算法偏見</w:t>
      </w:r>
    </w:p>
    <w:p>
      <w:r>
        <w:t>行為模式 | 不介入、被動服從 | 積極回應弱勢、揭露不公 | 主動稽核數據偏見</w:t>
      </w:r>
    </w:p>
    <w:p>
      <w:r>
        <w:t>價值立場 | 價值中立、技術官僚 | 價值澄清、公共價值導向 | 價值嵌入設計之揭露</w:t>
      </w:r>
    </w:p>
    <w:p>
      <w:r>
        <w:t>法制角色 | 自律自覺 | 他律自律並重、法治防弊並保障文官 | 演算法治理專法與指引</w:t>
      </w:r>
    </w:p>
    <w:p>
      <w:r>
        <w:t>風險 | 淪為現狀維護、冷漠 | 被濫用為忠誠審查 | 技術洗白(ethics washing)</w:t>
      </w:r>
    </w:p>
    <w:p>
      <w:r>
        <w:t>觀念釐清:加入政黨不等於可從事黨務</w:t>
      </w:r>
    </w:p>
    <w:p>
      <w:r>
        <w:t>可加入政黨,不代表可以兼任黨職或從事助選募款;行政中立也不等於「無心無立場」,而是「對憲法忠誠、對政黨節制、對人民負責」。這個區分,是理解我國行政中立法制度設計的關鍵起點。</w:t>
      </w:r>
    </w:p>
    <w:p>
      <w:r>
        <w:t>內部 | 外部</w:t>
      </w:r>
    </w:p>
    <w:p>
      <w:r>
        <w:t>正式 | 行政控制、調查委員會、人事主計政風雙重監督、內部稽核AI日誌 | 議會控制、司法控制、監察審計、選舉課責、個資與AI專責機關</w:t>
      </w:r>
    </w:p>
    <w:p>
      <w:r>
        <w:t>非正式 | 代表性官僚、專業倫理、吹哨者保護、倫理長 | 公民參與與數位審議、媒體與演算法監督、資訊自由與開放資料</w:t>
      </w:r>
    </w:p>
    <w:p>
      <w:r>
        <w:t>觀念釐清:Responsibility與Accountability</w:t>
      </w:r>
    </w:p>
    <w:p>
      <w:r>
        <w:t>中文常將Responsibility與Accountability皆譯為「課責」,但兩者內涵不同:Responsibility是內在的責任感,偏向主觀責任;Accountability是外在的可究責狀態,偏向客觀責任。行政責任的完整設計,須同時處理這兩個層次。</w:t>
      </w:r>
    </w:p>
    <w:p>
      <w:r>
        <w:t>面向 | 政治責任 | 法律責任 | 專業責任</w:t>
      </w:r>
    </w:p>
    <w:p>
      <w:r>
        <w:t>對誰負責 | 民選首長、政黨、公民 | 憲法、法律、法院 | 專業社群、公共利益、良知</w:t>
      </w:r>
    </w:p>
    <w:p>
      <w:r>
        <w:t>為何負責 | 回應性、代表性 | 合法性、人權保障 | 效能、倫理正當性</w:t>
      </w:r>
    </w:p>
    <w:p>
      <w:r>
        <w:t>如何確保 | 選舉、議會、民意 | 司法審查、監察審計 | 專業守則、同儕、吹哨</w:t>
      </w:r>
    </w:p>
    <w:p>
      <w:r>
        <w:t>數位新機制 | 數位公聽會、參與平台 | AI基本法、人權影響評估 | AI倫理委員會、模型審計</w:t>
      </w:r>
    </w:p>
    <w:p>
      <w:r>
        <w:t>風險 | 民粹短視 | 形式主義 | 菁英閉門</w:t>
      </w:r>
    </w:p>
    <w:p>
      <w:r>
        <w:t>法制 | 核心目的 | 規範對象/內容重點 | 主管或受理機關</w:t>
      </w:r>
    </w:p>
    <w:p>
      <w:r>
        <w:t>公務員服務法(旋轉門、兼職限制) | 防止職務影響力於離職後或任職中不當變現 | 離職後三年內相關產業任職限制;在職經商與投資限制 | 各機關政風單位</w:t>
      </w:r>
    </w:p>
    <w:p>
      <w:r>
        <w:t>公務員廉政倫理規範 | 具體化「不貪不取」的行為標準 | 餽贈飲宴應酬之數額門檻與例外情形 | 各機關政風單位</w:t>
      </w:r>
    </w:p>
    <w:p>
      <w:r>
        <w:t>公職人員利益衝突迴避法 | 遏阻利益輸送、要求利益迴避 | 十二類公職人員及其關係人之財產上與非財產上利益 | 監察院</w:t>
      </w:r>
    </w:p>
    <w:p>
      <w:r>
        <w:t>公職人員財產申報法(陽光法案) | 以財產透明確立清廉作為 | 十二類公職人員財產申報,依職級分流受理 | 監察院、政風單位、選舉委員會</w:t>
      </w:r>
    </w:p>
    <w:p>
      <w:r>
        <w:t>政治獻金法 | 防止金錢扭曲民主程序 | 政黨、政治團體與候選人收受政治獻金之限制與揭露 | 監察院</w:t>
      </w:r>
    </w:p>
    <w:p>
      <w:r>
        <w:t>支柱 | 傳統倫理淵源 | AI操作內涵 | 國際案例與法制</w:t>
      </w:r>
    </w:p>
    <w:p>
      <w:r>
        <w:t>公平性 | Warwick公共取向、Rawls差別原則 | 偏見稽核、公平性指標(如機會均等化) | COMPAS再犯風險評估爭議、愛沙尼亞AI法官嘗試</w:t>
      </w:r>
    </w:p>
    <w:p>
      <w:r>
        <w:t>可解釋性 | Warwick真誠原則 | 可解釋AI(XAI)、模型卡揭露 | GDPR第22條、EU AI Act第86條解釋請求權</w:t>
      </w:r>
    </w:p>
    <w:p>
      <w:r>
        <w:t>可爭訟性 | 正當程序、行政救濟 | 對抗式解釋、獨立覆核軌道、舉證責任反轉 | OECD 2023可爭訟性原則</w:t>
      </w:r>
    </w:p>
    <w:p>
      <w:r>
        <w:t>隱私與資料治理 | 程序尊重、手段限制 | 差別隱私、資料信託、主權AI | 個人資料保護法、資料治理專法</w:t>
      </w:r>
    </w:p>
    <w:p>
      <w:r>
        <w:t>人類監督與尊嚴 | 反省性選擇、法官保留 | HITL/HOTL/HIC三種監督強度 | EU AI Act第14條人類監督義務</w:t>
      </w:r>
    </w:p>
    <w:p>
      <w:r>
        <w:t>OECD原則 | 內涵 | 對應責任類型 | 行政應用</w:t>
      </w:r>
    </w:p>
    <w:p>
      <w:r>
        <w:t>包容成長與永續福祉 | AI服務全民,尤其弱勢群體 | 政治責任 | 數位包容、偏鄉AI近</w:t>
      </w:r>
    </w:p>
    <w:p>
      <w:r>
        <w:t>[DOCX page 8 image attached. Read this image directly to extract content.]</w:t>
      </w:r>
    </w:p>
    <w:p>
      <w:r>
        <w:t>用</w:t>
      </w:r>
    </w:p>
    <w:p>
      <w:r>
        <w:t>法治、人權與民主 | 尊重隱私、公平 | 法律責任 | 人權影響評估、個資保護</w:t>
      </w:r>
    </w:p>
    <w:p>
      <w:r>
        <w:t>透明與可解釋 | 可理解、可挑戰 | 專業責任＋法律責任 | 可解釋AI、理由說明</w:t>
      </w:r>
    </w:p>
    <w:p>
      <w:r>
        <w:t>韌性與安全 | 穩健、資安 | 專業責任 | 資安標準、紅隊演練</w:t>
      </w:r>
    </w:p>
    <w:p>
      <w:r>
        <w:t>課責性 | 可追溯至自然人或法人 | 三元責任整合 | AI治理長、演算法登記簿</w:t>
      </w:r>
    </w:p>
    <w:p>
      <w:r>
        <w:t>課責階段 | 工具 | 說明 | 案例</w:t>
      </w:r>
    </w:p>
    <w:p>
      <w:r>
        <w:t>事前 | 演算法影響評估、資料倫理審查 | 上線前強制評估風險與偏見 | 加拿大自動化決策指令、荷蘭AI登記簿</w:t>
      </w:r>
    </w:p>
    <w:p>
      <w:r>
        <w:t>事中 | 人類監督、軌跡紀錄、標示揭露 | 確保可追溯、可即時介入 | EU AI Act第14條人類監督</w:t>
      </w:r>
    </w:p>
    <w:p>
      <w:r>
        <w:t>事後 | 演算法審計、模型卡、爭訟救濟 | 獨立稽核與民眾救濟管道 | NIST AI風險管理框架</w:t>
      </w:r>
    </w:p>
    <w:p>
      <w:r>
        <w:t>全週期 | 治理組織、AI治理長、倫理委員會 | 明確到人的責任歸屬 | 新加坡生成式AI治理框架</w:t>
      </w:r>
    </w:p>
    <w:p>
      <w:r>
        <w:t>治理鏈 | 本章關鍵問題 | 對應審計重點</w:t>
      </w:r>
    </w:p>
    <w:p>
      <w:r>
        <w:t>情境建構鏈 | 訓練資料與模型優化目標,如何預先界定何謂「異常」或「高風險」行為?哪些倫理判斷已被壓縮為資料標註規則? | 資料代表性審計</w:t>
      </w:r>
    </w:p>
    <w:p>
      <w:r>
        <w:t>理由鏈 | AI建議是否具備可解釋性?承辦人員能否提出實質理由,而非僅覆述模型輸出?公民能否理解並質疑決定? | 理由說明審計</w:t>
      </w:r>
    </w:p>
    <w:p>
      <w:r>
        <w:t>責任鏈 | 當AI決策造成損害,責任應由承辦人員、機關首長、系統開發者或技術供應商中的何者承擔?多手問題是否已被制度化解決? | 責任歸屬審計、民主課責審計</w:t>
      </w:r>
    </w:p>
    <w:p>
      <w:r>
        <w:t>權威鏈 | 演算法輸出的「客觀」形象,是否已實質取代承辦人員的專業判斷與良知反省?人類監督是否具備實質介入能力? | 裁量邊界審計、組織能力審計</w:t>
      </w:r>
    </w:p>
    <w:p>
      <w:r>
        <w:t>第一層的AI倫理課責檢查清單</w:t>
      </w:r>
    </w:p>
    <w:p>
      <w:r>
        <w:t>系統上線前是否完成演算法影響評估與偏見稽核(反省性選擇)?模型卡與資料卡是否公開揭露用途、限制與已知偏見(真誠)?承辦人員是否具備實質(而非形式)推翻AI建議的能力與誘因(人類監督)?受影響者是否有明確的申訴管道與對抗式解釋可用(可爭訟性)?高風險系統是否嚴守「人類保留」紅線,未讓演算法完全取代準司法判斷(手段限制)?責任歸屬是否在系統上線前即已明確到人,而非留待事故發生後才追查(責任歸屬)?這組問題不是單純的技術驗收表,而是「層次一:哲學與價值」對演算法治理提出的倫理義務。</w:t>
      </w:r>
    </w:p>
    <w:p>
      <w:r>
        <w:t>前瞻:通往第七章</w:t>
      </w:r>
    </w:p>
    <w:p>
      <w:r>
        <w:t>本章以行政倫理的雙元架構、Cooper與Warwick的決策原則、Rawls正義論,以及行政責任的確保途徑與我國具體法制,確立了「層次一:哲學與價值」在理由鏈與責任鏈上的規範基礎,並示範了演算法課責、AI倫理五支柱與虛擬法官紅線,如何把這套規範延伸至AI治理。然而,行政倫理與責任終究不是在真空中運作,而是鑲嵌於特定的政治、經濟、社會與科技環境之中。下一章「行政環境」,將接續討論公共行政所處的外部環境如何形塑、也限制了本章所建立的倫理與責任體系,並進一步引入全球AI治理競合下的「第四環境」概念。</w:t>
      </w:r>
    </w:p>
    <w:p>
      <w:r>
        <w:t>[DOCX page 9 image attached. Read this image directly to extract content.]</w:t>
      </w:r>
    </w:p>
    <w:p>
      <w:r>
        <w:t>[DOCX page 10 image attached. Read this image directly to extract content.]</w:t>
      </w:r>
    </w:p>
    <w:p>
      <w:r>
        <w:t>[DOCX page 11 image attached. Read this image directly to extract content.]</w:t>
      </w:r>
    </w:p>
    <w:p>
      <w:r>
        <w:t>[DOCX page 12 image attached. Read this image directly to extract content.]</w:t>
      </w:r>
    </w:p>
    <w:p>
      <w:r>
        <w:t>[DOCX page 13 image attached. Read this image directly to extract content.]</w:t>
      </w:r>
    </w:p>
    <w:p>
      <w:r>
        <w:t>[DOCX page 14 image attached. Read this image directly to extract content.]</w:t>
      </w:r>
    </w:p>
    <w:p>
      <w:r>
        <w:t>[DOCX page 15 image attached. Read this image directly to extract content.]</w:t>
      </w:r>
    </w:p>
    <w:p>
      <w:r>
        <w:t>[DOCX page 16 image attached. Read this image directly to extract content.]</w:t>
      </w:r>
    </w:p>
    <w:p>
      <w:r>
        <w:t>[DOCX page 17 image attached. Read this image directly to extract content.]</w:t>
      </w:r>
    </w:p>
    <w:p>
      <w:r>
        <w:t>[DOCX page 18 image attached. Read this image directly to extract content.]</w:t>
      </w:r>
    </w:p>
    <w:p>
      <w:r>
        <w:t>[DOCX page 19 image attached. Read this image directly to extract content.]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