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第23章　財務管理與績效管理</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95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26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第6題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關於以績效為基礎的預算（performance-based budget），下列敘述何者錯誤？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於 1947 年胡佛委員會報告中提出，期望將預算科目改變為以政府活動費用為主體的預算項目</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設計計畫預算制度開始於 1949 年蘭德公司（RAND）所進行的一系列國防武器系統分析的研究報告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1973 年尼克森總統時期的目標管理是期望能夠將政府機關的目標與預算配置結合</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零基預算的要旨之一在於要求各機關於不同的預算水準下獲取最佳化的政策成果</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107年-原三　第22題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有關我國的預算制度，下列敘述何者錯誤？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預算是作為實現財務收支平衡的工具</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預算是行政機關預計其經費支出與企業生產收入所編擬的計畫</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預算具有政治控制的機能</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預算是以金錢數字表示政府的施政計畫</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107年-地三　第13題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政府財政收入中，何者不是學理上所稱的實質收入？</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公債收入</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租稅收入</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罰款收入</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補助收入</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107年-地三　第14題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公務機關單位預算中設定之第一預備金，其數額不得超過經常支出總額多少？</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百分之十</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百分之五</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百分之三</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百分之一</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107年-地三　第16題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下列何者為行政機關實施目標管理（Management by Objectives）成敗的關鍵所在？</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目標設定完全運用量化指標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目標設定採由上而下模式</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獲得高層主管的支持與投入</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採用單一特定的方法進行管理</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107年-地三　第23題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有關中央地方財政收支劃分，下列何者錯誤？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地方政府對他級或同級政府之稅課，不得重徵或附加</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地方政府得經各該級民意機關之立法，舉辦臨時性質之稅課</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地方政府為辦理自治事項，籌措所需財源，可依法開徵附加稅課</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地方政府得依法對入境貨物課徵入境稅</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107年-身三　第8題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我國中央政府總預算案之歲入與歲出，不包含下列何種基金？</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營業基金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作業基金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債務基金</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信託基金</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107年-身三　第11題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中央政府年度總決算，應由審計部於行政院提出後幾個月內完成其審核？</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六個月</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四個月</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三個月</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二個月</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107年-身三　第13題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「以金錢數字來表達政府的施政計畫」是下列何者的重要意涵？</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預算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法律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審計</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基金</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107年-高考　第16題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關於政府預算之敘述，下列何者錯誤？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分配及決定具政治性</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行政官員具有執行與否之裁量權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是立法權監督行政權之工具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反映政府的政策選擇及施政優先順序</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107年-高考　第24題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下列何者是針對政府財政收支活動的監督行為，也是整個財務行政最後的一個階段？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會計制度</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審計制度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預算制度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審議制度</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108年-原三　第6題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有關政府預算之相關敘述，下列何者最錯誤？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預算執行的內部控制主要係透過審計查核來達成</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政府歲出表達下年度的施政優先順序與目標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供給面經濟學主張透過減稅和提供工作誘因來改善經濟衰退</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中央對地方資金移轉可以附條件的政策指導來影響地方的施政作為</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108年-原三　第13題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某富豪捐款給政府以扶助貧窮弱勢家庭的孩子，政府為此成立一個基金。政府在該基金的角色是管理者與處分者，除了該基金的經營，也負責審核獎助對象、發放獎學金，但政府並沒有基金的使用權。該基金最有可能是何種類型的基金？</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信託基金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作業基金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特別收入基金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普通基金</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108年-原三　第15題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負責彙編中央政府總決算的政府機關為：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審計部</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行政院主計總處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立法院預算中心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財政部</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108年-地三　第13題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有關中央政府總預算和追加預算程序之比較，下列何者正確？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總預算之編造，須經行政院會議決定；追加預算則否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總預算之審議，須經立法院三讀通過；追加預算則得省略二讀，以爭取時效</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在經費流用的規定上，追加預算比總預算有彈性</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追加預算之編造、審議及執行，均準用總預算之規定</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第14題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有關預算法第 29 條行政院應編製國富統計、綠色國民所得帳及關於稅式支出、移轉性支付之報告。下列何者錯誤？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綠色國民所得帳國際通稱「環境與經濟帳」</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稅式支出是一種直接的政府支出</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移轉性支付係屬政府支出之一種經濟性分類項目</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移轉性支付分為對家庭、對人民團體、對企業及對國外之移轉支出</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108年-地三　第16題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有關建立公部門績效管理制度的敘述，下列何者錯誤？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應同時考慮策略體系，避免造成手段與目的之目標錯置</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策略規劃應考慮公共價值、正當合法性與運作能力</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公部門績效管理制度不涉及機關外部的課責</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公部門績效衡量的難題在於目標多元性與模糊性</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108年-警察　第14題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在我國預算編製的階段中，在估測歲入後，行政院主計總處分配各主管機關可編製之概算幅度，此一階段稱為：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漸增預算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分配預算</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歲出額度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法定支出</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108年-警察　第15題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下列我國之預算文件，請依照一個預算周期的順序，由先而後排列之：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概算、法定預算、預算案、分配預算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分配預算、概算、預算案、法定預算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概算、分配預算、預算案、法定預算</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概算、預算案、法定預算、分配預算</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108年-警察　第17題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下列那一種預算制度特別重視中長期之目標設定、計畫研擬及預算配置等三位一體的連結？</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複式預算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績效預算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零基預算</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設計計畫預算</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108年-身三　第13題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下列何者為資本門支出？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臨時人員之薪資支出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債務付息之支出</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營建工程之支出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育兒津貼</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108年-身三　第14題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國立大學校務基金之收入來源包括受益者付費原則下的自籌財源及投資所得。校務基金在基金的分類上屬下列何者？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普通基金</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作業基金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營業基金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特別收入基金</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108年-身三　第15題</w:t>
      </w:r>
    </w:p>
    <w:p>
      <w:pPr>
        <w:spacing w:after="120" w:line="340"/>
        <w:jc w:val="both"/>
      </w:pPr>
      <w:r>
        <w:rPr>
          <w:rFonts w:ascii="微軟正黑體" w:cs="微軟正黑體" w:eastAsia="微軟正黑體" w:hAnsi="微軟正黑體"/>
          <w:b/>
          <w:bCs/>
          <w:color w:val="1F4E79"/>
          <w:sz w:val="22"/>
          <w:szCs w:val="22"/>
        </w:rPr>
        <w:t xml:space="preserve">第23題　</w:t>
      </w:r>
      <w:r>
        <w:rPr>
          <w:rFonts w:ascii="微軟正黑體" w:cs="微軟正黑體" w:eastAsia="微軟正黑體" w:hAnsi="微軟正黑體"/>
          <w:sz w:val="22"/>
          <w:szCs w:val="22"/>
        </w:rPr>
        <w:t xml:space="preserve">我國國營事業之預算屬於下列那一種預算？</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營業基金預算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作業基金預算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特別收入基金預算</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資本計畫基金預算</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108年-身三　第16題</w:t>
      </w:r>
    </w:p>
    <w:p>
      <w:pPr>
        <w:spacing w:after="120" w:line="340"/>
        <w:jc w:val="both"/>
      </w:pPr>
      <w:r>
        <w:rPr>
          <w:rFonts w:ascii="微軟正黑體" w:cs="微軟正黑體" w:eastAsia="微軟正黑體" w:hAnsi="微軟正黑體"/>
          <w:b/>
          <w:bCs/>
          <w:color w:val="1F4E79"/>
          <w:sz w:val="22"/>
          <w:szCs w:val="22"/>
        </w:rPr>
        <w:t xml:space="preserve">第24題　</w:t>
      </w:r>
      <w:r>
        <w:rPr>
          <w:rFonts w:ascii="微軟正黑體" w:cs="微軟正黑體" w:eastAsia="微軟正黑體" w:hAnsi="微軟正黑體"/>
          <w:sz w:val="22"/>
          <w:szCs w:val="22"/>
        </w:rPr>
        <w:t xml:space="preserve">下列何種管理工具是用網狀圖來呈現工作與時間的關係？</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決策矩陣</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要徑法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決策樹</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心智圖</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108年-高考　第14題</w:t>
      </w:r>
    </w:p>
    <w:p>
      <w:pPr>
        <w:spacing w:after="120" w:line="340"/>
        <w:jc w:val="both"/>
      </w:pPr>
      <w:r>
        <w:rPr>
          <w:rFonts w:ascii="微軟正黑體" w:cs="微軟正黑體" w:eastAsia="微軟正黑體" w:hAnsi="微軟正黑體"/>
          <w:b/>
          <w:bCs/>
          <w:color w:val="1F4E79"/>
          <w:sz w:val="22"/>
          <w:szCs w:val="22"/>
        </w:rPr>
        <w:t xml:space="preserve">第25題　</w:t>
      </w:r>
      <w:r>
        <w:rPr>
          <w:rFonts w:ascii="微軟正黑體" w:cs="微軟正黑體" w:eastAsia="微軟正黑體" w:hAnsi="微軟正黑體"/>
          <w:sz w:val="22"/>
          <w:szCs w:val="22"/>
        </w:rPr>
        <w:t xml:space="preserve">下列何者屬於「稅式支出（tax expenditure）」？</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政府補助低收入戶之全民健康保險費</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公債付息支出</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賦稅署之業務預算</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所得稅之儲蓄投資特別扣除額</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108年-高考　第15題</w:t>
      </w:r>
    </w:p>
    <w:p>
      <w:pPr>
        <w:spacing w:after="120" w:line="340"/>
        <w:jc w:val="both"/>
      </w:pPr>
      <w:r>
        <w:rPr>
          <w:rFonts w:ascii="微軟正黑體" w:cs="微軟正黑體" w:eastAsia="微軟正黑體" w:hAnsi="微軟正黑體"/>
          <w:b/>
          <w:bCs/>
          <w:color w:val="1F4E79"/>
          <w:sz w:val="22"/>
          <w:szCs w:val="22"/>
        </w:rPr>
        <w:t xml:space="preserve">第26題　</w:t>
      </w:r>
      <w:r>
        <w:rPr>
          <w:rFonts w:ascii="微軟正黑體" w:cs="微軟正黑體" w:eastAsia="微軟正黑體" w:hAnsi="微軟正黑體"/>
          <w:sz w:val="22"/>
          <w:szCs w:val="22"/>
        </w:rPr>
        <w:t xml:space="preserve">國際最高審計組織（The International Organization of Supreme Audit Institutions, INTOSAI）認為政府審計應包含例行性審計及績效審計，下列何者最符合 INTOSAI 所指之績效審計的核心原則？</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財務性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合法性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效率性</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效能性</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108年-高考　第16題</w:t>
      </w:r>
    </w:p>
    <w:p>
      <w:pPr>
        <w:spacing w:after="120" w:line="340"/>
        <w:jc w:val="both"/>
      </w:pPr>
      <w:r>
        <w:rPr>
          <w:rFonts w:ascii="微軟正黑體" w:cs="微軟正黑體" w:eastAsia="微軟正黑體" w:hAnsi="微軟正黑體"/>
          <w:b/>
          <w:bCs/>
          <w:color w:val="1F4E79"/>
          <w:sz w:val="22"/>
          <w:szCs w:val="22"/>
        </w:rPr>
        <w:t xml:space="preserve">第27題　</w:t>
      </w:r>
      <w:r>
        <w:rPr>
          <w:rFonts w:ascii="微軟正黑體" w:cs="微軟正黑體" w:eastAsia="微軟正黑體" w:hAnsi="微軟正黑體"/>
          <w:sz w:val="22"/>
          <w:szCs w:val="22"/>
        </w:rPr>
        <w:t xml:space="preserve">根據預算法，有關我國預備金之敘述，下列何者正確？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公務機關的單位預算中，應編列第一預備金與第二預備金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第一與第二預備金編列上限不得超過經常支出 1%</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第一預備金可流用至該行政機關之其他計畫與科目，但經立法審議刪減或刪除的項目不適用</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地方政府有增加支出的需要時，可動支中央政府之第二預備金</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108年-高考　第17題</w:t>
      </w:r>
    </w:p>
    <w:p>
      <w:pPr>
        <w:spacing w:after="120" w:line="340"/>
        <w:jc w:val="both"/>
      </w:pPr>
      <w:r>
        <w:rPr>
          <w:rFonts w:ascii="微軟正黑體" w:cs="微軟正黑體" w:eastAsia="微軟正黑體" w:hAnsi="微軟正黑體"/>
          <w:b/>
          <w:bCs/>
          <w:color w:val="1F4E79"/>
          <w:sz w:val="22"/>
          <w:szCs w:val="22"/>
        </w:rPr>
        <w:t xml:space="preserve">第28題　</w:t>
      </w:r>
      <w:r>
        <w:rPr>
          <w:rFonts w:ascii="微軟正黑體" w:cs="微軟正黑體" w:eastAsia="微軟正黑體" w:hAnsi="微軟正黑體"/>
          <w:sz w:val="22"/>
          <w:szCs w:val="22"/>
        </w:rPr>
        <w:t xml:space="preserve">下列何者不是常用的排程模式（scheduling models）？</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甘特圖（Gantt chart）</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決策樹（decision tree）</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要徑法（critical path method）</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計畫評核術（program evaluation and review technique）</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108年-高考　第22題</w:t>
      </w:r>
    </w:p>
    <w:p>
      <w:pPr>
        <w:spacing w:after="120" w:line="340"/>
        <w:jc w:val="both"/>
      </w:pPr>
      <w:r>
        <w:rPr>
          <w:rFonts w:ascii="微軟正黑體" w:cs="微軟正黑體" w:eastAsia="微軟正黑體" w:hAnsi="微軟正黑體"/>
          <w:b/>
          <w:bCs/>
          <w:color w:val="1F4E79"/>
          <w:sz w:val="22"/>
          <w:szCs w:val="22"/>
        </w:rPr>
        <w:t xml:space="preserve">第29題　</w:t>
      </w:r>
      <w:r>
        <w:rPr>
          <w:rFonts w:ascii="微軟正黑體" w:cs="微軟正黑體" w:eastAsia="微軟正黑體" w:hAnsi="微軟正黑體"/>
          <w:sz w:val="22"/>
          <w:szCs w:val="22"/>
        </w:rPr>
        <w:t xml:space="preserve">直轄市政府、縣（市）政府為辦理自治事項，充裕財源，除關稅、貨物稅及加值型營業稅外，得就現有國稅中附加徵收。但其徵收率不得超過原規定稅率的多少？</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10%</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20%</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30%</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40%</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109年-原三　第11題</w:t>
      </w:r>
    </w:p>
    <w:p>
      <w:pPr>
        <w:spacing w:after="120" w:line="340"/>
        <w:jc w:val="both"/>
      </w:pPr>
      <w:r>
        <w:rPr>
          <w:rFonts w:ascii="微軟正黑體" w:cs="微軟正黑體" w:eastAsia="微軟正黑體" w:hAnsi="微軟正黑體"/>
          <w:b/>
          <w:bCs/>
          <w:color w:val="1F4E79"/>
          <w:sz w:val="22"/>
          <w:szCs w:val="22"/>
        </w:rPr>
        <w:t xml:space="preserve">第30題　</w:t>
      </w:r>
      <w:r>
        <w:rPr>
          <w:rFonts w:ascii="微軟正黑體" w:cs="微軟正黑體" w:eastAsia="微軟正黑體" w:hAnsi="微軟正黑體"/>
          <w:sz w:val="22"/>
          <w:szCs w:val="22"/>
        </w:rPr>
        <w:t xml:space="preserve">下列何者不屬於政府之經常門收入？</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使用規費收入</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附屬事業盈餘及收入</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罰款收入</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釋股收入</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109年-原三　第12題</w:t>
      </w:r>
    </w:p>
    <w:p>
      <w:pPr>
        <w:spacing w:after="120" w:line="340"/>
        <w:jc w:val="both"/>
      </w:pPr>
      <w:r>
        <w:rPr>
          <w:rFonts w:ascii="微軟正黑體" w:cs="微軟正黑體" w:eastAsia="微軟正黑體" w:hAnsi="微軟正黑體"/>
          <w:b/>
          <w:bCs/>
          <w:color w:val="1F4E79"/>
          <w:sz w:val="22"/>
          <w:szCs w:val="22"/>
        </w:rPr>
        <w:t xml:space="preserve">第31題　</w:t>
      </w:r>
      <w:r>
        <w:rPr>
          <w:rFonts w:ascii="微軟正黑體" w:cs="微軟正黑體" w:eastAsia="微軟正黑體" w:hAnsi="微軟正黑體"/>
          <w:sz w:val="22"/>
          <w:szCs w:val="22"/>
        </w:rPr>
        <w:t xml:space="preserve">我國中央政府總預算若未能在會計年度開始前由立法院審議完成，最可能會產生下列何種結果？</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未經行政院或立法院同意之新興計畫難以啟動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收入部分無法開徵</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公務員無法領到薪水</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政府功能無法運作</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109年　109年-原三　第13題</w:t>
      </w:r>
    </w:p>
    <w:p>
      <w:pPr>
        <w:spacing w:after="120" w:line="340"/>
        <w:jc w:val="both"/>
      </w:pPr>
      <w:r>
        <w:rPr>
          <w:rFonts w:ascii="微軟正黑體" w:cs="微軟正黑體" w:eastAsia="微軟正黑體" w:hAnsi="微軟正黑體"/>
          <w:b/>
          <w:bCs/>
          <w:color w:val="1F4E79"/>
          <w:sz w:val="22"/>
          <w:szCs w:val="22"/>
        </w:rPr>
        <w:t xml:space="preserve">第32題　</w:t>
      </w:r>
      <w:r>
        <w:rPr>
          <w:rFonts w:ascii="微軟正黑體" w:cs="微軟正黑體" w:eastAsia="微軟正黑體" w:hAnsi="微軟正黑體"/>
          <w:sz w:val="22"/>
          <w:szCs w:val="22"/>
        </w:rPr>
        <w:t xml:space="preserve">下列何者不是我國政府執行總預算時的彈性作法？</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流用</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留用</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預備金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追加預算</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109年-原三　第18題</w:t>
      </w:r>
    </w:p>
    <w:p>
      <w:pPr>
        <w:spacing w:after="120" w:line="340"/>
        <w:jc w:val="both"/>
      </w:pPr>
      <w:r>
        <w:rPr>
          <w:rFonts w:ascii="微軟正黑體" w:cs="微軟正黑體" w:eastAsia="微軟正黑體" w:hAnsi="微軟正黑體"/>
          <w:b/>
          <w:bCs/>
          <w:color w:val="1F4E79"/>
          <w:sz w:val="22"/>
          <w:szCs w:val="22"/>
        </w:rPr>
        <w:t xml:space="preserve">第33題　</w:t>
      </w:r>
      <w:r>
        <w:rPr>
          <w:rFonts w:ascii="微軟正黑體" w:cs="微軟正黑體" w:eastAsia="微軟正黑體" w:hAnsi="微軟正黑體"/>
          <w:sz w:val="22"/>
          <w:szCs w:val="22"/>
        </w:rPr>
        <w:t xml:space="preserve">地方稅法通則授權地方政府得研議開徵特別稅課、臨時稅課、附加稅課與調整地方稅率，但亦有多項不得開徵和法定限制，下列敘述何者錯誤？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經營範圍跨越轄區之公用事業，不得列為開徵對象</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特別稅課不得以已課徵貨物稅或菸酒稅之貨物為課徵對象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除印花稅、土地增值稅外，地方政府有附加稅課之開徵權</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特別稅課及附加稅課之課徵年限至多為 2 年</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109年-原三　第24題</w:t>
      </w:r>
    </w:p>
    <w:p>
      <w:pPr>
        <w:spacing w:after="120" w:line="340"/>
        <w:jc w:val="both"/>
      </w:pPr>
      <w:r>
        <w:rPr>
          <w:rFonts w:ascii="微軟正黑體" w:cs="微軟正黑體" w:eastAsia="微軟正黑體" w:hAnsi="微軟正黑體"/>
          <w:b/>
          <w:bCs/>
          <w:color w:val="1F4E79"/>
          <w:sz w:val="22"/>
          <w:szCs w:val="22"/>
        </w:rPr>
        <w:t xml:space="preserve">第34題　</w:t>
      </w:r>
      <w:r>
        <w:rPr>
          <w:rFonts w:ascii="微軟正黑體" w:cs="微軟正黑體" w:eastAsia="微軟正黑體" w:hAnsi="微軟正黑體"/>
          <w:sz w:val="22"/>
          <w:szCs w:val="22"/>
        </w:rPr>
        <w:t xml:space="preserve">下列何者不屬於總預算應編入的部分？</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歲入與歲出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債務之舉借與償還</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以前年度歲計賸餘之移用</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作業賸餘或公積撥交</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109年-地三　第13題</w:t>
      </w:r>
    </w:p>
    <w:p>
      <w:pPr>
        <w:spacing w:after="120" w:line="340"/>
        <w:jc w:val="both"/>
      </w:pPr>
      <w:r>
        <w:rPr>
          <w:rFonts w:ascii="微軟正黑體" w:cs="微軟正黑體" w:eastAsia="微軟正黑體" w:hAnsi="微軟正黑體"/>
          <w:b/>
          <w:bCs/>
          <w:color w:val="1F4E79"/>
          <w:sz w:val="22"/>
          <w:szCs w:val="22"/>
        </w:rPr>
        <w:t xml:space="preserve">第35題　</w:t>
      </w:r>
      <w:r>
        <w:rPr>
          <w:rFonts w:ascii="微軟正黑體" w:cs="微軟正黑體" w:eastAsia="微軟正黑體" w:hAnsi="微軟正黑體"/>
          <w:sz w:val="22"/>
          <w:szCs w:val="22"/>
        </w:rPr>
        <w:t xml:space="preserve">有關我國各級政府預算審議之敘述，下列何者錯誤？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各級議會對預算案不得為增加支出之決議</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立法院審議總預算案時，應邀請總統出席說明國家施政方向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議會就預算案所為之附帶決議，應由各該機關單位參照法令辦理之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總預算案經議決後應予公布，但其中有應守秘密之部分，不予公布</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109年-地三　第14題</w:t>
      </w:r>
    </w:p>
    <w:p>
      <w:pPr>
        <w:spacing w:after="120" w:line="340"/>
        <w:jc w:val="both"/>
      </w:pPr>
      <w:r>
        <w:rPr>
          <w:rFonts w:ascii="微軟正黑體" w:cs="微軟正黑體" w:eastAsia="微軟正黑體" w:hAnsi="微軟正黑體"/>
          <w:b/>
          <w:bCs/>
          <w:color w:val="1F4E79"/>
          <w:sz w:val="22"/>
          <w:szCs w:val="22"/>
        </w:rPr>
        <w:t xml:space="preserve">第36題　</w:t>
      </w:r>
      <w:r>
        <w:rPr>
          <w:rFonts w:ascii="微軟正黑體" w:cs="微軟正黑體" w:eastAsia="微軟正黑體" w:hAnsi="微軟正黑體"/>
          <w:sz w:val="22"/>
          <w:szCs w:val="22"/>
        </w:rPr>
        <w:t xml:space="preserve">零基預算之推行有許多障礙，下列何者為其主要障礙之一？</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容易造成歲出持續膨脹</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要求年度預算平衡，不切實際</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須重新估算計畫之成本效益，耗費時力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缺乏民主參與的精神</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109年-地三　第15題</w:t>
      </w:r>
    </w:p>
    <w:p>
      <w:pPr>
        <w:spacing w:after="120" w:line="340"/>
        <w:jc w:val="both"/>
      </w:pPr>
      <w:r>
        <w:rPr>
          <w:rFonts w:ascii="微軟正黑體" w:cs="微軟正黑體" w:eastAsia="微軟正黑體" w:hAnsi="微軟正黑體"/>
          <w:b/>
          <w:bCs/>
          <w:color w:val="1F4E79"/>
          <w:sz w:val="22"/>
          <w:szCs w:val="22"/>
        </w:rPr>
        <w:t xml:space="preserve">第37題　</w:t>
      </w:r>
      <w:r>
        <w:rPr>
          <w:rFonts w:ascii="微軟正黑體" w:cs="微軟正黑體" w:eastAsia="微軟正黑體" w:hAnsi="微軟正黑體"/>
          <w:sz w:val="22"/>
          <w:szCs w:val="22"/>
        </w:rPr>
        <w:t xml:space="preserve">若政府機關所欲採購之勞務涉及某項未開放之專利，且無其他替代標的，其金額為120萬元，則根據我國政府採購法，得採下列何種類型之招標方式？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公開招標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選擇性招標</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限制性招標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直接採購，無須公告招標</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109年-地三　第16題</w:t>
      </w:r>
    </w:p>
    <w:p>
      <w:pPr>
        <w:spacing w:after="120" w:line="340"/>
        <w:jc w:val="both"/>
      </w:pPr>
      <w:r>
        <w:rPr>
          <w:rFonts w:ascii="微軟正黑體" w:cs="微軟正黑體" w:eastAsia="微軟正黑體" w:hAnsi="微軟正黑體"/>
          <w:b/>
          <w:bCs/>
          <w:color w:val="1F4E79"/>
          <w:sz w:val="22"/>
          <w:szCs w:val="22"/>
        </w:rPr>
        <w:t xml:space="preserve">第38題　</w:t>
      </w:r>
      <w:r>
        <w:rPr>
          <w:rFonts w:ascii="微軟正黑體" w:cs="微軟正黑體" w:eastAsia="微軟正黑體" w:hAnsi="微軟正黑體"/>
          <w:sz w:val="22"/>
          <w:szCs w:val="22"/>
        </w:rPr>
        <w:t xml:space="preserve">下列那一項績效管理工具特別強調以客為尊、持續改善、團隊精神的精神與特色？</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標竿學習</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全面品質管理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目標管理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行政流程再造</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109年-身三　第13題</w:t>
      </w:r>
    </w:p>
    <w:p>
      <w:pPr>
        <w:spacing w:after="120" w:line="340"/>
        <w:jc w:val="both"/>
      </w:pPr>
      <w:r>
        <w:rPr>
          <w:rFonts w:ascii="微軟正黑體" w:cs="微軟正黑體" w:eastAsia="微軟正黑體" w:hAnsi="微軟正黑體"/>
          <w:b/>
          <w:bCs/>
          <w:color w:val="1F4E79"/>
          <w:sz w:val="22"/>
          <w:szCs w:val="22"/>
        </w:rPr>
        <w:t xml:space="preserve">第39題　</w:t>
      </w:r>
      <w:r>
        <w:rPr>
          <w:rFonts w:ascii="微軟正黑體" w:cs="微軟正黑體" w:eastAsia="微軟正黑體" w:hAnsi="微軟正黑體"/>
          <w:sz w:val="22"/>
          <w:szCs w:val="22"/>
        </w:rPr>
        <w:t xml:space="preserve">關於績效目標設定之參採原則：「SMART 原則」，下列敘述何者錯誤？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S（Specific）代表目標要具體明確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M（Measurable）代表設定的目標可以測量</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R（Reliability）代表評量工具要具可靠性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T（Timely）代表績效資訊的即時性</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109年-身三　第14題</w:t>
      </w:r>
    </w:p>
    <w:p>
      <w:pPr>
        <w:spacing w:after="120" w:line="340"/>
        <w:jc w:val="both"/>
      </w:pPr>
      <w:r>
        <w:rPr>
          <w:rFonts w:ascii="微軟正黑體" w:cs="微軟正黑體" w:eastAsia="微軟正黑體" w:hAnsi="微軟正黑體"/>
          <w:b/>
          <w:bCs/>
          <w:color w:val="1F4E79"/>
          <w:sz w:val="22"/>
          <w:szCs w:val="22"/>
        </w:rPr>
        <w:t xml:space="preserve">第40題　</w:t>
      </w:r>
      <w:r>
        <w:rPr>
          <w:rFonts w:ascii="微軟正黑體" w:cs="微軟正黑體" w:eastAsia="微軟正黑體" w:hAnsi="微軟正黑體"/>
          <w:sz w:val="22"/>
          <w:szCs w:val="22"/>
        </w:rPr>
        <w:t xml:space="preserve">依據預算法規定，行政院須於每年 8 月底以前提交立法院審議的為下列何者？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總概算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分配預算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總決算</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總預算案</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109年-身三　第16題</w:t>
      </w:r>
    </w:p>
    <w:p>
      <w:pPr>
        <w:spacing w:after="120" w:line="340"/>
        <w:jc w:val="both"/>
      </w:pPr>
      <w:r>
        <w:rPr>
          <w:rFonts w:ascii="微軟正黑體" w:cs="微軟正黑體" w:eastAsia="微軟正黑體" w:hAnsi="微軟正黑體"/>
          <w:b/>
          <w:bCs/>
          <w:color w:val="1F4E79"/>
          <w:sz w:val="22"/>
          <w:szCs w:val="22"/>
        </w:rPr>
        <w:t xml:space="preserve">第41題　</w:t>
      </w:r>
      <w:r>
        <w:rPr>
          <w:rFonts w:ascii="微軟正黑體" w:cs="微軟正黑體" w:eastAsia="微軟正黑體" w:hAnsi="微軟正黑體"/>
          <w:sz w:val="22"/>
          <w:szCs w:val="22"/>
        </w:rPr>
        <w:t xml:space="preserve">預算決策的過程可分為「由上而下」、「由下而上」及兩者綜合。下列那個預算制度較強調「由上而下」的決策過程？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績效預算制度（performance budgeting system）</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設計計畫預算制度（planning-programing-budgeting system）</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零基預算制度（zero-based budgeting system）</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參與式預算制度（participatory budgeting system）</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109年-高考　第14題</w:t>
      </w:r>
    </w:p>
    <w:p>
      <w:pPr>
        <w:spacing w:after="120" w:line="340"/>
        <w:jc w:val="both"/>
      </w:pPr>
      <w:r>
        <w:rPr>
          <w:rFonts w:ascii="微軟正黑體" w:cs="微軟正黑體" w:eastAsia="微軟正黑體" w:hAnsi="微軟正黑體"/>
          <w:b/>
          <w:bCs/>
          <w:color w:val="1F4E79"/>
          <w:sz w:val="22"/>
          <w:szCs w:val="22"/>
        </w:rPr>
        <w:t xml:space="preserve">第42題　</w:t>
      </w:r>
      <w:r>
        <w:rPr>
          <w:rFonts w:ascii="微軟正黑體" w:cs="微軟正黑體" w:eastAsia="微軟正黑體" w:hAnsi="微軟正黑體"/>
          <w:sz w:val="22"/>
          <w:szCs w:val="22"/>
        </w:rPr>
        <w:t xml:space="preserve">有關我國債務基金，下列敘述何者正確？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在基金的分類上，屬於業權型基金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基金的主管單位為經濟部</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為籌措債務還本及付息而成立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基金內的收入與支出皆不需納入總預算之中</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109年-高考　第15題</w:t>
      </w:r>
    </w:p>
    <w:p>
      <w:pPr>
        <w:spacing w:after="120" w:line="340"/>
        <w:jc w:val="both"/>
      </w:pPr>
      <w:r>
        <w:rPr>
          <w:rFonts w:ascii="微軟正黑體" w:cs="微軟正黑體" w:eastAsia="微軟正黑體" w:hAnsi="微軟正黑體"/>
          <w:b/>
          <w:bCs/>
          <w:color w:val="1F4E79"/>
          <w:sz w:val="22"/>
          <w:szCs w:val="22"/>
        </w:rPr>
        <w:t xml:space="preserve">第43題　</w:t>
      </w:r>
      <w:r>
        <w:rPr>
          <w:rFonts w:ascii="微軟正黑體" w:cs="微軟正黑體" w:eastAsia="微軟正黑體" w:hAnsi="微軟正黑體"/>
          <w:sz w:val="22"/>
          <w:szCs w:val="22"/>
        </w:rPr>
        <w:t xml:space="preserve">下列那一項作法可以強化政府審計機關的獨立性？</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強化事前審計，而非事後審計</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縮短審計機關首長之任期</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審計機關首長與總統任期一致</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審計機關可自主決定審計報告內容及公布時機</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110年　110年-原三　第12題</w:t>
      </w:r>
    </w:p>
    <w:p>
      <w:pPr>
        <w:spacing w:after="120" w:line="340"/>
        <w:jc w:val="both"/>
      </w:pPr>
      <w:r>
        <w:rPr>
          <w:rFonts w:ascii="微軟正黑體" w:cs="微軟正黑體" w:eastAsia="微軟正黑體" w:hAnsi="微軟正黑體"/>
          <w:b/>
          <w:bCs/>
          <w:color w:val="1F4E79"/>
          <w:sz w:val="22"/>
          <w:szCs w:val="22"/>
        </w:rPr>
        <w:t xml:space="preserve">第44題　</w:t>
      </w:r>
      <w:r>
        <w:rPr>
          <w:rFonts w:ascii="微軟正黑體" w:cs="微軟正黑體" w:eastAsia="微軟正黑體" w:hAnsi="微軟正黑體"/>
          <w:sz w:val="22"/>
          <w:szCs w:val="22"/>
        </w:rPr>
        <w:t xml:space="preserve">政府之決算，多久應辦理一次？</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1年1次</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半年 1 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每季 1 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每月 1 次</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正確答案為A。依預算法規定，政府決算係就一會計年度之歲入歲出執行結果所為之總結算，原則上每年辦理一次，即「1年1次」，與預算、概算之年度週期一致。　選項辨析：B：半年1次非我國決算辦理週期；C：每季1次非決算週期，季報屬執行進度報告性質；D：每月1次亦非決算週期，僅屬預算執行之月報性質。</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第14題</w:t>
      </w:r>
    </w:p>
    <w:p>
      <w:pPr>
        <w:spacing w:after="120" w:line="340"/>
        <w:jc w:val="both"/>
      </w:pPr>
      <w:r>
        <w:rPr>
          <w:rFonts w:ascii="微軟正黑體" w:cs="微軟正黑體" w:eastAsia="微軟正黑體" w:hAnsi="微軟正黑體"/>
          <w:b/>
          <w:bCs/>
          <w:color w:val="1F4E79"/>
          <w:sz w:val="22"/>
          <w:szCs w:val="22"/>
        </w:rPr>
        <w:t xml:space="preserve">第45題　</w:t>
      </w:r>
      <w:r>
        <w:rPr>
          <w:rFonts w:ascii="微軟正黑體" w:cs="微軟正黑體" w:eastAsia="微軟正黑體" w:hAnsi="微軟正黑體"/>
          <w:sz w:val="22"/>
          <w:szCs w:val="22"/>
        </w:rPr>
        <w:t xml:space="preserve">公務人員退休撫卹基金屬於下列何種基金？</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普通基金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營業型特種基金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非營業型特種基金</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信託基金</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公務人員退休撫卹基金由政府與公務人員共同撥繳費用，交由專責機關（基金管理局）以信託方式管理運用，其性質屬為特定對象（退撫基金受益人）設置、以信託關係管理之信託基金，而非供機關本身經常性作業使用之基金。　選項辨析：A：普通基金係支應一般政務收支、無特定用途限制之基金，與退撫基金性質不符；B：營業型特種基金係供國營事業等具營業性質之機構使用，退撫基金不具營業性質；C：非營業型特種基金為較寬泛之上位分類，本題應選更精確對應之信託基金類型。　考點提醒：「退撫基金」屬具專款專用、信託關係性質之基金，為國考高頻考點，務必記住其定性為信託基金。</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第15題</w:t>
      </w:r>
    </w:p>
    <w:p>
      <w:pPr>
        <w:spacing w:after="120" w:line="340"/>
        <w:jc w:val="both"/>
      </w:pPr>
      <w:r>
        <w:rPr>
          <w:rFonts w:ascii="微軟正黑體" w:cs="微軟正黑體" w:eastAsia="微軟正黑體" w:hAnsi="微軟正黑體"/>
          <w:b/>
          <w:bCs/>
          <w:color w:val="1F4E79"/>
          <w:sz w:val="22"/>
          <w:szCs w:val="22"/>
        </w:rPr>
        <w:t xml:space="preserve">第46題　</w:t>
      </w:r>
      <w:r>
        <w:rPr>
          <w:rFonts w:ascii="微軟正黑體" w:cs="微軟正黑體" w:eastAsia="微軟正黑體" w:hAnsi="微軟正黑體"/>
          <w:sz w:val="22"/>
          <w:szCs w:val="22"/>
        </w:rPr>
        <w:t xml:space="preserve">下列何者不屬於我國國稅項目？</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營業稅</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土地增值稅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貨物稅</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關稅</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正確答案為B。我國稅制依課徵主體分為國稅與地方稅，土地增值稅依法為直轄市及縣（市）政府之地方稅收入，非國稅。　選項辨析：A：營業稅為國稅（加值型及非加值型營業稅法）；C：貨物稅為國稅（貨物稅條例）；D：關稅為國稅，由海關代徵。　考點提醒：常考「國稅vs地方稅」對照：地價稅、土地增值稅、房屋稅、契稅、使用牌照稅等多屬地方稅；營業稅、貨物稅、關稅、所得稅、遺產及贈與稅等多屬國稅。</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第16題</w:t>
      </w:r>
    </w:p>
    <w:p>
      <w:pPr>
        <w:spacing w:after="120" w:line="340"/>
        <w:jc w:val="both"/>
      </w:pPr>
      <w:r>
        <w:rPr>
          <w:rFonts w:ascii="微軟正黑體" w:cs="微軟正黑體" w:eastAsia="微軟正黑體" w:hAnsi="微軟正黑體"/>
          <w:b/>
          <w:bCs/>
          <w:color w:val="1F4E79"/>
          <w:sz w:val="22"/>
          <w:szCs w:val="22"/>
        </w:rPr>
        <w:t xml:space="preserve">第47題　</w:t>
      </w:r>
      <w:r>
        <w:rPr>
          <w:rFonts w:ascii="微軟正黑體" w:cs="微軟正黑體" w:eastAsia="微軟正黑體" w:hAnsi="微軟正黑體"/>
          <w:sz w:val="22"/>
          <w:szCs w:val="22"/>
        </w:rPr>
        <w:t xml:space="preserve">有關我國政府預算制度之敘述，下列何者正確？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年中提出之追加預算需送請立法機關審議</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預算經立法程序而公布者為各級政府之預算案</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各級政府之總預算包含各單位之單位預算與全部的附屬單位預算</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特別預算需於執行終了後併入年度總決算之中</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正確答案為A。依預算法規定，年度中經行政院提出之追加預算，性質上仍屬預算之一部分，須依預算程序送請立法機關審議通過，方能執行。　選項辨析：B：經立法程序而公布者應稱為「法定預算」，「預算案」係指尚未經立法程序審議通過前之預算草案，用詞有誤；C：各級政府總預算原則上僅包含各單位普通基金之單位預算及非營業特種基金之附屬單位預算，營業基金附屬單位預算並未編入總預算，非「全部」附屬單位預算；D：特別預算依法應於其執行期間屆滿後編造其決算，並未規定須併入年度總決算處理。</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第17題</w:t>
      </w:r>
    </w:p>
    <w:p>
      <w:pPr>
        <w:spacing w:after="120" w:line="340"/>
        <w:jc w:val="both"/>
      </w:pPr>
      <w:r>
        <w:rPr>
          <w:rFonts w:ascii="微軟正黑體" w:cs="微軟正黑體" w:eastAsia="微軟正黑體" w:hAnsi="微軟正黑體"/>
          <w:b/>
          <w:bCs/>
          <w:color w:val="1F4E79"/>
          <w:sz w:val="22"/>
          <w:szCs w:val="22"/>
        </w:rPr>
        <w:t xml:space="preserve">第48題　</w:t>
      </w:r>
      <w:r>
        <w:rPr>
          <w:rFonts w:ascii="微軟正黑體" w:cs="微軟正黑體" w:eastAsia="微軟正黑體" w:hAnsi="微軟正黑體"/>
          <w:sz w:val="22"/>
          <w:szCs w:val="22"/>
        </w:rPr>
        <w:t xml:space="preserve">關於財政幻覺（fiscal illusion）之敘述，下列何者錯誤？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民眾因低估公共財貨之成本，要求更高水準的公共支出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財政幻覺容易造成地方政府仰賴補助款，導致公共支出不當擴大</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財政幻覺必然導致稅收減少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複雜的稅制設計會提高財政幻覺的產生</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110年-地三　第18題</w:t>
      </w:r>
    </w:p>
    <w:p>
      <w:pPr>
        <w:spacing w:after="120" w:line="340"/>
        <w:jc w:val="both"/>
      </w:pPr>
      <w:r>
        <w:rPr>
          <w:rFonts w:ascii="微軟正黑體" w:cs="微軟正黑體" w:eastAsia="微軟正黑體" w:hAnsi="微軟正黑體"/>
          <w:b/>
          <w:bCs/>
          <w:color w:val="1F4E79"/>
          <w:sz w:val="22"/>
          <w:szCs w:val="22"/>
        </w:rPr>
        <w:t xml:space="preserve">第49題　</w:t>
      </w:r>
      <w:r>
        <w:rPr>
          <w:rFonts w:ascii="微軟正黑體" w:cs="微軟正黑體" w:eastAsia="微軟正黑體" w:hAnsi="微軟正黑體"/>
          <w:sz w:val="22"/>
          <w:szCs w:val="22"/>
        </w:rPr>
        <w:t xml:space="preserve">桃園市政府決定由民間協助辦理老人居家照顧的服務，預算規模為新臺幣 300 萬元，下列何者是獲取該項服務的最正確方法？</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市政府循政府採購法公開招標程序交給某醫療財團法人辦理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市長直接洽請某個聲譽極佳的非營利性基金會辦理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由市議會循表決程序交給某醫療財團法人辦理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社會局局長直接核給某個聲譽極佳的全國性財團法人辦理</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110年-警察　第13題</w:t>
      </w:r>
    </w:p>
    <w:p>
      <w:pPr>
        <w:spacing w:after="120" w:line="340"/>
        <w:jc w:val="both"/>
      </w:pPr>
      <w:r>
        <w:rPr>
          <w:rFonts w:ascii="微軟正黑體" w:cs="微軟正黑體" w:eastAsia="微軟正黑體" w:hAnsi="微軟正黑體"/>
          <w:b/>
          <w:bCs/>
          <w:color w:val="1F4E79"/>
          <w:sz w:val="22"/>
          <w:szCs w:val="22"/>
        </w:rPr>
        <w:t xml:space="preserve">第50題　</w:t>
      </w:r>
      <w:r>
        <w:rPr>
          <w:rFonts w:ascii="微軟正黑體" w:cs="微軟正黑體" w:eastAsia="微軟正黑體" w:hAnsi="微軟正黑體"/>
          <w:sz w:val="22"/>
          <w:szCs w:val="22"/>
        </w:rPr>
        <w:t xml:space="preserve">我國主計機關之核心業務不包括下列何者？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會計</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審計</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歲計</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統計</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我國主計機關（行政院主計總處）之核心業務傳統上稱為「三計」，即歲計、會計、統計；審計業務則由隸屬監察院之審計部獨立行使，與主計機關分屬不同權責體系，以彰顯審計獨立監督之精神。　選項辨析：A：會計為主計機關三計之一；C：歲計為主計機關三計之一；D：統計為主計機關三計之一。　考點提醒：「主計三計（歲計、會計、統計）」與「審計（監察院審計部）」分屬行政權與監察權、彼此獨立，是我國預算制度五權分立設計的重要考點。</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第14題</w:t>
      </w:r>
    </w:p>
    <w:p>
      <w:pPr>
        <w:spacing w:after="120" w:line="340"/>
        <w:jc w:val="both"/>
      </w:pPr>
      <w:r>
        <w:rPr>
          <w:rFonts w:ascii="微軟正黑體" w:cs="微軟正黑體" w:eastAsia="微軟正黑體" w:hAnsi="微軟正黑體"/>
          <w:b/>
          <w:bCs/>
          <w:color w:val="1F4E79"/>
          <w:sz w:val="22"/>
          <w:szCs w:val="22"/>
        </w:rPr>
        <w:t xml:space="preserve">第51題　</w:t>
      </w:r>
      <w:r>
        <w:rPr>
          <w:rFonts w:ascii="微軟正黑體" w:cs="微軟正黑體" w:eastAsia="微軟正黑體" w:hAnsi="微軟正黑體"/>
          <w:sz w:val="22"/>
          <w:szCs w:val="22"/>
        </w:rPr>
        <w:t xml:space="preserve">某個國家經濟狀況長期都很穩定，失業率非常低，民間消費與景氣亦是蓬勃，但政府的財政狀況總是入不敷出，此國政府最可能面臨下列何種類型的財政赤字？</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貿易赤字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資本赤字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循環性赤字</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結構性赤字</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結構性赤字係指即使經濟處於景氣繁榮、充分就業狀態下，政府財政收支仍因制度性因素（如支出結構、稅制設計）而持續存在之赤字，與景氣循環無關；本題所述經濟長期穩定、失業率低、消費暢旺但財政仍入不敷出，正符合結構性赤字之特徵。　選項辨析：A：貿易赤字係指對外貿易進出口收支之逆差，非政府財政收支概念；B：資本赤字非標準財政赤字分類用語；C：循環性赤字係指因景氣衰退、失業率上升等經濟循環因素所導致之暫時性赤字，會隨景氣好轉而消失，與題幹經濟穩定繁榮之描述矛盾。　考點提醒：區分「循環性赤字」與「結構性赤字」的關鍵在於：景氣好轉後赤字是否會自然消失——會消失者為循環性，不會消失（制度性、長期性）者為結構性。</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第15題</w:t>
      </w:r>
    </w:p>
    <w:p>
      <w:pPr>
        <w:spacing w:after="120" w:line="340"/>
        <w:jc w:val="both"/>
      </w:pPr>
      <w:r>
        <w:rPr>
          <w:rFonts w:ascii="微軟正黑體" w:cs="微軟正黑體" w:eastAsia="微軟正黑體" w:hAnsi="微軟正黑體"/>
          <w:b/>
          <w:bCs/>
          <w:color w:val="1F4E79"/>
          <w:sz w:val="22"/>
          <w:szCs w:val="22"/>
        </w:rPr>
        <w:t xml:space="preserve">第52題　</w:t>
      </w:r>
      <w:r>
        <w:rPr>
          <w:rFonts w:ascii="微軟正黑體" w:cs="微軟正黑體" w:eastAsia="微軟正黑體" w:hAnsi="微軟正黑體"/>
          <w:sz w:val="22"/>
          <w:szCs w:val="22"/>
        </w:rPr>
        <w:t xml:space="preserve">按我國預算法之規定，為因應緊急情勢，在未經立法院審議完成之前，便可先行支付部分經費的是那一種預算？</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年度總預算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分配預算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追加預算</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特別預算</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110年　110年-警察　第16題</w:t>
      </w:r>
    </w:p>
    <w:p>
      <w:pPr>
        <w:spacing w:after="120" w:line="340"/>
        <w:jc w:val="both"/>
      </w:pPr>
      <w:r>
        <w:rPr>
          <w:rFonts w:ascii="微軟正黑體" w:cs="微軟正黑體" w:eastAsia="微軟正黑體" w:hAnsi="微軟正黑體"/>
          <w:b/>
          <w:bCs/>
          <w:color w:val="1F4E79"/>
          <w:sz w:val="22"/>
          <w:szCs w:val="22"/>
        </w:rPr>
        <w:t xml:space="preserve">第53題　</w:t>
      </w:r>
      <w:r>
        <w:rPr>
          <w:rFonts w:ascii="微軟正黑體" w:cs="微軟正黑體" w:eastAsia="微軟正黑體" w:hAnsi="微軟正黑體"/>
          <w:sz w:val="22"/>
          <w:szCs w:val="22"/>
        </w:rPr>
        <w:t xml:space="preserve">公部門實施目標管理在衡量績效時，容易產生許多缺失，下列何者最不相關？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員工狹隘界定工作範圍</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造成組織規模龐大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以過程為焦點而非成果導向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過於重視量化指標，而非品質</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110年　110年-身三　第13題</w:t>
      </w:r>
    </w:p>
    <w:p>
      <w:pPr>
        <w:spacing w:after="120" w:line="340"/>
        <w:jc w:val="both"/>
      </w:pPr>
      <w:r>
        <w:rPr>
          <w:rFonts w:ascii="微軟正黑體" w:cs="微軟正黑體" w:eastAsia="微軟正黑體" w:hAnsi="微軟正黑體"/>
          <w:b/>
          <w:bCs/>
          <w:color w:val="1F4E79"/>
          <w:sz w:val="22"/>
          <w:szCs w:val="22"/>
        </w:rPr>
        <w:t xml:space="preserve">第54題　</w:t>
      </w:r>
      <w:r>
        <w:rPr>
          <w:rFonts w:ascii="微軟正黑體" w:cs="微軟正黑體" w:eastAsia="微軟正黑體" w:hAnsi="微軟正黑體"/>
          <w:sz w:val="22"/>
          <w:szCs w:val="22"/>
        </w:rPr>
        <w:t xml:space="preserve">下列何者屬於政府之規費收入？</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台灣電力公司之盈餘繳庫</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高速公路超速罰款</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公務人員高等考試報名費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分割土地所有權之契稅</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110年-身三　第14題</w:t>
      </w:r>
    </w:p>
    <w:p>
      <w:pPr>
        <w:spacing w:after="120" w:line="340"/>
        <w:jc w:val="both"/>
      </w:pPr>
      <w:r>
        <w:rPr>
          <w:rFonts w:ascii="微軟正黑體" w:cs="微軟正黑體" w:eastAsia="微軟正黑體" w:hAnsi="微軟正黑體"/>
          <w:b/>
          <w:bCs/>
          <w:color w:val="1F4E79"/>
          <w:sz w:val="22"/>
          <w:szCs w:val="22"/>
        </w:rPr>
        <w:t xml:space="preserve">第55題　</w:t>
      </w:r>
      <w:r>
        <w:rPr>
          <w:rFonts w:ascii="微軟正黑體" w:cs="微軟正黑體" w:eastAsia="微軟正黑體" w:hAnsi="微軟正黑體"/>
          <w:sz w:val="22"/>
          <w:szCs w:val="22"/>
        </w:rPr>
        <w:t xml:space="preserve">以未來營運所得資金或經指撥特定財源作為政府償債財源的債務，稱為：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作業型債務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營運性債務</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自償性債務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隱藏型債務</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110年-身三　第15題</w:t>
      </w:r>
    </w:p>
    <w:p>
      <w:pPr>
        <w:spacing w:after="120" w:line="340"/>
        <w:jc w:val="both"/>
      </w:pPr>
      <w:r>
        <w:rPr>
          <w:rFonts w:ascii="微軟正黑體" w:cs="微軟正黑體" w:eastAsia="微軟正黑體" w:hAnsi="微軟正黑體"/>
          <w:b/>
          <w:bCs/>
          <w:color w:val="1F4E79"/>
          <w:sz w:val="22"/>
          <w:szCs w:val="22"/>
        </w:rPr>
        <w:t xml:space="preserve">第56題　</w:t>
      </w:r>
      <w:r>
        <w:rPr>
          <w:rFonts w:ascii="微軟正黑體" w:cs="微軟正黑體" w:eastAsia="微軟正黑體" w:hAnsi="微軟正黑體"/>
          <w:sz w:val="22"/>
          <w:szCs w:val="22"/>
        </w:rPr>
        <w:t xml:space="preserve">中央政府提供專案經費給地方政府興建捷運，並限制不得挪作他用，此一補助之性質屬於下列何者？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一般型補助款</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計畫型補助款</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統籌分配稅款</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稅收分成補助款</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110年　110年-高考　第13題</w:t>
      </w:r>
    </w:p>
    <w:p>
      <w:pPr>
        <w:spacing w:after="120" w:line="340"/>
        <w:jc w:val="both"/>
      </w:pPr>
      <w:r>
        <w:rPr>
          <w:rFonts w:ascii="微軟正黑體" w:cs="微軟正黑體" w:eastAsia="微軟正黑體" w:hAnsi="微軟正黑體"/>
          <w:b/>
          <w:bCs/>
          <w:color w:val="1F4E79"/>
          <w:sz w:val="22"/>
          <w:szCs w:val="22"/>
        </w:rPr>
        <w:t xml:space="preserve">第57題　</w:t>
      </w:r>
      <w:r>
        <w:rPr>
          <w:rFonts w:ascii="微軟正黑體" w:cs="微軟正黑體" w:eastAsia="微軟正黑體" w:hAnsi="微軟正黑體"/>
          <w:sz w:val="22"/>
          <w:szCs w:val="22"/>
        </w:rPr>
        <w:t xml:space="preserve">我國現行租稅制度依財政收支劃分法的規定，可分為國稅和地方稅兩大類，下列何者屬於地方稅？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貨物稅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營業稅</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地價稅</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證券交易稅</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110年-高考　第14題</w:t>
      </w:r>
    </w:p>
    <w:p>
      <w:pPr>
        <w:spacing w:after="120" w:line="340"/>
        <w:jc w:val="both"/>
      </w:pPr>
      <w:r>
        <w:rPr>
          <w:rFonts w:ascii="微軟正黑體" w:cs="微軟正黑體" w:eastAsia="微軟正黑體" w:hAnsi="微軟正黑體"/>
          <w:b/>
          <w:bCs/>
          <w:color w:val="1F4E79"/>
          <w:sz w:val="22"/>
          <w:szCs w:val="22"/>
        </w:rPr>
        <w:t xml:space="preserve">第58題　</w:t>
      </w:r>
      <w:r>
        <w:rPr>
          <w:rFonts w:ascii="微軟正黑體" w:cs="微軟正黑體" w:eastAsia="微軟正黑體" w:hAnsi="微軟正黑體"/>
          <w:sz w:val="22"/>
          <w:szCs w:val="22"/>
        </w:rPr>
        <w:t xml:space="preserve">下列何者並非公庫制度之主要功能？</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統一公款管理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庫政之管理</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編製年度預算</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財物之保管</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110年-高考　第15題</w:t>
      </w:r>
    </w:p>
    <w:p>
      <w:pPr>
        <w:spacing w:after="120" w:line="340"/>
        <w:jc w:val="both"/>
      </w:pPr>
      <w:r>
        <w:rPr>
          <w:rFonts w:ascii="微軟正黑體" w:cs="微軟正黑體" w:eastAsia="微軟正黑體" w:hAnsi="微軟正黑體"/>
          <w:b/>
          <w:bCs/>
          <w:color w:val="1F4E79"/>
          <w:sz w:val="22"/>
          <w:szCs w:val="22"/>
        </w:rPr>
        <w:t xml:space="preserve">第59題　</w:t>
      </w:r>
      <w:r>
        <w:rPr>
          <w:rFonts w:ascii="微軟正黑體" w:cs="微軟正黑體" w:eastAsia="微軟正黑體" w:hAnsi="微軟正黑體"/>
          <w:sz w:val="22"/>
          <w:szCs w:val="22"/>
        </w:rPr>
        <w:t xml:space="preserve">下列何者非屬我國預算執行之彈性設計？</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事後審計</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預備金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經費流用</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預算保留</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111年　111年-原三　第15題</w:t>
      </w:r>
    </w:p>
    <w:p>
      <w:pPr>
        <w:spacing w:after="120" w:line="340"/>
        <w:jc w:val="both"/>
      </w:pPr>
      <w:r>
        <w:rPr>
          <w:rFonts w:ascii="微軟正黑體" w:cs="微軟正黑體" w:eastAsia="微軟正黑體" w:hAnsi="微軟正黑體"/>
          <w:b/>
          <w:bCs/>
          <w:color w:val="1F4E79"/>
          <w:sz w:val="22"/>
          <w:szCs w:val="22"/>
        </w:rPr>
        <w:t xml:space="preserve">第60題　</w:t>
      </w:r>
      <w:r>
        <w:rPr>
          <w:rFonts w:ascii="微軟正黑體" w:cs="微軟正黑體" w:eastAsia="微軟正黑體" w:hAnsi="微軟正黑體"/>
          <w:sz w:val="22"/>
          <w:szCs w:val="22"/>
        </w:rPr>
        <w:t xml:space="preserve">下列對我國「中央統籌分配稅款」之敘述，何者正確？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其來源是地方政府的稅收，中央政府僅負責統籌分配</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是地方政府的補助款之一</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是一種稅收分成（revenue-sharing）的制度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地方政府每年皆須申請才可分得統籌分配款</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中央統籌分配稅款係將部分國稅（如營業稅、所得稅、貨物稅等）之一定比例集中納入統籌分配稅款，再依公式分配予地方政府，其本質是中央與地方間之「稅收分成」（revenue-sharing）制度，用以調節地方財政、縮小城鄉財政差距。　選項辨析：A：統籌分配稅款來源為國稅（部分稅目之一定比例），並非地方政府自身之稅收，中央亦非僅單純代為分配，而是依法定公式進行分成；B：統籌分配稅款性質上不同於補助款，補助款係由中央歲出編列撥付地方、審核性質較強，統籌分配稅款則依公式化分成、具法定請求權性質；D：統籌分配稅款依「財政收支劃分法」及相關分配辦法按公式定期分配，地方政府無須每年申請。　考點提醒：掌握「統籌分配稅款＝國稅分成，非補助款」是本題及相關考點的關鍵區辨。</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第13題</w:t>
      </w:r>
    </w:p>
    <w:p>
      <w:pPr>
        <w:spacing w:after="120" w:line="340"/>
        <w:jc w:val="both"/>
      </w:pPr>
      <w:r>
        <w:rPr>
          <w:rFonts w:ascii="微軟正黑體" w:cs="微軟正黑體" w:eastAsia="微軟正黑體" w:hAnsi="微軟正黑體"/>
          <w:b/>
          <w:bCs/>
          <w:color w:val="1F4E79"/>
          <w:sz w:val="22"/>
          <w:szCs w:val="22"/>
        </w:rPr>
        <w:t xml:space="preserve">第61題　</w:t>
      </w:r>
      <w:r>
        <w:rPr>
          <w:rFonts w:ascii="微軟正黑體" w:cs="微軟正黑體" w:eastAsia="微軟正黑體" w:hAnsi="微軟正黑體"/>
          <w:sz w:val="22"/>
          <w:szCs w:val="22"/>
        </w:rPr>
        <w:t xml:space="preserve">有關租稅制度之設計，下列何者錯誤？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直接稅較間接稅能維持租稅中立原則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累進稅較比例稅容易達成財富重分配之功能</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我國個人綜合所得稅採累進稅制</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營利事業所得稅為我國地方政府的重要租稅收入</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正確答案為D。營利事業所得稅依我國稅制係歸屬國稅，由中央政府統一課徵，並非地方政府之重要租稅收入來源，此敘述與我國實際稅制不符，故為錯誤選項。　選項辨析：A：直接稅（如所得稅）因租稅負擔無法轉嫁，較能符合租稅中立原則，敘述正確；B：累進稅制因稅率隨所得遞增而提高，較比例稅更能達成財富重分配功能，敘述正確；C：我國個人綜合所得稅確採累進稅率結構，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第14題</w:t>
      </w:r>
    </w:p>
    <w:p>
      <w:pPr>
        <w:spacing w:after="120" w:line="340"/>
        <w:jc w:val="both"/>
      </w:pPr>
      <w:r>
        <w:rPr>
          <w:rFonts w:ascii="微軟正黑體" w:cs="微軟正黑體" w:eastAsia="微軟正黑體" w:hAnsi="微軟正黑體"/>
          <w:b/>
          <w:bCs/>
          <w:color w:val="1F4E79"/>
          <w:sz w:val="22"/>
          <w:szCs w:val="22"/>
        </w:rPr>
        <w:t xml:space="preserve">第62題　</w:t>
      </w:r>
      <w:r>
        <w:rPr>
          <w:rFonts w:ascii="微軟正黑體" w:cs="微軟正黑體" w:eastAsia="微軟正黑體" w:hAnsi="微軟正黑體"/>
          <w:sz w:val="22"/>
          <w:szCs w:val="22"/>
        </w:rPr>
        <w:t xml:space="preserve">民國 84 年度起，中央政府各機關歲出概算額度皆由行政院主計總處事先予以確定，有關此一預算籌編機制的敘述，下列何者錯誤？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此一機制稱為資源總額分配作業制度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以控制政府歲出規模成長為目的</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激化各機關與行政院主計總處預算審查的衝突</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堪稱是一種由上而下的預算籌編政策</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民國84年度起實施之「資源總額分配制度」（歲出額度制），係由行政院主計總處依總體經濟情勢事先核定各機關概算額度上限，屬由上而下（top-down）之預算籌編方式，其設計目的在於控制政府歲出規模、減少各機關漫無節制爭取預算所生之衝突，而非「激化」預算審查衝突，因此本敘述有誤。　選項辨析：A：此機制確稱為資源總額分配作業制度，敘述正確；B：其目的即在事前設定歲出上限以控制政府歲出規模成長，敘述正確；D：由主計總處事先核定各機關額度、各機關於額度內編列概算，確為由上而下之預算籌編政策，敘述正確。　考點提醒：「資源總額分配制度＝由上而下、事先設限、以降低機關間預算爭奪衝突」，與「各機關自行爭取、逐案協商」的傳統漸進模式形成對比，為常考概念。</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第15題</w:t>
      </w:r>
    </w:p>
    <w:p>
      <w:pPr>
        <w:spacing w:after="120" w:line="340"/>
        <w:jc w:val="both"/>
      </w:pPr>
      <w:r>
        <w:rPr>
          <w:rFonts w:ascii="微軟正黑體" w:cs="微軟正黑體" w:eastAsia="微軟正黑體" w:hAnsi="微軟正黑體"/>
          <w:b/>
          <w:bCs/>
          <w:color w:val="1F4E79"/>
          <w:sz w:val="22"/>
          <w:szCs w:val="22"/>
        </w:rPr>
        <w:t xml:space="preserve">第63題　</w:t>
      </w:r>
      <w:r>
        <w:rPr>
          <w:rFonts w:ascii="微軟正黑體" w:cs="微軟正黑體" w:eastAsia="微軟正黑體" w:hAnsi="微軟正黑體"/>
          <w:sz w:val="22"/>
          <w:szCs w:val="22"/>
        </w:rPr>
        <w:t xml:space="preserve">政府採購可以競標（competitive bidding）方式進行，有關競標的敘述，下列何者錯誤？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應公告、公開擬採購的物品需求</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對參與競標廠商提出的採購計畫書有一定的要求</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政府機關通常會事先決定底價</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係透過協商及議價方式來決定得標者</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第15題</w:t>
      </w:r>
    </w:p>
    <w:p>
      <w:pPr>
        <w:spacing w:after="120" w:line="340"/>
        <w:jc w:val="both"/>
      </w:pPr>
      <w:r>
        <w:rPr>
          <w:rFonts w:ascii="微軟正黑體" w:cs="微軟正黑體" w:eastAsia="微軟正黑體" w:hAnsi="微軟正黑體"/>
          <w:b/>
          <w:bCs/>
          <w:color w:val="1F4E79"/>
          <w:sz w:val="22"/>
          <w:szCs w:val="22"/>
        </w:rPr>
        <w:t xml:space="preserve">第64題　</w:t>
      </w:r>
      <w:r>
        <w:rPr>
          <w:rFonts w:ascii="微軟正黑體" w:cs="微軟正黑體" w:eastAsia="微軟正黑體" w:hAnsi="微軟正黑體"/>
          <w:sz w:val="22"/>
          <w:szCs w:val="22"/>
        </w:rPr>
        <w:t xml:space="preserve">下列何者不屬於「特種基金預算」？</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中央研究院單位預算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交通部臺灣鐵路管理局附屬單位預算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國立臺灣大學校務基金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台灣電力公司營業基金</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中央研究院屬中央行政機關，其預算依一般行政機關體例編列為普通基金之「單位預算」，並非特種基金；相對地，交通部台鐵局附屬單位預算、台大校務基金與台電營業基金均屬特種基金體系下之附屬單位預算，性質不同。　選項辨析：B：交通部台灣鐵路管理局附屬單位預算屬營業基金之附屬單位預算，為特種基金預算；C：國立臺灣大學校務基金屬作業基金性質之特種基金預算；D：台灣電力公司營業基金為典型之營業型特種基金預算。　考點提醒：區辨關鍵在於「一般機關（普通基金—單位預算）」與「具特定業務性質之機構（特種基金—附屬單位預算）」，中研院、各部會本身屬前者。</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第16題</w:t>
      </w:r>
    </w:p>
    <w:p>
      <w:pPr>
        <w:spacing w:after="120" w:line="340"/>
        <w:jc w:val="both"/>
      </w:pPr>
      <w:r>
        <w:rPr>
          <w:rFonts w:ascii="微軟正黑體" w:cs="微軟正黑體" w:eastAsia="微軟正黑體" w:hAnsi="微軟正黑體"/>
          <w:b/>
          <w:bCs/>
          <w:color w:val="1F4E79"/>
          <w:sz w:val="22"/>
          <w:szCs w:val="22"/>
        </w:rPr>
        <w:t xml:space="preserve">第65題　</w:t>
      </w:r>
      <w:r>
        <w:rPr>
          <w:rFonts w:ascii="微軟正黑體" w:cs="微軟正黑體" w:eastAsia="微軟正黑體" w:hAnsi="微軟正黑體"/>
          <w:sz w:val="22"/>
          <w:szCs w:val="22"/>
        </w:rPr>
        <w:t xml:space="preserve">有關設計計畫預算制度（Planning Programming Budgeting System, PPBS）特徵的描述，下列何者錯誤？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屬於一種多年期預算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美國大社會（Great Society）運動後興起的預算制度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重視系統分析、作業研究等分析工具的應用</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強調預算歸零和創新精神</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正確答案為D。設計計畫預算制度（PPBS）系1960年代美國大社會（Great Society）運動時期興起之多年期預算制度，強調系統分析、作業研究等分析工具之應用，以利政策規劃與資源長期配置；「強調預算歸零和創新精神」則是零基預算制度（ZBB）之核心特徵，並非PPBS之特色，本敘述有誤。　選項辨析：A：PPBS確屬一種多年期、跨年度規劃導向之預算制度，敘述正確；B：PPBS確為美國大社會運動後興起之預算制度，敘述正確；C：PPBS確重視系統分析、作業研究等分析工具之應用，敘述正確。　考點提醒：務必區辨PPBS（規劃導向、多年期、系統分析）與ZBB（零基歸零、方案重新排序、創新精神），兩制度常被互相替換出題以測試辨識能力。</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第13題</w:t>
      </w:r>
    </w:p>
    <w:p>
      <w:pPr>
        <w:spacing w:after="120" w:line="340"/>
        <w:jc w:val="both"/>
      </w:pPr>
      <w:r>
        <w:rPr>
          <w:rFonts w:ascii="微軟正黑體" w:cs="微軟正黑體" w:eastAsia="微軟正黑體" w:hAnsi="微軟正黑體"/>
          <w:b/>
          <w:bCs/>
          <w:color w:val="1F4E79"/>
          <w:sz w:val="22"/>
          <w:szCs w:val="22"/>
        </w:rPr>
        <w:t xml:space="preserve">第66題　</w:t>
      </w:r>
      <w:r>
        <w:rPr>
          <w:rFonts w:ascii="微軟正黑體" w:cs="微軟正黑體" w:eastAsia="微軟正黑體" w:hAnsi="微軟正黑體"/>
          <w:sz w:val="22"/>
          <w:szCs w:val="22"/>
        </w:rPr>
        <w:t xml:space="preserve">政府規費的徵收，較符合下列那一項原則？</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能力負擔原則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財富重分配原則</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受益者付費原則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外溢效果原則</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正確答案為C。政府規費（如證照費、規費等）之徵收，係針對特定使用者因享有政府所提供之特定服務或利益而課徵之對價，故較符合受益者付費原則（benefit principle），與依能力課稅之一般租稅原理不同。　選項辨析：A：能力負擔原則係一般租稅（如所得稅）依納稅義務人負擔能力課徵之原則，非規費徵收之主要依據；B：財富重分配原則涉及累進稅制對所得財富的調節功能，與規費之對價性質無直接關聯；D：外溢效果原則涉及公共財外部性之課題，非規費徵收所依循之原則。</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第14題</w:t>
      </w:r>
    </w:p>
    <w:p>
      <w:pPr>
        <w:spacing w:after="120" w:line="340"/>
        <w:jc w:val="both"/>
      </w:pPr>
      <w:r>
        <w:rPr>
          <w:rFonts w:ascii="微軟正黑體" w:cs="微軟正黑體" w:eastAsia="微軟正黑體" w:hAnsi="微軟正黑體"/>
          <w:b/>
          <w:bCs/>
          <w:color w:val="1F4E79"/>
          <w:sz w:val="22"/>
          <w:szCs w:val="22"/>
        </w:rPr>
        <w:t xml:space="preserve">第67題　</w:t>
      </w:r>
      <w:r>
        <w:rPr>
          <w:rFonts w:ascii="微軟正黑體" w:cs="微軟正黑體" w:eastAsia="微軟正黑體" w:hAnsi="微軟正黑體"/>
          <w:sz w:val="22"/>
          <w:szCs w:val="22"/>
        </w:rPr>
        <w:t xml:space="preserve">有關我國公共債務的相關規定，下列何者正確？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債務之舉借是我國政府重要的「歲入」來源</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公債的利息為我國政府之經常歲出</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僅中央政府可成立債務基金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預算法明定特別預算不受舉債額度的限制</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正確答案為B。公債之利息支出屬政府每年度必須償付之經常性支出，列為政府經常歲出之一部分；此與公債本金之舉借（屬融資性質，非歲入）性質不同，為預算法制常見之考點。　選項辨析：A：依我國預算制度，債務之舉借（公債及賒借收入）性質上屬融資來源，並非正式歲入項目；C：直轄市等地方政府亦得依法成立債務基金，非僅中央政府始可成立；D：預算法對特別預算之舉債仍設有限制，通常須另立特別條例予以排除或調整，並非預算法本身明定特別預算不受舉債額度限制。　考點提醒：掌握「公債本金舉借＝融資（非歲入），公債利息支出＝經常歲出」的區辨，為本題與相關財務管理考點的核心。</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第15題</w:t>
      </w:r>
    </w:p>
    <w:p>
      <w:pPr>
        <w:spacing w:after="120" w:line="340"/>
        <w:jc w:val="both"/>
      </w:pPr>
      <w:r>
        <w:rPr>
          <w:rFonts w:ascii="微軟正黑體" w:cs="微軟正黑體" w:eastAsia="微軟正黑體" w:hAnsi="微軟正黑體"/>
          <w:b/>
          <w:bCs/>
          <w:color w:val="1F4E79"/>
          <w:sz w:val="22"/>
          <w:szCs w:val="22"/>
        </w:rPr>
        <w:t xml:space="preserve">第68題　</w:t>
      </w:r>
      <w:r>
        <w:rPr>
          <w:rFonts w:ascii="微軟正黑體" w:cs="微軟正黑體" w:eastAsia="微軟正黑體" w:hAnsi="微軟正黑體"/>
          <w:sz w:val="22"/>
          <w:szCs w:val="22"/>
        </w:rPr>
        <w:t xml:space="preserve">依據政府採購法的規定，「不經公告程序，邀請二家以上廠商比價或僅邀請一家廠商議價」的作法，是下列那一種招標方式？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選擇性招標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公開招標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複數招標</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限制性招標</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111年　111年-高考　第16題</w:t>
      </w:r>
    </w:p>
    <w:p>
      <w:pPr>
        <w:spacing w:after="120" w:line="340"/>
        <w:jc w:val="both"/>
      </w:pPr>
      <w:r>
        <w:rPr>
          <w:rFonts w:ascii="微軟正黑體" w:cs="微軟正黑體" w:eastAsia="微軟正黑體" w:hAnsi="微軟正黑體"/>
          <w:b/>
          <w:bCs/>
          <w:color w:val="1F4E79"/>
          <w:sz w:val="22"/>
          <w:szCs w:val="22"/>
        </w:rPr>
        <w:t xml:space="preserve">第69題　</w:t>
      </w:r>
      <w:r>
        <w:rPr>
          <w:rFonts w:ascii="微軟正黑體" w:cs="微軟正黑體" w:eastAsia="微軟正黑體" w:hAnsi="微軟正黑體"/>
          <w:sz w:val="22"/>
          <w:szCs w:val="22"/>
        </w:rPr>
        <w:t xml:space="preserve">有關目標管理（management by objectives）的核心要素，不包含下列那一項？</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透明</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目標設定</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參與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回饋</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111年　111年-高考　第22題</w:t>
      </w:r>
    </w:p>
    <w:p>
      <w:pPr>
        <w:spacing w:after="120" w:line="340"/>
        <w:jc w:val="both"/>
      </w:pPr>
      <w:r>
        <w:rPr>
          <w:rFonts w:ascii="微軟正黑體" w:cs="微軟正黑體" w:eastAsia="微軟正黑體" w:hAnsi="微軟正黑體"/>
          <w:b/>
          <w:bCs/>
          <w:color w:val="1F4E79"/>
          <w:sz w:val="22"/>
          <w:szCs w:val="22"/>
        </w:rPr>
        <w:t xml:space="preserve">第70題　</w:t>
      </w:r>
      <w:r>
        <w:rPr>
          <w:rFonts w:ascii="微軟正黑體" w:cs="微軟正黑體" w:eastAsia="微軟正黑體" w:hAnsi="微軟正黑體"/>
          <w:sz w:val="22"/>
          <w:szCs w:val="22"/>
        </w:rPr>
        <w:t xml:space="preserve">某機關的目標是希望「第一線公務人員都能以親切友善的態度來服務民眾」，但績效指標卻訂為「員工必須每天準時打卡上下班」。此情形是指在描述訂定績效指標時，未能符合下列那一個原則？</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相關的（relevant）</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可達到的（attainable）</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具體明確的（specific）</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可測量的（measurable）</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第13題</w:t>
      </w:r>
    </w:p>
    <w:p>
      <w:pPr>
        <w:spacing w:after="120" w:line="340"/>
        <w:jc w:val="both"/>
      </w:pPr>
      <w:r>
        <w:rPr>
          <w:rFonts w:ascii="微軟正黑體" w:cs="微軟正黑體" w:eastAsia="微軟正黑體" w:hAnsi="微軟正黑體"/>
          <w:b/>
          <w:bCs/>
          <w:color w:val="1F4E79"/>
          <w:sz w:val="22"/>
          <w:szCs w:val="22"/>
        </w:rPr>
        <w:t xml:space="preserve">第71題　</w:t>
      </w:r>
      <w:r>
        <w:rPr>
          <w:rFonts w:ascii="微軟正黑體" w:cs="微軟正黑體" w:eastAsia="微軟正黑體" w:hAnsi="微軟正黑體"/>
          <w:sz w:val="22"/>
          <w:szCs w:val="22"/>
        </w:rPr>
        <w:t xml:space="preserve">有關我國中央對直轄市及縣（市）政府的補助款，下列敘述何者錯誤？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一般性補助款屬於地方政府的財政收入</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一般性補助款屬於中央政府的歲出</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計畫型補助款的補助比例與地方政府財政能力呈現負相關</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專案補助款用於補助自有財源比例低於50%的地方政府</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我國中央對直轄市及縣（市）政府之補助款分為一般性補助款與計畫型補助款（含專案補助款），補助比例主要係依地方財政能力（自有財源比例）分級訂定，並非以「自有財源比例低於50%」作為一律適用之硬性門檻，此敘述與實際補助辦法不符，故為錯誤選項。　選項辨析：A：一般性補助款撥入地方政府後即成為地方歲入之一部分，敘述正確；B：一般性補助款對中央而言列為歲出，敘述正確；C：計畫型補助款之補助比例設計上使財政能力較弱之地方政府獲得較高比例補助，與財政能力呈負相關，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第14題</w:t>
      </w:r>
    </w:p>
    <w:p>
      <w:pPr>
        <w:spacing w:after="120" w:line="340"/>
        <w:jc w:val="both"/>
      </w:pPr>
      <w:r>
        <w:rPr>
          <w:rFonts w:ascii="微軟正黑體" w:cs="微軟正黑體" w:eastAsia="微軟正黑體" w:hAnsi="微軟正黑體"/>
          <w:b/>
          <w:bCs/>
          <w:color w:val="1F4E79"/>
          <w:sz w:val="22"/>
          <w:szCs w:val="22"/>
        </w:rPr>
        <w:t xml:space="preserve">第72題　</w:t>
      </w:r>
      <w:r>
        <w:rPr>
          <w:rFonts w:ascii="微軟正黑體" w:cs="微軟正黑體" w:eastAsia="微軟正黑體" w:hAnsi="微軟正黑體"/>
          <w:sz w:val="22"/>
          <w:szCs w:val="22"/>
        </w:rPr>
        <w:t xml:space="preserve">根據預算法相關規定，有關政府預算執行之敘述，下列何者錯誤？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總預算內各機關、各政事及計畫或業務科目間之經費，不得互相流用</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第一預備金於單位預算中設定之，其數額不得超過資本支出總額1%</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依法律增設新機關時，各機關得另提出追加預算，但併入當年度總決算合計</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國家經濟遭遇重大變故，行政院得於年度總預算外另提出特別預算 32940−33040</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正確答案為B。依預算法規定，各機關單位預算所設定之第一預備金，其數額不得超過該機關經常支出總額之百分之一，而非「資本支出總額」，本題以「資本支出總額」替換「經常支出總額」，故敘述有誤。　選項辨析：A：總預算內各機關、政事別、計畫或業務科目間之經費原則上不得互相流用，敘述正確；C：因法律增設新機關而需增加經費者，得另提出追加預算，惟仍應併入當年度總決算，敘述正確；D：國家經濟遭遇重大變故時，行政院得於年度總預算外另提特別預算，敘述正確。　考點提醒：「第一預備金上限＝經常支出總額1%」為預算法常考數字細節，務必與資本支出區辨清楚。</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第15題</w:t>
      </w:r>
    </w:p>
    <w:p>
      <w:pPr>
        <w:spacing w:after="120" w:line="340"/>
        <w:jc w:val="both"/>
      </w:pPr>
      <w:r>
        <w:rPr>
          <w:rFonts w:ascii="微軟正黑體" w:cs="微軟正黑體" w:eastAsia="微軟正黑體" w:hAnsi="微軟正黑體"/>
          <w:b/>
          <w:bCs/>
          <w:color w:val="1F4E79"/>
          <w:sz w:val="22"/>
          <w:szCs w:val="22"/>
        </w:rPr>
        <w:t xml:space="preserve">第73題　</w:t>
      </w:r>
      <w:r>
        <w:rPr>
          <w:rFonts w:ascii="微軟正黑體" w:cs="微軟正黑體" w:eastAsia="微軟正黑體" w:hAnsi="微軟正黑體"/>
          <w:sz w:val="22"/>
          <w:szCs w:val="22"/>
        </w:rPr>
        <w:t xml:space="preserve">有關租稅之敘述，下列何者正確？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累進稅較比例稅更具所得分配效果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如果租稅改變人們的消費模式，這樣的租稅不具有公平性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稅式支出（tax expenditure）是政府直接支出的其中一個項目</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可以將租稅的法律義務轉嫁給他人者，是不具租稅效率的</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第13題</w:t>
      </w:r>
    </w:p>
    <w:p>
      <w:pPr>
        <w:spacing w:after="120" w:line="340"/>
        <w:jc w:val="both"/>
      </w:pPr>
      <w:r>
        <w:rPr>
          <w:rFonts w:ascii="微軟正黑體" w:cs="微軟正黑體" w:eastAsia="微軟正黑體" w:hAnsi="微軟正黑體"/>
          <w:b/>
          <w:bCs/>
          <w:color w:val="1F4E79"/>
          <w:sz w:val="22"/>
          <w:szCs w:val="22"/>
        </w:rPr>
        <w:t xml:space="preserve">第74題　</w:t>
      </w:r>
      <w:r>
        <w:rPr>
          <w:rFonts w:ascii="微軟正黑體" w:cs="微軟正黑體" w:eastAsia="微軟正黑體" w:hAnsi="微軟正黑體"/>
          <w:sz w:val="22"/>
          <w:szCs w:val="22"/>
        </w:rPr>
        <w:t xml:space="preserve">我國公共債務法對各級政府的債務有所限制，下列對於舉債限制的描述，何者錯誤？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該法僅對「一年以上債務的舉借」設有限制</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該法對債務的限制，包含未償還的總額及新舉借的額度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特別預算常以特別條例排除公共債務法的某些限制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直轄市的公共債務由行政院監督</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正確答案為A。公共債務法之舉債限制並不僅限於「一年以上債務之舉借」，對於一年以內之短期融資性借款（如國庫券、短期借款）亦設有額度限制規範，故「僅」限一年以上債務之敘述有誤。　選項辨析：B：公共債務法之限制確實同時規範未償還債務餘額之上限及每年度新舉借之額度，敘述正確；C：特別預算常透過另立特別條例排除公共債務法部分舉債限制之適用，為實務常見作法，敘述正確；D：直轄市之公共債務確受行政院監督，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第14題</w:t>
      </w:r>
    </w:p>
    <w:p>
      <w:pPr>
        <w:spacing w:after="120" w:line="340"/>
        <w:jc w:val="both"/>
      </w:pPr>
      <w:r>
        <w:rPr>
          <w:rFonts w:ascii="微軟正黑體" w:cs="微軟正黑體" w:eastAsia="微軟正黑體" w:hAnsi="微軟正黑體"/>
          <w:b/>
          <w:bCs/>
          <w:color w:val="1F4E79"/>
          <w:sz w:val="22"/>
          <w:szCs w:val="22"/>
        </w:rPr>
        <w:t xml:space="preserve">第75題　</w:t>
      </w:r>
      <w:r>
        <w:rPr>
          <w:rFonts w:ascii="微軟正黑體" w:cs="微軟正黑體" w:eastAsia="微軟正黑體" w:hAnsi="微軟正黑體"/>
          <w:sz w:val="22"/>
          <w:szCs w:val="22"/>
        </w:rPr>
        <w:t xml:space="preserve">我國中央政府預算過程包含預算籌編、預算審議、預算執行、決算審核等階段。上述四階段各有不同的主責機關，下列敘述何者錯誤？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行政院主計總處負責預算籌編</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立法院負責預算審議</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各機關負責預算執行</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審計部負責審議總決算審核報告</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審計部依審計法規定負責編造總決算審核報告並提出於立法院，惟「審議」總決算審核報告之權責機關為立法院，而非審計部本身；審計部之角色是查核、編造並提出報告，而非自行審議，故本敘述有誤。　選項辨析：A：行政院主計總處負責預算籌編（概算與預算之編制），敘述正確；B：立法院依憲法負責預算審議，敘述正確；C：各機關負責其法定預算之執行，敘述正確。　考點提醒：預算循環四階段與主責機關對照為常考重點：籌編—主計總處、審議—立法院、執行—各機關、決算審核—審計部（提出審核報告）、審議決算審核報告—立法院。</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第15題</w:t>
      </w:r>
    </w:p>
    <w:p>
      <w:pPr>
        <w:spacing w:after="120" w:line="340"/>
        <w:jc w:val="both"/>
      </w:pPr>
      <w:r>
        <w:rPr>
          <w:rFonts w:ascii="微軟正黑體" w:cs="微軟正黑體" w:eastAsia="微軟正黑體" w:hAnsi="微軟正黑體"/>
          <w:b/>
          <w:bCs/>
          <w:color w:val="1F4E79"/>
          <w:sz w:val="22"/>
          <w:szCs w:val="22"/>
        </w:rPr>
        <w:t xml:space="preserve">第76題　</w:t>
      </w:r>
      <w:r>
        <w:rPr>
          <w:rFonts w:ascii="微軟正黑體" w:cs="微軟正黑體" w:eastAsia="微軟正黑體" w:hAnsi="微軟正黑體"/>
          <w:sz w:val="22"/>
          <w:szCs w:val="22"/>
        </w:rPr>
        <w:t xml:space="preserve">關於臺北市政府推動參與式預算（participatory budgeting）之經驗，下列敘述何者錯誤？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參與預算的提案審議過程耗費時間與精力</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公民提案獲通過後，當年度預算可納入者，立即執行</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當年度預算無法納入，但急迫者則動支預備金</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提案通過後，民眾主導預算的編列、審議與執行</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第13題</w:t>
      </w:r>
    </w:p>
    <w:p>
      <w:pPr>
        <w:spacing w:after="120" w:line="340"/>
        <w:jc w:val="both"/>
      </w:pPr>
      <w:r>
        <w:rPr>
          <w:rFonts w:ascii="微軟正黑體" w:cs="微軟正黑體" w:eastAsia="微軟正黑體" w:hAnsi="微軟正黑體"/>
          <w:b/>
          <w:bCs/>
          <w:color w:val="1F4E79"/>
          <w:sz w:val="22"/>
          <w:szCs w:val="22"/>
        </w:rPr>
        <w:t xml:space="preserve">第77題　</w:t>
      </w:r>
      <w:r>
        <w:rPr>
          <w:rFonts w:ascii="微軟正黑體" w:cs="微軟正黑體" w:eastAsia="微軟正黑體" w:hAnsi="微軟正黑體"/>
          <w:sz w:val="22"/>
          <w:szCs w:val="22"/>
        </w:rPr>
        <w:t xml:space="preserve">在法定預算範圍內，由各機關依法分配實施之計畫，稱為：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項目預算</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功能預算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績效預算</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分配預算</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正確答案為D。分配預算系指在立法機關審議通過之法定預算範圍內，由各機關依法定預算及執行進度，將歲入歲出預算按月或按期分配、編造執行計畫，作為機關實際執行預算之依據。　選項辨析：A：項目預算（line-item budget）系以支出標的（如人事費、業務費等項目）為編列基礎之預算制度類型，與「分配」概念不同；B：功能預算系以政府功能別（如教育、國防）為分類基礎之預算制度，非本題所指分配概念；C：績效預算系以工作衡量單位與績效成本為核心之預算制度，亦非本題所指概念。</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第14題</w:t>
      </w:r>
    </w:p>
    <w:p>
      <w:pPr>
        <w:spacing w:after="120" w:line="340"/>
        <w:jc w:val="both"/>
      </w:pPr>
      <w:r>
        <w:rPr>
          <w:rFonts w:ascii="微軟正黑體" w:cs="微軟正黑體" w:eastAsia="微軟正黑體" w:hAnsi="微軟正黑體"/>
          <w:b/>
          <w:bCs/>
          <w:color w:val="1F4E79"/>
          <w:sz w:val="22"/>
          <w:szCs w:val="22"/>
        </w:rPr>
        <w:t xml:space="preserve">第78題　</w:t>
      </w:r>
      <w:r>
        <w:rPr>
          <w:rFonts w:ascii="微軟正黑體" w:cs="微軟正黑體" w:eastAsia="微軟正黑體" w:hAnsi="微軟正黑體"/>
          <w:sz w:val="22"/>
          <w:szCs w:val="22"/>
        </w:rPr>
        <w:t xml:space="preserve">中程計畫預算制度的主要目的為何？</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減少預算籌編時間</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減少資本門支出之成長</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配合跨年度的施政計畫</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降低對市場機制的干預</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正確答案為C。中程計畫預算制度（Medium-Term Program Budgeting, MTPB）系為使年度預算籌編能與跨年度、中長期之施政計畫相互配合、維持政策之延續性與一致性而設計，透過設定未來數年度之施政方向與資源分配框架，引導各年度預算之編制。　選項辨析：A：中程計畫預算制度重在跨年度政策規劃之整合，而非以減少預算籌編時間為主要目的；B：該制度重點在於跨年度施政計畫之配合，並非專以抑制資本門支出成長為目的；D：該制度旨在強化政府施政規劃之延續性，與降低對市場機制之干預無直接關聯。</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第15題</w:t>
      </w:r>
    </w:p>
    <w:p>
      <w:pPr>
        <w:spacing w:after="120" w:line="340"/>
        <w:jc w:val="both"/>
      </w:pPr>
      <w:r>
        <w:rPr>
          <w:rFonts w:ascii="微軟正黑體" w:cs="微軟正黑體" w:eastAsia="微軟正黑體" w:hAnsi="微軟正黑體"/>
          <w:b/>
          <w:bCs/>
          <w:color w:val="1F4E79"/>
          <w:sz w:val="22"/>
          <w:szCs w:val="22"/>
        </w:rPr>
        <w:t xml:space="preserve">第79題　</w:t>
      </w:r>
      <w:r>
        <w:rPr>
          <w:rFonts w:ascii="微軟正黑體" w:cs="微軟正黑體" w:eastAsia="微軟正黑體" w:hAnsi="微軟正黑體"/>
          <w:sz w:val="22"/>
          <w:szCs w:val="22"/>
        </w:rPr>
        <w:t xml:space="preserve">依據政府採購法的規定，採購的適用範圍不包括下列何者？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工程</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財務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財物</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勞務</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第16題</w:t>
      </w:r>
    </w:p>
    <w:p>
      <w:pPr>
        <w:spacing w:after="120" w:line="340"/>
        <w:jc w:val="both"/>
      </w:pPr>
      <w:r>
        <w:rPr>
          <w:rFonts w:ascii="微軟正黑體" w:cs="微軟正黑體" w:eastAsia="微軟正黑體" w:hAnsi="微軟正黑體"/>
          <w:b/>
          <w:bCs/>
          <w:color w:val="1F4E79"/>
          <w:sz w:val="22"/>
          <w:szCs w:val="22"/>
        </w:rPr>
        <w:t xml:space="preserve">第80題　</w:t>
      </w:r>
      <w:r>
        <w:rPr>
          <w:rFonts w:ascii="微軟正黑體" w:cs="微軟正黑體" w:eastAsia="微軟正黑體" w:hAnsi="微軟正黑體"/>
          <w:sz w:val="22"/>
          <w:szCs w:val="22"/>
        </w:rPr>
        <w:t xml:space="preserve">「以卓越的組織作為學習對象，透過持續改善的過程，強化本身競爭優勢」，以上描述最適合用來說明下列何種績效管理工具？</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全面品質管理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平衡計分卡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目標管理</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標竿學習</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第14題</w:t>
      </w:r>
    </w:p>
    <w:p>
      <w:pPr>
        <w:spacing w:after="120" w:line="340"/>
        <w:jc w:val="both"/>
      </w:pPr>
      <w:r>
        <w:rPr>
          <w:rFonts w:ascii="微軟正黑體" w:cs="微軟正黑體" w:eastAsia="微軟正黑體" w:hAnsi="微軟正黑體"/>
          <w:b/>
          <w:bCs/>
          <w:color w:val="1F4E79"/>
          <w:sz w:val="22"/>
          <w:szCs w:val="22"/>
        </w:rPr>
        <w:t xml:space="preserve">第81題　</w:t>
      </w:r>
      <w:r>
        <w:rPr>
          <w:rFonts w:ascii="微軟正黑體" w:cs="微軟正黑體" w:eastAsia="微軟正黑體" w:hAnsi="微軟正黑體"/>
          <w:sz w:val="22"/>
          <w:szCs w:val="22"/>
        </w:rPr>
        <w:t xml:space="preserve">有關我國「預算法」所規定的預算執行，下列敘述何者正確？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依法得出售之國有財產及股票，市價高於預算者，應依預算出售</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各機關執行歲入分配預算，其超收得逕行坐抵或挪移墊用</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各機關分配預算，應遞轉中央財政主管機關核定之</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各機關應按其法定預算，於預算實施前編造歲入、歲出分配預算</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正確答案為D。依預算法規定，各機關應依其法定預算，於預算實施前（即會計年度開始前）編造該機關之歲入、歲出分配預算，作為按月按期執行預算之依據。　選項辨析：A：依法得出售之國有財產及股票，若市價高於預算所列金額，應依市價出售以增裕國庫收入，而非拘泥於依預算金額出售；B：各機關執行歲入分配預算如有超收，應依規定程序處理，不得逕行坐抵或挪移墊用，以維預算之完整性；C：各機關分配預算應送經中央主計機關（行政院主計總處）核定，而非「財政主管機關」，用詞有誤。</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第15題</w:t>
      </w:r>
    </w:p>
    <w:p>
      <w:pPr>
        <w:spacing w:after="120" w:line="340"/>
        <w:jc w:val="both"/>
      </w:pPr>
      <w:r>
        <w:rPr>
          <w:rFonts w:ascii="微軟正黑體" w:cs="微軟正黑體" w:eastAsia="微軟正黑體" w:hAnsi="微軟正黑體"/>
          <w:b/>
          <w:bCs/>
          <w:color w:val="1F4E79"/>
          <w:sz w:val="22"/>
          <w:szCs w:val="22"/>
        </w:rPr>
        <w:t xml:space="preserve">第82題　</w:t>
      </w:r>
      <w:r>
        <w:rPr>
          <w:rFonts w:ascii="微軟正黑體" w:cs="微軟正黑體" w:eastAsia="微軟正黑體" w:hAnsi="微軟正黑體"/>
          <w:sz w:val="22"/>
          <w:szCs w:val="22"/>
        </w:rPr>
        <w:t xml:space="preserve">政府與公務人員共同建立「退撫基金」，並設立「公務人員退休撫卹基金管理局」負責基金之收支、管理及運用，前述「退撫基金」係屬下列何種類型的特種基金？</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營業基金</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信託基金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作業基金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特別收入基金</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公務人員退休撫卹基金由政府與公務人員共同撥繳、並設專責機關（基金管理局）以信託關係管理運用其收支，其性質屬為特定受益對象設置之信託基金，此與同類基金分類考點相同，為國考反覆出現之重要考點。　選項辨析：A：營業基金系供具營業性質之公營事業使用，退撫基金不具營業性質；C：作業基金系供機關經常性作業收支運用之基金，與退撫基金為特定對象信託管理之性質不同；D：特別收入基金系指有特定收入來源、限定特定用途之基金，與信託關係管理之退撫基金性質有別。　考點提醒：「退撫基金＝信託基金」為反覆命題的固定考點，建議直接背下此對應關係。</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第16題</w:t>
      </w:r>
    </w:p>
    <w:p>
      <w:pPr>
        <w:spacing w:after="120" w:line="340"/>
        <w:jc w:val="both"/>
      </w:pPr>
      <w:r>
        <w:rPr>
          <w:rFonts w:ascii="微軟正黑體" w:cs="微軟正黑體" w:eastAsia="微軟正黑體" w:hAnsi="微軟正黑體"/>
          <w:b/>
          <w:bCs/>
          <w:color w:val="1F4E79"/>
          <w:sz w:val="22"/>
          <w:szCs w:val="22"/>
        </w:rPr>
        <w:t xml:space="preserve">第83題　</w:t>
      </w:r>
      <w:r>
        <w:rPr>
          <w:rFonts w:ascii="微軟正黑體" w:cs="微軟正黑體" w:eastAsia="微軟正黑體" w:hAnsi="微軟正黑體"/>
          <w:sz w:val="22"/>
          <w:szCs w:val="22"/>
        </w:rPr>
        <w:t xml:space="preserve">如果績效指標的設定應具有關鍵性，那麼它的主要內涵為何？</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應提出可測量的指標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績效指標的數量愈多愈好</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應設定有把握達成的目標值</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績效指標應足以顯現該單位的核心業務</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第11題</w:t>
      </w:r>
    </w:p>
    <w:p>
      <w:pPr>
        <w:spacing w:after="120" w:line="340"/>
        <w:jc w:val="both"/>
      </w:pPr>
      <w:r>
        <w:rPr>
          <w:rFonts w:ascii="微軟正黑體" w:cs="微軟正黑體" w:eastAsia="微軟正黑體" w:hAnsi="微軟正黑體"/>
          <w:b/>
          <w:bCs/>
          <w:color w:val="1F4E79"/>
          <w:sz w:val="22"/>
          <w:szCs w:val="22"/>
        </w:rPr>
        <w:t xml:space="preserve">第84題　</w:t>
      </w:r>
      <w:r>
        <w:rPr>
          <w:rFonts w:ascii="微軟正黑體" w:cs="微軟正黑體" w:eastAsia="微軟正黑體" w:hAnsi="微軟正黑體"/>
          <w:sz w:val="22"/>
          <w:szCs w:val="22"/>
        </w:rPr>
        <w:t xml:space="preserve">下列何者為檢視績效考評是否符合實質正當性的項目？</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懲處要合乎比例原則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矯正考評決定的可能性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受評人的自評</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考評人與受評人相互尊重</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第13題</w:t>
      </w:r>
    </w:p>
    <w:p>
      <w:pPr>
        <w:spacing w:after="120" w:line="340"/>
        <w:jc w:val="both"/>
      </w:pPr>
      <w:r>
        <w:rPr>
          <w:rFonts w:ascii="微軟正黑體" w:cs="微軟正黑體" w:eastAsia="微軟正黑體" w:hAnsi="微軟正黑體"/>
          <w:b/>
          <w:bCs/>
          <w:color w:val="1F4E79"/>
          <w:sz w:val="22"/>
          <w:szCs w:val="22"/>
        </w:rPr>
        <w:t xml:space="preserve">第85題　</w:t>
      </w:r>
      <w:r>
        <w:rPr>
          <w:rFonts w:ascii="微軟正黑體" w:cs="微軟正黑體" w:eastAsia="微軟正黑體" w:hAnsi="微軟正黑體"/>
          <w:sz w:val="22"/>
          <w:szCs w:val="22"/>
        </w:rPr>
        <w:t xml:space="preserve">在政府預算制度演進的諸多過程中，預算所扮演的角色也伴隨制度演進而有所不同，預算首次出現「政策規劃」的功能，是在下列何種預算制度為主流之時？</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功能預算制度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績效預算制度</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設計計畫預算制度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企業化預算制度</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設計計畫預算制度（PPBS）系1960年代美國大社會運動時期興起之預算制度，其核心特色即在於將「政策規劃（Planning）」正式納入預算編制過程，透過系統分析、成本效益分析等工具，使預算不僅是資源分配工具，更成為政策規劃與決策之整合機制，此為預算制度演進史上首次賦予預算「政策規劃」功能之里程碑。　選項辨析：A：功能預算制度重在以政府功能別分類呈現支出，尚未強化政策規劃功能；B：績效預算制度重在以工作衡量單位與產出績效為核心，聚焦管理效率而非政策規劃；D：企業化預算制度為較晚近之管理導向改革，非首次賦予預算政策規劃功能者。　考點提醒：預算制度演進口訣：項目預算（控制）→績效預算（管理）→PPBS（規劃）→ZBB（決策／資源重分配），各制度對應之核心功能為常考重點。</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第14題</w:t>
      </w:r>
    </w:p>
    <w:p>
      <w:pPr>
        <w:spacing w:after="120" w:line="340"/>
        <w:jc w:val="both"/>
      </w:pPr>
      <w:r>
        <w:rPr>
          <w:rFonts w:ascii="微軟正黑體" w:cs="微軟正黑體" w:eastAsia="微軟正黑體" w:hAnsi="微軟正黑體"/>
          <w:b/>
          <w:bCs/>
          <w:color w:val="1F4E79"/>
          <w:sz w:val="22"/>
          <w:szCs w:val="22"/>
        </w:rPr>
        <w:t xml:space="preserve">第86題　</w:t>
      </w:r>
      <w:r>
        <w:rPr>
          <w:rFonts w:ascii="微軟正黑體" w:cs="微軟正黑體" w:eastAsia="微軟正黑體" w:hAnsi="微軟正黑體"/>
          <w:sz w:val="22"/>
          <w:szCs w:val="22"/>
        </w:rPr>
        <w:t xml:space="preserve">有關我國「分配預算」的敘述，下列何者正確？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是行政單位執行預算的根據，預算執行中不得修改</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在立法單位審議預算前，行政機關須將「分配預算」的計畫納入預算書內</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將歲入及歲出預算按月或按期分配</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替行政機關設定好「分配預算」為立法機關的責任</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正確答案為C。分配預算系指各機關於法定預算範圍內，依執行進度將全年度歲入及歲出預算按月或按期分配，以作為按期執行、控管進度之依據。　選項辨析：A：分配預算於執行過程中如遇特殊情形，仍得依規定程序申請變更，並非絕對不得修改；B：分配預算系於立法機關審議通過法定預算「後」，由行政機關依法定預算編造，並非於審議前即須納入預算書內；D：分配預算之編造與核定為行政機關（各主管機關及中央主計機關）之權責，非立法機關之責任。</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第15題</w:t>
      </w:r>
    </w:p>
    <w:p>
      <w:pPr>
        <w:spacing w:after="120" w:line="340"/>
        <w:jc w:val="both"/>
      </w:pPr>
      <w:r>
        <w:rPr>
          <w:rFonts w:ascii="微軟正黑體" w:cs="微軟正黑體" w:eastAsia="微軟正黑體" w:hAnsi="微軟正黑體"/>
          <w:b/>
          <w:bCs/>
          <w:color w:val="1F4E79"/>
          <w:sz w:val="22"/>
          <w:szCs w:val="22"/>
        </w:rPr>
        <w:t xml:space="preserve">第87題　</w:t>
      </w:r>
      <w:r>
        <w:rPr>
          <w:rFonts w:ascii="微軟正黑體" w:cs="微軟正黑體" w:eastAsia="微軟正黑體" w:hAnsi="微軟正黑體"/>
          <w:sz w:val="22"/>
          <w:szCs w:val="22"/>
        </w:rPr>
        <w:t xml:space="preserve">關於績效評估工具平衡計分卡的敘述，下列何者錯誤？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由卡普蘭（R. Kaplan）和諾頓（D. Norton）首創</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以策略地圖的方式呈現策略與指標之間的關聯性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一開始適用的對象為企業</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係指策略、財務及 KPI 三者之平衡</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第18題</w:t>
      </w:r>
    </w:p>
    <w:p>
      <w:pPr>
        <w:spacing w:after="120" w:line="340"/>
        <w:jc w:val="both"/>
      </w:pPr>
      <w:r>
        <w:rPr>
          <w:rFonts w:ascii="微軟正黑體" w:cs="微軟正黑體" w:eastAsia="微軟正黑體" w:hAnsi="微軟正黑體"/>
          <w:b/>
          <w:bCs/>
          <w:color w:val="1F4E79"/>
          <w:sz w:val="22"/>
          <w:szCs w:val="22"/>
        </w:rPr>
        <w:t xml:space="preserve">第88題　</w:t>
      </w:r>
      <w:r>
        <w:rPr>
          <w:rFonts w:ascii="微軟正黑體" w:cs="微軟正黑體" w:eastAsia="微軟正黑體" w:hAnsi="微軟正黑體"/>
          <w:sz w:val="22"/>
          <w:szCs w:val="22"/>
        </w:rPr>
        <w:t xml:space="preserve">依據政府採購法之規定，我國政府採購之招標方式，下列何者不屬之？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公開招標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選擇性招標</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透明性招標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限制性招標</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第20題</w:t>
      </w:r>
    </w:p>
    <w:p>
      <w:pPr>
        <w:spacing w:after="120" w:line="340"/>
        <w:jc w:val="both"/>
      </w:pPr>
      <w:r>
        <w:rPr>
          <w:rFonts w:ascii="微軟正黑體" w:cs="微軟正黑體" w:eastAsia="微軟正黑體" w:hAnsi="微軟正黑體"/>
          <w:b/>
          <w:bCs/>
          <w:color w:val="1F4E79"/>
          <w:sz w:val="22"/>
          <w:szCs w:val="22"/>
        </w:rPr>
        <w:t xml:space="preserve">第89題　</w:t>
      </w:r>
      <w:r>
        <w:rPr>
          <w:rFonts w:ascii="微軟正黑體" w:cs="微軟正黑體" w:eastAsia="微軟正黑體" w:hAnsi="微軟正黑體"/>
          <w:sz w:val="22"/>
          <w:szCs w:val="22"/>
        </w:rPr>
        <w:t xml:space="preserve">若某地方政府提供較好的育兒津貼，吸引許多年輕父母移居到該地區，此一現象稱之為：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用腳投票（vote by feet）</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外溢效果（spill-over effect）</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集體行動（collective action）</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外部經濟（external economy）</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第13題</w:t>
      </w:r>
    </w:p>
    <w:p>
      <w:pPr>
        <w:spacing w:after="120" w:line="340"/>
        <w:jc w:val="both"/>
      </w:pPr>
      <w:r>
        <w:rPr>
          <w:rFonts w:ascii="微軟正黑體" w:cs="微軟正黑體" w:eastAsia="微軟正黑體" w:hAnsi="微軟正黑體"/>
          <w:b/>
          <w:bCs/>
          <w:color w:val="1F4E79"/>
          <w:sz w:val="22"/>
          <w:szCs w:val="22"/>
        </w:rPr>
        <w:t xml:space="preserve">第90題　</w:t>
      </w:r>
      <w:r>
        <w:rPr>
          <w:rFonts w:ascii="微軟正黑體" w:cs="微軟正黑體" w:eastAsia="微軟正黑體" w:hAnsi="微軟正黑體"/>
          <w:sz w:val="22"/>
          <w:szCs w:val="22"/>
        </w:rPr>
        <w:t xml:space="preserve">我國中央政府預算之籌編，由行政院主計總處依據全國總資源供需模型估測總預算的歲出規模，在此範圍內核定分配各個主管機關概算可編列的規模。此制度屬於下列何者？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分配預算制</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行政預算制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計畫預算制</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歲出額度制</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行政院主計總處依全國總資源供需模型，事先估測總預算歲出規模上限，並在此範圍內核定分配各主管機關概算可編列之額度，此即「歲出額度制」（資源總額分配制度），為由上而下控制政府歲出總量之預算籌編機制。　選項辨析：A：分配預算制系指預算執行階段依法定預算按月按期分配之作法，與本題籌編階段設定額度上限之情境不同；B：行政預算制並非我國正式使用之預算制度名稱，與題意不符；C：計畫預算制（PPBS）重在以政策規劃為核心整合預算編制，非本題所述事先核定歲出總額上限之機制。　考點提醒：「歲出額度制」與「資源總額分配制度」為同一制度之不同稱呼，兩者常交替出現於題目，務必辨識為同一考點。</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第14題</w:t>
      </w:r>
    </w:p>
    <w:p>
      <w:pPr>
        <w:spacing w:after="120" w:line="340"/>
        <w:jc w:val="both"/>
      </w:pPr>
      <w:r>
        <w:rPr>
          <w:rFonts w:ascii="微軟正黑體" w:cs="微軟正黑體" w:eastAsia="微軟正黑體" w:hAnsi="微軟正黑體"/>
          <w:b/>
          <w:bCs/>
          <w:color w:val="1F4E79"/>
          <w:sz w:val="22"/>
          <w:szCs w:val="22"/>
        </w:rPr>
        <w:t xml:space="preserve">第91題　</w:t>
      </w:r>
      <w:r>
        <w:rPr>
          <w:rFonts w:ascii="微軟正黑體" w:cs="微軟正黑體" w:eastAsia="微軟正黑體" w:hAnsi="微軟正黑體"/>
          <w:sz w:val="22"/>
          <w:szCs w:val="22"/>
        </w:rPr>
        <w:t xml:space="preserve">一個國家中央與地方政府之間的財政關係應該偏向中央集權還是地方分權，在學理上各有擁護者。下列何者屬於主張財政分權的論點？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促進地方租稅競爭避免地區發展不均衡</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藉由地方選舉壓力提高地方社會福利支出的水準</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強化地方政府依據各地需求提供服務的能力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協助地方擴大支出穩定經濟的彈性</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第15題</w:t>
      </w:r>
    </w:p>
    <w:p>
      <w:pPr>
        <w:spacing w:after="120" w:line="340"/>
        <w:jc w:val="both"/>
      </w:pPr>
      <w:r>
        <w:rPr>
          <w:rFonts w:ascii="微軟正黑體" w:cs="微軟正黑體" w:eastAsia="微軟正黑體" w:hAnsi="微軟正黑體"/>
          <w:b/>
          <w:bCs/>
          <w:color w:val="1F4E79"/>
          <w:sz w:val="22"/>
          <w:szCs w:val="22"/>
        </w:rPr>
        <w:t xml:space="preserve">第92題　</w:t>
      </w:r>
      <w:r>
        <w:rPr>
          <w:rFonts w:ascii="微軟正黑體" w:cs="微軟正黑體" w:eastAsia="微軟正黑體" w:hAnsi="微軟正黑體"/>
          <w:sz w:val="22"/>
          <w:szCs w:val="22"/>
        </w:rPr>
        <w:t xml:space="preserve">全面品質管理被引進公部門後，成為提升政府服務品質的重要方法，下列關於此一管理方法之敘述，何者正確？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強化品質管理部門的權力，詳細檢查生產流程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重視個人直覺和經驗，以持續改善服務的品質</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採品管圈的方法，由員工定期討論和解決問題</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各部門獨立作業，以避免影響其他部門的績效</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正確答案為C。全面品質管理（TQM）引進公部門後，強調由第一線員工透過品管圈（Quality Control Circle, QCC）等方式，定期集會討論工作流程中之問題並提出改善方案，體現由下而上、全員參與持續改善服務品質之精神。　選項辨析：A：TQM強調品質責任分散至組織全體成員，而非強化專責品質管理部門之權力進行檢查管控；B：TQM強調以資料與統計品管工具為基礎之系統性持續改善，而非僅依賴個人直覺與經驗；D：TQM強調跨部門協調整合、以顧客需求為導向之流程改善，而非各部門獨立作業、互不相涉。　考點提醒：全面品質管理核心精神可歸納為「顧客導向、全員參與、持續改善、資料決策」，品管圈為其代表性操作工具。</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第20題</w:t>
      </w:r>
    </w:p>
    <w:p>
      <w:pPr>
        <w:spacing w:after="120" w:line="340"/>
        <w:jc w:val="both"/>
      </w:pPr>
      <w:r>
        <w:rPr>
          <w:rFonts w:ascii="微軟正黑體" w:cs="微軟正黑體" w:eastAsia="微軟正黑體" w:hAnsi="微軟正黑體"/>
          <w:b/>
          <w:bCs/>
          <w:color w:val="1F4E79"/>
          <w:sz w:val="22"/>
          <w:szCs w:val="22"/>
        </w:rPr>
        <w:t xml:space="preserve">第93題　</w:t>
      </w:r>
      <w:r>
        <w:rPr>
          <w:rFonts w:ascii="微軟正黑體" w:cs="微軟正黑體" w:eastAsia="微軟正黑體" w:hAnsi="微軟正黑體"/>
          <w:sz w:val="22"/>
          <w:szCs w:val="22"/>
        </w:rPr>
        <w:t xml:space="preserve">下列對於我國第二預備金制度之敘述，何者正確？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第二預備金於總預算中設定之，其數額不得超過經常支出總額百分之一</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第二預備金之動支，應經立法機關同意後始得動支</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立法機關審議刪除或刪減之預算項目及金額，機關得敘明理由後動支第二 預備金</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因應政事臨時需要必須增加計畫及經費時，機關得申請動支第二預備金</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第12題</w:t>
      </w:r>
    </w:p>
    <w:p>
      <w:pPr>
        <w:spacing w:after="120" w:line="340"/>
        <w:jc w:val="both"/>
      </w:pPr>
      <w:r>
        <w:rPr>
          <w:rFonts w:ascii="微軟正黑體" w:cs="微軟正黑體" w:eastAsia="微軟正黑體" w:hAnsi="微軟正黑體"/>
          <w:b/>
          <w:bCs/>
          <w:color w:val="1F4E79"/>
          <w:sz w:val="22"/>
          <w:szCs w:val="22"/>
        </w:rPr>
        <w:t xml:space="preserve">第94題　</w:t>
      </w:r>
      <w:r>
        <w:rPr>
          <w:rFonts w:ascii="微軟正黑體" w:cs="微軟正黑體" w:eastAsia="微軟正黑體" w:hAnsi="微軟正黑體"/>
          <w:sz w:val="22"/>
          <w:szCs w:val="22"/>
        </w:rPr>
        <w:t xml:space="preserve">所得稅是政府最重要的財政收入來源，惟各國政府基於不同的課徵理念而採行不同的所得稅制，關於所得稅制內涵之敘述，下列何者正確？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累進稅制（progressive system）對於所得層級較高者課以較低比例的稅金，對於所得層級較低者 課以較高比例的稅金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遞減稅制（regressive system）對於所得較高者課以較高比例的稅金，對於所得較低者課以較低 比例的稅金</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平等稅制（equal system）根據法定稅率課徵所得稅，不因納稅人所得金額差異而有不同稅率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混合稅制（mix system）根據性別、年齡、職業及家庭狀況區分課徵等級，同一等級採固定稅率 課徵</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正確答案為C。平等稅制（比例稅制／單一稅率制）系依法定固定稅率課徵所得稅，不因納稅義務人所得金額高低而適用不同稅率，即所有所得均按同一比例課稅。　選項辨析：A：累進稅制應為「所得層級較高者課以較高比例之稅金，所得層級較低者課以較低比例之稅金」，本選項將高低所得之稅率負擔關係顛倒，敘述有誤；B：遞減稅制（累退稅制）應為「所得較高者實際負擔比例較低，所得較低者負擔比例相對較高」，本選項亦將高低所得之稅率負擔關係顛倒；D：混合稅制並非以「性別、年齡、職業、家庭狀況」區分課稅等級之標準稅制概念，此敘述與實際所得稅制設計原理不符。　考點提醒：累進、比例（平等）、累退（遞減）三種稅制的關鍵區辨在於「實際稅率負擔」隨所得升高是提高、不變、還是降低，選項常故意顛倒高低所得的負擔方向，需逐字仔細核對。</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第14題</w:t>
      </w:r>
    </w:p>
    <w:p>
      <w:pPr>
        <w:spacing w:after="120" w:line="340"/>
        <w:jc w:val="both"/>
      </w:pPr>
      <w:r>
        <w:rPr>
          <w:rFonts w:ascii="微軟正黑體" w:cs="微軟正黑體" w:eastAsia="微軟正黑體" w:hAnsi="微軟正黑體"/>
          <w:b/>
          <w:bCs/>
          <w:color w:val="1F4E79"/>
          <w:sz w:val="22"/>
          <w:szCs w:val="22"/>
        </w:rPr>
        <w:t xml:space="preserve">第95題　</w:t>
      </w:r>
      <w:r>
        <w:rPr>
          <w:rFonts w:ascii="微軟正黑體" w:cs="微軟正黑體" w:eastAsia="微軟正黑體" w:hAnsi="微軟正黑體"/>
          <w:sz w:val="22"/>
          <w:szCs w:val="22"/>
        </w:rPr>
        <w:t xml:space="preserve">下列何者不是平衡計分卡所關注的構面？</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策略溝通</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學習與成長</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內部流程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財務</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2026-09-03T17:33:54.550Z</dcterms:created>
  <dcterms:modified xsi:type="dcterms:W3CDTF">2026-09-03T17:33:54.550Z</dcterms:modified>
</cp:coreProperties>
</file>

<file path=docProps/custom.xml><?xml version="1.0" encoding="utf-8"?>
<Properties xmlns="http://schemas.openxmlformats.org/officeDocument/2006/custom-properties" xmlns:vt="http://schemas.openxmlformats.org/officeDocument/2006/docPropsVTypes"/>
</file>