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國家考試行政學：選擇題題庫</w:t>
      </w:r>
    </w:p>
    <w:p>
      <w:pPr>
        <w:spacing w:after="60"/>
        <w:jc w:val="center"/>
      </w:pPr>
      <w:r>
        <w:rPr>
          <w:rFonts w:ascii="微軟正黑體" w:cs="微軟正黑體" w:eastAsia="微軟正黑體" w:hAnsi="微軟正黑體"/>
          <w:b/>
          <w:bCs/>
          <w:color w:val="444444"/>
          <w:sz w:val="28"/>
          <w:szCs w:val="28"/>
        </w:rPr>
        <w:t xml:space="preserve">第20章　策略管理</w:t>
      </w:r>
    </w:p>
    <w:p>
      <w:pPr>
        <w:spacing w:after="400"/>
        <w:jc w:val="center"/>
      </w:pPr>
      <w:r>
        <w:rPr>
          <w:rFonts w:ascii="微軟正黑體" w:cs="微軟正黑體" w:eastAsia="微軟正黑體" w:hAnsi="微軟正黑體"/>
          <w:i/>
          <w:iCs/>
          <w:color w:val="777777"/>
          <w:sz w:val="20"/>
          <w:szCs w:val="20"/>
        </w:rPr>
        <w:t xml:space="preserve">適用：高考三級／普考　一般行政類科　行政學（與《國家考試行政學：從行政學理論到申論實戰》27章對應）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40"/>
              <w:left w:type="dxa" w:w="220"/>
              <w:bottom w:type="dxa" w:w="140"/>
              <w:right w:type="dxa" w:w="220"/>
            </w:tcMar>
          </w:tcPr>
          <w:p>
            <w:pPr>
              <w:spacing w:after="80"/>
            </w:pPr>
            <w:r>
              <w:rPr>
                <w:rFonts w:ascii="微軟正黑體" w:cs="微軟正黑體" w:eastAsia="微軟正黑體" w:hAnsi="微軟正黑體"/>
                <w:b/>
                <w:bCs/>
                <w:color w:val="555555"/>
                <w:sz w:val="20"/>
                <w:szCs w:val="20"/>
              </w:rPr>
              <w:t xml:space="preserve">本章題庫說明</w:t>
            </w:r>
          </w:p>
          <w:p>
            <w:pPr>
              <w:spacing w:line="320"/>
              <w:jc w:val="both"/>
            </w:pPr>
            <w:r>
              <w:rPr>
                <w:rFonts w:ascii="微軟正黑體" w:cs="微軟正黑體" w:eastAsia="微軟正黑體" w:hAnsi="微軟正黑體"/>
                <w:sz w:val="20"/>
                <w:szCs w:val="20"/>
              </w:rPr>
              <w:t xml:space="preserve">本章共收錄9題與本章主題相關之考選部歷屆選擇題真題（107-115年，一般行政類科，含高考三級／普考／原住民族三等／地方特考三等／身心障礙人員三等／關務人員三等等各類三等考試，並含高考二級「行政學研究」與國軍上校／少將轉任考試「行政學」等邊緣類科），每題均標示正確答案；其中精選6題附完整解析（含核心概念說明與選項辨析），其餘題目僅提供正解供讀者自我檢核。若官方公告答案有更正（如「A或D」兩者均給分、「一律給分」等），已於答案處註明並於解析中說明原委。</w:t>
            </w:r>
          </w:p>
        </w:tc>
      </w:tr>
    </w:tbl>
    <w:p>
      <w:pPr>
        <w:spacing w:after="200"/>
      </w:pPr>
    </w:p>
    <w:p>
      <w:pPr>
        <w:spacing w:after="100"/>
      </w:pPr>
      <w:r>
        <w:rPr>
          <w:rFonts w:ascii="微軟正黑體" w:cs="微軟正黑體" w:eastAsia="微軟正黑體" w:hAnsi="微軟正黑體"/>
          <w:i/>
          <w:iCs/>
          <w:color w:val="777777"/>
          <w:sz w:val="18"/>
          <w:szCs w:val="18"/>
        </w:rPr>
        <w:t xml:space="preserve">107年　107年-原三　第24題</w:t>
      </w:r>
    </w:p>
    <w:p>
      <w:pPr>
        <w:spacing w:after="120" w:line="340"/>
        <w:jc w:val="both"/>
      </w:pPr>
      <w:r>
        <w:rPr>
          <w:rFonts w:ascii="微軟正黑體" w:cs="微軟正黑體" w:eastAsia="微軟正黑體" w:hAnsi="微軟正黑體"/>
          <w:b/>
          <w:bCs/>
          <w:color w:val="1F4E79"/>
          <w:sz w:val="22"/>
          <w:szCs w:val="22"/>
        </w:rPr>
        <w:t xml:space="preserve">第1題　</w:t>
      </w:r>
      <w:r>
        <w:rPr>
          <w:rFonts w:ascii="微軟正黑體" w:cs="微軟正黑體" w:eastAsia="微軟正黑體" w:hAnsi="微軟正黑體"/>
          <w:sz w:val="22"/>
          <w:szCs w:val="22"/>
        </w:rPr>
        <w:t xml:space="preserve">所謂一張好的策略地圖要能夠訴說「策略的故事」，並且清楚說明策略的因果關係。因此，策略地圖多運用在策略管理當中的那一個階段？</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策略規劃</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策略執行</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策略評估</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策略回饋</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107年　107年-高考　第21題</w:t>
      </w:r>
    </w:p>
    <w:p>
      <w:pPr>
        <w:spacing w:after="120" w:line="340"/>
        <w:jc w:val="both"/>
      </w:pPr>
      <w:r>
        <w:rPr>
          <w:rFonts w:ascii="微軟正黑體" w:cs="微軟正黑體" w:eastAsia="微軟正黑體" w:hAnsi="微軟正黑體"/>
          <w:b/>
          <w:bCs/>
          <w:color w:val="1F4E79"/>
          <w:sz w:val="22"/>
          <w:szCs w:val="22"/>
        </w:rPr>
        <w:t xml:space="preserve">第2題　</w:t>
      </w:r>
      <w:r>
        <w:rPr>
          <w:rFonts w:ascii="微軟正黑體" w:cs="微軟正黑體" w:eastAsia="微軟正黑體" w:hAnsi="微軟正黑體"/>
          <w:sz w:val="22"/>
          <w:szCs w:val="22"/>
        </w:rPr>
        <w:t xml:space="preserve">關於 SWOT 分析之敘述，下列何者錯誤？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S：優勢；W：劣勢</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O：輸出；T：威脅</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SW 分析著眼於組織自身實力及與競爭對手的比較</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OT 分析著眼於組織外部環境變化及對組織的可能影響</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109年-高考　第16題</w:t>
      </w:r>
    </w:p>
    <w:p>
      <w:pPr>
        <w:spacing w:after="120" w:line="340"/>
        <w:jc w:val="both"/>
      </w:pPr>
      <w:r>
        <w:rPr>
          <w:rFonts w:ascii="微軟正黑體" w:cs="微軟正黑體" w:eastAsia="微軟正黑體" w:hAnsi="微軟正黑體"/>
          <w:b/>
          <w:bCs/>
          <w:color w:val="1F4E79"/>
          <w:sz w:val="22"/>
          <w:szCs w:val="22"/>
        </w:rPr>
        <w:t xml:space="preserve">第3題　</w:t>
      </w:r>
      <w:r>
        <w:rPr>
          <w:rFonts w:ascii="微軟正黑體" w:cs="微軟正黑體" w:eastAsia="微軟正黑體" w:hAnsi="微軟正黑體"/>
          <w:sz w:val="22"/>
          <w:szCs w:val="22"/>
        </w:rPr>
        <w:t xml:space="preserve">有關策略管理在公部門應用所產生的正面效益，不包含下列那一項？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設定卓越標準</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對抗環境的不確定性與變遷性</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指導願景優先順序的排列</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提供控制與評估的基礎</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策略管理引入公部門後的正面效益，一般包括：設定卓越標準、強化組織對抗環境不確定性與變遷的能力、以及提供後續控制與評估的基礎（形成目標—執行—檢核的管理循環）。至於「指導願景優先順序的排列」並非策略管理制度本身直接產生的效益，願景與優先順序的形成屬於策略規劃過程中的一個步驟內容，而非策略管理帶給組織的外部效益項目，故不包含在此。　選項辨析：A：設定卓越標準確為策略管理效益之一，有助於組織自我提升；B：對抗環境不確定性與變遷性亦為策略管理協助組織前瞻因應外部環境的重要效益；D：提供控制與評估的基礎，使組織得以檢視執行成效並回饋修正，同屬策略管理效益。</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110年-原三　第15題</w:t>
      </w:r>
    </w:p>
    <w:p>
      <w:pPr>
        <w:spacing w:after="120" w:line="340"/>
        <w:jc w:val="both"/>
      </w:pPr>
      <w:r>
        <w:rPr>
          <w:rFonts w:ascii="微軟正黑體" w:cs="微軟正黑體" w:eastAsia="微軟正黑體" w:hAnsi="微軟正黑體"/>
          <w:b/>
          <w:bCs/>
          <w:color w:val="1F4E79"/>
          <w:sz w:val="22"/>
          <w:szCs w:val="22"/>
        </w:rPr>
        <w:t xml:space="preserve">第4題　</w:t>
      </w:r>
      <w:r>
        <w:rPr>
          <w:rFonts w:ascii="微軟正黑體" w:cs="微軟正黑體" w:eastAsia="微軟正黑體" w:hAnsi="微軟正黑體"/>
          <w:sz w:val="22"/>
          <w:szCs w:val="22"/>
        </w:rPr>
        <w:t xml:space="preserve">下列何者最不符合公部門在進行策略規劃時所可能面臨的情況？</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人力配置具有充分彈性</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績效評估標準不易釐清</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利害關係人較多元</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運作過程須接受公眾檢視程度較高</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公部門進行策略規劃時，受限於法規制度、預算程序與人事任用（考試、任用資格等）規範，人力配置的彈性通常遠低於私部門，這正是公部門策略管理的一大限制，而非「充分彈性」，故本選項最不符合公部門情況。　選項辨析：B：公部門產出多元且抽象（如公平、正義、服務品質），績效評估標準確實不易釐清，符合公部門特性；C：公部門須回應多元政治行為者與公民等利害關係人，利害關係人確實較多元，符合公部門特性；D：公部門運作受陽光法制、監察與輿論監督，須接受公眾檢視的程度確實較高，符合公部門特性。</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110年-地三　第8題</w:t>
      </w:r>
    </w:p>
    <w:p>
      <w:pPr>
        <w:spacing w:after="120" w:line="340"/>
        <w:jc w:val="both"/>
      </w:pPr>
      <w:r>
        <w:rPr>
          <w:rFonts w:ascii="微軟正黑體" w:cs="微軟正黑體" w:eastAsia="微軟正黑體" w:hAnsi="微軟正黑體"/>
          <w:b/>
          <w:bCs/>
          <w:color w:val="1F4E79"/>
          <w:sz w:val="22"/>
          <w:szCs w:val="22"/>
        </w:rPr>
        <w:t xml:space="preserve">第5題　</w:t>
      </w:r>
      <w:r>
        <w:rPr>
          <w:rFonts w:ascii="微軟正黑體" w:cs="微軟正黑體" w:eastAsia="微軟正黑體" w:hAnsi="微軟正黑體"/>
          <w:sz w:val="22"/>
          <w:szCs w:val="22"/>
        </w:rPr>
        <w:t xml:space="preserve">杜拉克（P. Drucker）指出，組織內部高階管理者之主要功能，不包括下列何項？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維護對外關係</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思考機關使命</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在重大危機時做出決策</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辦理部門採購</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110年　110年-身三　第16題</w:t>
      </w:r>
    </w:p>
    <w:p>
      <w:pPr>
        <w:spacing w:after="120" w:line="340"/>
        <w:jc w:val="both"/>
      </w:pPr>
      <w:r>
        <w:rPr>
          <w:rFonts w:ascii="微軟正黑體" w:cs="微軟正黑體" w:eastAsia="微軟正黑體" w:hAnsi="微軟正黑體"/>
          <w:b/>
          <w:bCs/>
          <w:color w:val="1F4E79"/>
          <w:sz w:val="22"/>
          <w:szCs w:val="22"/>
        </w:rPr>
        <w:t xml:space="preserve">第6題　</w:t>
      </w:r>
      <w:r>
        <w:rPr>
          <w:rFonts w:ascii="微軟正黑體" w:cs="微軟正黑體" w:eastAsia="微軟正黑體" w:hAnsi="微軟正黑體"/>
          <w:sz w:val="22"/>
          <w:szCs w:val="22"/>
        </w:rPr>
        <w:t xml:space="preserve">下列那一個行政學的概念最符合此一定義：「一種有意識的、理性的決策過程，組織藉此塑造目標，然後加以執行與監控，若有內部或外部狀況改變時，就進行調整」？</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策略管理</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科學管理</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變革管理</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走動管理</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正確答案為A。題幹描述「有意識、理性的決策過程，組織藉此塑造目標，加以執行與監控，並隨內外部狀況變化調整」，正是策略管理（strategic management）的核心定義：策略管理是一套持續性的規劃—執行—監控—調整循環過程，用以引導組織達成使命願景與目標。　選項辨析：B：科學管理著重工作方法標準化與效率提升（如泰勒的時間動作研究），非組織整體目標塑造與監控之過程；C：變革管理著重組織變革歷程中的抗拒管理與轉型引導，範疇較侷限於變革本身，非題幹所述完整的目標設定—執行—監控循環；D：走動管理（MBWA）指管理者透過實地走動觀察與溝通了解基層實況，屬管理風格與溝通技巧，非策略決策過程。</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111年-地三　第16題</w:t>
      </w:r>
    </w:p>
    <w:p>
      <w:pPr>
        <w:spacing w:after="120" w:line="340"/>
        <w:jc w:val="both"/>
      </w:pPr>
      <w:r>
        <w:rPr>
          <w:rFonts w:ascii="微軟正黑體" w:cs="微軟正黑體" w:eastAsia="微軟正黑體" w:hAnsi="微軟正黑體"/>
          <w:b/>
          <w:bCs/>
          <w:color w:val="1F4E79"/>
          <w:sz w:val="22"/>
          <w:szCs w:val="22"/>
        </w:rPr>
        <w:t xml:space="preserve">第7題　</w:t>
      </w:r>
      <w:r>
        <w:rPr>
          <w:rFonts w:ascii="微軟正黑體" w:cs="微軟正黑體" w:eastAsia="微軟正黑體" w:hAnsi="微軟正黑體"/>
          <w:sz w:val="22"/>
          <w:szCs w:val="22"/>
        </w:rPr>
        <w:t xml:space="preserve">將卡普蘭（R. Kaplan）與諾頓（D. Norton）所提的平衡計分卡（balanced scorecard）概念導入政府的策略管理時，與企業部門相比，下列那一構面的重要性最可能降低？</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財務構面</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顧客構面</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內部流程構面</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學習與成長構面</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將平衡計分卡（BSC）導入政府部門策略管理時，因政府部門並非以營利為最終目標，財務構面不再是頂端目標，其重要性相對於企業部門而言會降低，通常改以顧客（公民／使命達成）構面居於頂端。　選項辨析：B：顧客構面在政府部門反而更受重視，因公民滿意度與公共服務品質是政府存在的核心價值，重要性不會降低；C：內部流程構面仍是支撐政府達成使命目標的關鍵執行面向，重要性不會降低；D：學習與成長構面作為組織能力建構的基礎構面，於政府部門同樣重要，不會降低。</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111年-身心三　第17題</w:t>
      </w:r>
    </w:p>
    <w:p>
      <w:pPr>
        <w:spacing w:after="120" w:line="340"/>
        <w:jc w:val="both"/>
      </w:pPr>
      <w:r>
        <w:rPr>
          <w:rFonts w:ascii="微軟正黑體" w:cs="微軟正黑體" w:eastAsia="微軟正黑體" w:hAnsi="微軟正黑體"/>
          <w:b/>
          <w:bCs/>
          <w:color w:val="1F4E79"/>
          <w:sz w:val="22"/>
          <w:szCs w:val="22"/>
        </w:rPr>
        <w:t xml:space="preserve">第8題　</w:t>
      </w:r>
      <w:r>
        <w:rPr>
          <w:rFonts w:ascii="微軟正黑體" w:cs="微軟正黑體" w:eastAsia="微軟正黑體" w:hAnsi="微軟正黑體"/>
          <w:sz w:val="22"/>
          <w:szCs w:val="22"/>
        </w:rPr>
        <w:t xml:space="preserve">SWOT 分析法是一種經常被拿來做為組織策略規劃前分析內外環境的方法，下列何者不是 SWOT 分析的四大面向之一？</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優勢（strength）</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劣勢（weakness）</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機會（opportunity）</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即時（timing）</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正確答案為D。SWOT分析的四大構面為優勢（Strength）、劣勢（Weakness）、機會（Opportunity）、威脅（Threat），並無「即時（timing）」此一構面。　選項辨析：A：優勢（strength）確為SWOT四大構面之一；B：劣勢（weakness）確為SWOT四大構面之一；C：機會（opportunity）確為SWOT四大構面之一，惟第四項應為「威脅（threat）」，而非題目所列的「即時（timing）」。</w:t>
            </w:r>
          </w:p>
        </w:tc>
      </w:tr>
    </w:tbl>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第16題</w:t>
      </w:r>
    </w:p>
    <w:p>
      <w:pPr>
        <w:spacing w:after="120" w:line="340"/>
        <w:jc w:val="both"/>
      </w:pPr>
      <w:r>
        <w:rPr>
          <w:rFonts w:ascii="微軟正黑體" w:cs="微軟正黑體" w:eastAsia="微軟正黑體" w:hAnsi="微軟正黑體"/>
          <w:b/>
          <w:bCs/>
          <w:color w:val="1F4E79"/>
          <w:sz w:val="22"/>
          <w:szCs w:val="22"/>
        </w:rPr>
        <w:t xml:space="preserve">第9題　</w:t>
      </w:r>
      <w:r>
        <w:rPr>
          <w:rFonts w:ascii="微軟正黑體" w:cs="微軟正黑體" w:eastAsia="微軟正黑體" w:hAnsi="微軟正黑體"/>
          <w:sz w:val="22"/>
          <w:szCs w:val="22"/>
        </w:rPr>
        <w:t xml:space="preserve">公部門的策略管理常使用SWOT分析以評估機關所處的環境，對於SWOT的敘述，下列何者錯誤？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SW分析是對組織內部的軟體和硬體都進行分析</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OT分析是對組織內部的機會與威脅尋找化解方法</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SW分析包括工作士氣和資訊管理的檢視</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OT分析包括社會經濟環境的分析</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SWOT分析中，機會（O）與威脅（T）是針對組織「外部環境」的分析（如政治、經濟、社會、科技等因素），而非組織內部；且OT分析的目的在於辨識外部環境中的機會與威脅，「尋找化解方法」則屬於後續策略擬定（如SWOT配對／TOWS矩陣）的工作，並非OT分析本身，故本敘述錯誤。　選項辨析：A：SW分析確實是針對組織內部軟體（如人員士氣、文化）與硬體（如設備、資訊系統）進行分析，敘述正確；C：SW分析涵蓋工作士氣與資訊管理等內部軟硬體項目的檢視，敘述正確；D：OT分析確實涵蓋社會經濟環境等外部因素之分析，敘述正確。</w:t>
            </w:r>
          </w:p>
        </w:tc>
      </w:tr>
    </w:tbl>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2026-09-03T17:33:53.899Z</dcterms:created>
  <dcterms:modified xsi:type="dcterms:W3CDTF">2026-09-03T17:33:53.899Z</dcterms:modified>
</cp:coreProperties>
</file>

<file path=docProps/custom.xml><?xml version="1.0" encoding="utf-8"?>
<Properties xmlns="http://schemas.openxmlformats.org/officeDocument/2006/custom-properties" xmlns:vt="http://schemas.openxmlformats.org/officeDocument/2006/docPropsVTypes"/>
</file>