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400"/>
        <w:jc w:val="center"/>
      </w:pPr>
      <w:r>
        <w:rPr>
          <w:rFonts w:ascii="微軟正黑體" w:cs="微軟正黑體" w:eastAsia="微軟正黑體" w:hAnsi="微軟正黑體"/>
          <w:b/>
          <w:bCs/>
          <w:sz w:val="40"/>
          <w:szCs w:val="40"/>
        </w:rPr>
        <w:t xml:space="preserve">國家考試行政學：選擇題題庫</w:t>
      </w:r>
    </w:p>
    <w:p>
      <w:pPr>
        <w:spacing w:after="60"/>
        <w:jc w:val="center"/>
      </w:pPr>
      <w:r>
        <w:rPr>
          <w:rFonts w:ascii="微軟正黑體" w:cs="微軟正黑體" w:eastAsia="微軟正黑體" w:hAnsi="微軟正黑體"/>
          <w:b/>
          <w:bCs/>
          <w:color w:val="444444"/>
          <w:sz w:val="28"/>
          <w:szCs w:val="28"/>
        </w:rPr>
        <w:t xml:space="preserve">第13章　政策執行</w:t>
      </w:r>
    </w:p>
    <w:p>
      <w:pPr>
        <w:spacing w:after="400"/>
        <w:jc w:val="center"/>
      </w:pPr>
      <w:r>
        <w:rPr>
          <w:rFonts w:ascii="微軟正黑體" w:cs="微軟正黑體" w:eastAsia="微軟正黑體" w:hAnsi="微軟正黑體"/>
          <w:i/>
          <w:iCs/>
          <w:color w:val="777777"/>
          <w:sz w:val="20"/>
          <w:szCs w:val="20"/>
        </w:rPr>
        <w:t xml:space="preserve">適用：高考三級／普考　一般行政類科　行政學（與《國家考試行政學：從行政學理論到申論實戰》27章對應）</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2F6FA" w:sz="2"/>
              <w:left w:val="single" w:color="555555" w:sz="24"/>
              <w:bottom w:val="single" w:color="F2F6FA" w:sz="2"/>
              <w:right w:val="single" w:color="F2F6FA" w:sz="2"/>
            </w:tcBorders>
            <w:shd w:fill="F2F6FA" w:val="clear"/>
            <w:tcMar>
              <w:top w:type="dxa" w:w="140"/>
              <w:left w:type="dxa" w:w="220"/>
              <w:bottom w:type="dxa" w:w="140"/>
              <w:right w:type="dxa" w:w="220"/>
            </w:tcMar>
          </w:tcPr>
          <w:p>
            <w:pPr>
              <w:spacing w:after="80"/>
            </w:pPr>
            <w:r>
              <w:rPr>
                <w:rFonts w:ascii="微軟正黑體" w:cs="微軟正黑體" w:eastAsia="微軟正黑體" w:hAnsi="微軟正黑體"/>
                <w:b/>
                <w:bCs/>
                <w:color w:val="555555"/>
                <w:sz w:val="20"/>
                <w:szCs w:val="20"/>
              </w:rPr>
              <w:t xml:space="preserve">本章題庫說明</w:t>
            </w:r>
          </w:p>
          <w:p>
            <w:pPr>
              <w:spacing w:line="320"/>
              <w:jc w:val="both"/>
            </w:pPr>
            <w:r>
              <w:rPr>
                <w:rFonts w:ascii="微軟正黑體" w:cs="微軟正黑體" w:eastAsia="微軟正黑體" w:hAnsi="微軟正黑體"/>
                <w:sz w:val="20"/>
                <w:szCs w:val="20"/>
              </w:rPr>
              <w:t xml:space="preserve">本章共收錄10題與本章主題相關之考選部歷屆選擇題真題（107-115年，一般行政類科，含高考三級／普考／原住民族三等／地方特考三等／身心障礙人員三等／關務人員三等等各類三等考試，並含高考二級「行政學研究」與國軍上校／少將轉任考試「行政學」等邊緣類科），每題均標示正確答案；其中精選6題附完整解析（含核心概念說明與選項辨析），其餘題目僅提供正解供讀者自我檢核。若官方公告答案有更正（如「A或D」兩者均給分、「一律給分」等），已於答案處註明並於解析中說明原委。</w:t>
            </w:r>
          </w:p>
        </w:tc>
      </w:tr>
    </w:tbl>
    <w:p>
      <w:pPr>
        <w:spacing w:after="200"/>
      </w:pPr>
    </w:p>
    <w:p>
      <w:pPr>
        <w:spacing w:after="100"/>
      </w:pPr>
      <w:r>
        <w:rPr>
          <w:rFonts w:ascii="微軟正黑體" w:cs="微軟正黑體" w:eastAsia="微軟正黑體" w:hAnsi="微軟正黑體"/>
          <w:i/>
          <w:iCs/>
          <w:color w:val="777777"/>
          <w:sz w:val="18"/>
          <w:szCs w:val="18"/>
        </w:rPr>
        <w:t xml:space="preserve">108年　108年-原三　第21題</w:t>
      </w:r>
    </w:p>
    <w:p>
      <w:pPr>
        <w:spacing w:after="120" w:line="340"/>
        <w:jc w:val="both"/>
      </w:pPr>
      <w:r>
        <w:rPr>
          <w:rFonts w:ascii="微軟正黑體" w:cs="微軟正黑體" w:eastAsia="微軟正黑體" w:hAnsi="微軟正黑體"/>
          <w:b/>
          <w:bCs/>
          <w:color w:val="1F4E79"/>
          <w:sz w:val="22"/>
          <w:szCs w:val="22"/>
        </w:rPr>
        <w:t xml:space="preserve">第1題　</w:t>
      </w:r>
      <w:r>
        <w:rPr>
          <w:rFonts w:ascii="微軟正黑體" w:cs="微軟正黑體" w:eastAsia="微軟正黑體" w:hAnsi="微軟正黑體"/>
          <w:sz w:val="22"/>
          <w:szCs w:val="22"/>
        </w:rPr>
        <w:t xml:space="preserve">下列何者不是美國公共政策制定過程利益網絡的「鐵三角」？</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行政機關</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國會委員會</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政黨</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利益團體</w:t>
      </w:r>
    </w:p>
    <w:p>
      <w:pPr>
        <w:spacing w:after="200" w:before="40"/>
      </w:pPr>
      <w:r>
        <w:rPr>
          <w:rFonts w:ascii="微軟正黑體" w:cs="微軟正黑體" w:eastAsia="微軟正黑體" w:hAnsi="微軟正黑體"/>
          <w:b/>
          <w:bCs/>
          <w:color w:val="1E7B34"/>
          <w:sz w:val="20"/>
          <w:szCs w:val="20"/>
        </w:rPr>
        <w:t xml:space="preserve">✔ 正解：C</w:t>
      </w:r>
    </w:p>
    <w:p>
      <w:pPr>
        <w:spacing w:after="200"/>
      </w:pPr>
    </w:p>
    <w:p>
      <w:pPr>
        <w:spacing w:after="100"/>
      </w:pPr>
      <w:r>
        <w:rPr>
          <w:rFonts w:ascii="微軟正黑體" w:cs="微軟正黑體" w:eastAsia="微軟正黑體" w:hAnsi="微軟正黑體"/>
          <w:i/>
          <w:iCs/>
          <w:color w:val="777777"/>
          <w:sz w:val="18"/>
          <w:szCs w:val="18"/>
        </w:rPr>
        <w:t xml:space="preserve">108年　108年-身三　第20題</w:t>
      </w:r>
    </w:p>
    <w:p>
      <w:pPr>
        <w:spacing w:after="120" w:line="340"/>
        <w:jc w:val="both"/>
      </w:pPr>
      <w:r>
        <w:rPr>
          <w:rFonts w:ascii="微軟正黑體" w:cs="微軟正黑體" w:eastAsia="微軟正黑體" w:hAnsi="微軟正黑體"/>
          <w:b/>
          <w:bCs/>
          <w:color w:val="1F4E79"/>
          <w:sz w:val="22"/>
          <w:szCs w:val="22"/>
        </w:rPr>
        <w:t xml:space="preserve">第2題　</w:t>
      </w:r>
      <w:r>
        <w:rPr>
          <w:rFonts w:ascii="微軟正黑體" w:cs="微軟正黑體" w:eastAsia="微軟正黑體" w:hAnsi="微軟正黑體"/>
          <w:sz w:val="22"/>
          <w:szCs w:val="22"/>
        </w:rPr>
        <w:t xml:space="preserve">想要解決空氣污染的問題有許多政策工具可供使用，下列何者是屬於誘因型的政策工具？</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一體適用的排放標準</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可交易的污染許可證</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社會賢達的道德勸說</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公益團體的教育宣導</w:t>
      </w:r>
    </w:p>
    <w:p>
      <w:pPr>
        <w:spacing w:after="200" w:before="40"/>
      </w:pPr>
      <w:r>
        <w:rPr>
          <w:rFonts w:ascii="微軟正黑體" w:cs="微軟正黑體" w:eastAsia="微軟正黑體" w:hAnsi="微軟正黑體"/>
          <w:b/>
          <w:bCs/>
          <w:color w:val="1E7B34"/>
          <w:sz w:val="20"/>
          <w:szCs w:val="20"/>
        </w:rPr>
        <w:t xml:space="preserve">✔ 正解：B</w:t>
      </w:r>
    </w:p>
    <w:p>
      <w:pPr>
        <w:spacing w:after="200"/>
      </w:pPr>
    </w:p>
    <w:p>
      <w:pPr>
        <w:spacing w:after="100"/>
      </w:pPr>
      <w:r>
        <w:rPr>
          <w:rFonts w:ascii="微軟正黑體" w:cs="微軟正黑體" w:eastAsia="微軟正黑體" w:hAnsi="微軟正黑體"/>
          <w:i/>
          <w:iCs/>
          <w:color w:val="777777"/>
          <w:sz w:val="18"/>
          <w:szCs w:val="18"/>
        </w:rPr>
        <w:t xml:space="preserve">109年　109年-地三　第19題</w:t>
      </w:r>
    </w:p>
    <w:p>
      <w:pPr>
        <w:spacing w:after="120" w:line="340"/>
        <w:jc w:val="both"/>
      </w:pPr>
      <w:r>
        <w:rPr>
          <w:rFonts w:ascii="微軟正黑體" w:cs="微軟正黑體" w:eastAsia="微軟正黑體" w:hAnsi="微軟正黑體"/>
          <w:b/>
          <w:bCs/>
          <w:color w:val="1F4E79"/>
          <w:sz w:val="22"/>
          <w:szCs w:val="22"/>
        </w:rPr>
        <w:t xml:space="preserve">第3題　</w:t>
      </w:r>
      <w:r>
        <w:rPr>
          <w:rFonts w:ascii="微軟正黑體" w:cs="微軟正黑體" w:eastAsia="微軟正黑體" w:hAnsi="微軟正黑體"/>
          <w:sz w:val="22"/>
          <w:szCs w:val="22"/>
        </w:rPr>
        <w:t xml:space="preserve">政府為何需要進行政策行銷，下列理由何者錯誤？</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爭取民眾對施政的支持</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使民眾願意負擔公共服務的成本</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動員民眾服從政府威權</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提升政策執行者對政策的支持</w:t>
      </w:r>
    </w:p>
    <w:p>
      <w:pPr>
        <w:spacing w:after="200" w:before="40"/>
      </w:pPr>
      <w:r>
        <w:rPr>
          <w:rFonts w:ascii="微軟正黑體" w:cs="微軟正黑體" w:eastAsia="微軟正黑體" w:hAnsi="微軟正黑體"/>
          <w:b/>
          <w:bCs/>
          <w:color w:val="1E7B34"/>
          <w:sz w:val="20"/>
          <w:szCs w:val="20"/>
        </w:rPr>
        <w:t xml:space="preserve">✔ 正解：C</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正確答案為C。政策行銷（policy marketing）係借用行銷學的概念，透過溝通、說服、互惠交換等民主方式，爭取民眾對政策的理解、認同與配合，其本質是雙向溝通而非片面的權威支配；因此「動員民眾服從政府威權」並非政策行銷的正當理由，反而違背政策行銷強調說服而非強制的精神。　選項辨析：A：爭取民眾對施政的支持正是政策行銷的核心目的之一，敘述正確；B：透過行銷讓民眾理解並願意負擔公共服務成本（如使用者付費）也是政策行銷常見目的，敘述正確；D：政策行銷亦包含對內部執行者的行銷，以提升其對政策的認同與支持，敘述正確。</w:t>
            </w:r>
          </w:p>
        </w:tc>
      </w:tr>
    </w:tbl>
    <w:p>
      <w:pPr>
        <w:spacing w:after="200"/>
      </w:pPr>
    </w:p>
    <w:p>
      <w:pPr>
        <w:spacing w:after="100"/>
      </w:pPr>
      <w:r>
        <w:rPr>
          <w:rFonts w:ascii="微軟正黑體" w:cs="微軟正黑體" w:eastAsia="微軟正黑體" w:hAnsi="微軟正黑體"/>
          <w:i/>
          <w:iCs/>
          <w:color w:val="777777"/>
          <w:sz w:val="18"/>
          <w:szCs w:val="18"/>
        </w:rPr>
        <w:t xml:space="preserve">109年　109年-身三　第20題</w:t>
      </w:r>
    </w:p>
    <w:p>
      <w:pPr>
        <w:spacing w:after="120" w:line="340"/>
        <w:jc w:val="both"/>
      </w:pPr>
      <w:r>
        <w:rPr>
          <w:rFonts w:ascii="微軟正黑體" w:cs="微軟正黑體" w:eastAsia="微軟正黑體" w:hAnsi="微軟正黑體"/>
          <w:b/>
          <w:bCs/>
          <w:color w:val="1F4E79"/>
          <w:sz w:val="22"/>
          <w:szCs w:val="22"/>
        </w:rPr>
        <w:t xml:space="preserve">第4題　</w:t>
      </w:r>
      <w:r>
        <w:rPr>
          <w:rFonts w:ascii="微軟正黑體" w:cs="微軟正黑體" w:eastAsia="微軟正黑體" w:hAnsi="微軟正黑體"/>
          <w:sz w:val="22"/>
          <w:szCs w:val="22"/>
        </w:rPr>
        <w:t xml:space="preserve">「政務官制定政策後，事務官遵照上級的決策付諸執行。」關於這段論述，下列何者錯誤？</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反映了由上而下的政策執行觀點</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隱含政治與行政二分的觀點</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假設上級對於政策執行過程能進行有效的控制</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強調基層官僚的裁量權運用</w:t>
      </w:r>
    </w:p>
    <w:p>
      <w:pPr>
        <w:spacing w:after="200" w:before="40"/>
      </w:pPr>
      <w:r>
        <w:rPr>
          <w:rFonts w:ascii="微軟正黑體" w:cs="微軟正黑體" w:eastAsia="微軟正黑體" w:hAnsi="微軟正黑體"/>
          <w:b/>
          <w:bCs/>
          <w:color w:val="1E7B34"/>
          <w:sz w:val="20"/>
          <w:szCs w:val="20"/>
        </w:rPr>
        <w:t xml:space="preserve">✔ 正解：D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D。題幹「政務官制定政策、事務官遵照執行」的論述，反映的是政策執行的由上而下（top-down）觀點，其隱含政治與行政二分的假定，並預設上級能對執行過程進行有效控制；此一觀點強調事務官單純忠實執行上級決策，而非賦予基層官僚自主裁量空間，因此並不強調基層官僚的裁量權運用——這正是由下而上（bottom-up）觀點（如李普斯基Lipsky的街頭官僚理論）所強調之重點，與題幹論述立場相反。　選項辨析：A：題幹論述確實反映由上而下的政策執行觀點，敘述正確；B：政務官決策、事務官執行的分工，確實隱含政治與行政二分的觀點，敘述正確；C：此一論述必然假設上級能有效控制、監督執行過程，敘述正確。</w:t>
            </w:r>
          </w:p>
        </w:tc>
      </w:tr>
    </w:tbl>
    <w:p>
      <w:pPr>
        <w:spacing w:after="200"/>
      </w:pPr>
    </w:p>
    <w:p>
      <w:pPr>
        <w:spacing w:after="100"/>
      </w:pPr>
      <w:r>
        <w:rPr>
          <w:rFonts w:ascii="微軟正黑體" w:cs="微軟正黑體" w:eastAsia="微軟正黑體" w:hAnsi="微軟正黑體"/>
          <w:i/>
          <w:iCs/>
          <w:color w:val="777777"/>
          <w:sz w:val="18"/>
          <w:szCs w:val="18"/>
        </w:rPr>
        <w:t xml:space="preserve">109年　109年-高考　第21題</w:t>
      </w:r>
    </w:p>
    <w:p>
      <w:pPr>
        <w:spacing w:after="120" w:line="340"/>
        <w:jc w:val="both"/>
      </w:pPr>
      <w:r>
        <w:rPr>
          <w:rFonts w:ascii="微軟正黑體" w:cs="微軟正黑體" w:eastAsia="微軟正黑體" w:hAnsi="微軟正黑體"/>
          <w:b/>
          <w:bCs/>
          <w:color w:val="1F4E79"/>
          <w:sz w:val="22"/>
          <w:szCs w:val="22"/>
        </w:rPr>
        <w:t xml:space="preserve">第5題　</w:t>
      </w:r>
      <w:r>
        <w:rPr>
          <w:rFonts w:ascii="微軟正黑體" w:cs="微軟正黑體" w:eastAsia="微軟正黑體" w:hAnsi="微軟正黑體"/>
          <w:sz w:val="22"/>
          <w:szCs w:val="22"/>
        </w:rPr>
        <w:t xml:space="preserve">有關政策行銷，下列敘述何者錯誤？</w:t>
      </w:r>
    </w:p>
    <w:p>
      <w:pPr>
        <w:spacing w:after="60" w:line="320"/>
        <w:ind w:left="504"/>
      </w:pPr>
      <w:r>
        <w:rPr>
          <w:rFonts w:ascii="微軟正黑體" w:cs="微軟正黑體" w:eastAsia="微軟正黑體" w:hAnsi="微軟正黑體"/>
          <w:b/>
          <w:bCs/>
          <w:color w:val="1E7B34"/>
          <w:sz w:val="21"/>
          <w:szCs w:val="21"/>
        </w:rPr>
        <w:t xml:space="preserve">● A．</w:t>
      </w:r>
      <w:r>
        <w:rPr>
          <w:rFonts w:ascii="微軟正黑體" w:cs="微軟正黑體" w:eastAsia="微軟正黑體" w:hAnsi="微軟正黑體"/>
          <w:b/>
          <w:bCs/>
          <w:color w:val="1E7B34"/>
          <w:sz w:val="21"/>
          <w:szCs w:val="21"/>
        </w:rPr>
        <w:t xml:space="preserve">政策行銷是一次性的活動</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政策行銷對象不限於民眾</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媒體公關是政策行銷的手段之一</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政策行銷是建立政府與民眾關係的一種活動</w:t>
      </w:r>
    </w:p>
    <w:p>
      <w:pPr>
        <w:spacing w:after="200" w:before="40"/>
      </w:pPr>
      <w:r>
        <w:rPr>
          <w:rFonts w:ascii="微軟正黑體" w:cs="微軟正黑體" w:eastAsia="微軟正黑體" w:hAnsi="微軟正黑體"/>
          <w:b/>
          <w:bCs/>
          <w:color w:val="1E7B34"/>
          <w:sz w:val="20"/>
          <w:szCs w:val="20"/>
        </w:rPr>
        <w:t xml:space="preserve">✔ 正解：A</w:t>
      </w:r>
    </w:p>
    <w:p>
      <w:pPr>
        <w:spacing w:after="200"/>
      </w:pPr>
    </w:p>
    <w:p>
      <w:pPr>
        <w:spacing w:after="100"/>
      </w:pPr>
      <w:r>
        <w:rPr>
          <w:rFonts w:ascii="微軟正黑體" w:cs="微軟正黑體" w:eastAsia="微軟正黑體" w:hAnsi="微軟正黑體"/>
          <w:i/>
          <w:iCs/>
          <w:color w:val="777777"/>
          <w:sz w:val="18"/>
          <w:szCs w:val="18"/>
        </w:rPr>
        <w:t xml:space="preserve">110年　110年-原三　第24題</w:t>
      </w:r>
    </w:p>
    <w:p>
      <w:pPr>
        <w:spacing w:after="120" w:line="340"/>
        <w:jc w:val="both"/>
      </w:pPr>
      <w:r>
        <w:rPr>
          <w:rFonts w:ascii="微軟正黑體" w:cs="微軟正黑體" w:eastAsia="微軟正黑體" w:hAnsi="微軟正黑體"/>
          <w:b/>
          <w:bCs/>
          <w:color w:val="1F4E79"/>
          <w:sz w:val="22"/>
          <w:szCs w:val="22"/>
        </w:rPr>
        <w:t xml:space="preserve">第6題　</w:t>
      </w:r>
      <w:r>
        <w:rPr>
          <w:rFonts w:ascii="微軟正黑體" w:cs="微軟正黑體" w:eastAsia="微軟正黑體" w:hAnsi="微軟正黑體"/>
          <w:sz w:val="22"/>
          <w:szCs w:val="22"/>
        </w:rPr>
        <w:t xml:space="preserve">有關政策網絡之敘述，下列何者錯誤？</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網絡行動者的資源相互依賴</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通常存在著有絕對主導地位的網絡行動者</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網絡中存在著非正式的規範</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網絡關係可能相當鬆散</w:t>
      </w:r>
    </w:p>
    <w:p>
      <w:pPr>
        <w:spacing w:after="200" w:before="40"/>
      </w:pPr>
      <w:r>
        <w:rPr>
          <w:rFonts w:ascii="微軟正黑體" w:cs="微軟正黑體" w:eastAsia="微軟正黑體" w:hAnsi="微軟正黑體"/>
          <w:b/>
          <w:bCs/>
          <w:color w:val="1E7B34"/>
          <w:sz w:val="20"/>
          <w:szCs w:val="20"/>
        </w:rPr>
        <w:t xml:space="preserve">✔ 正解：B</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正確答案為B。政策網絡（policy network）理論強調網絡中各行動者（政府機關、利益團體、專家學者等）之間基於資源相互依賴而形成互動關係，其權力結構相對分散、互賴，並不存在具有絕對主導地位、能單方支配整個網絡的行動者，此與統合主義或菁英支配模式強調單一支配力量的觀點不同。　選項辨析：A：網絡行動者間資源相互依賴，正是政策網絡理論的核心特徵，敘述正確；C：政策網絡中確實存在許多非正式的互動規範，敘述正確；D：政策網絡依緊密程度可分為緊密的政策社群（policy community）與鬆散的議題網絡（issue network），故網絡關係可能相當鬆散，敘述正確。</w:t>
            </w:r>
          </w:p>
        </w:tc>
      </w:tr>
    </w:tbl>
    <w:p>
      <w:pPr>
        <w:spacing w:after="200"/>
      </w:pPr>
    </w:p>
    <w:p>
      <w:pPr>
        <w:spacing w:after="100"/>
      </w:pPr>
      <w:r>
        <w:rPr>
          <w:rFonts w:ascii="微軟正黑體" w:cs="微軟正黑體" w:eastAsia="微軟正黑體" w:hAnsi="微軟正黑體"/>
          <w:i/>
          <w:iCs/>
          <w:color w:val="777777"/>
          <w:sz w:val="18"/>
          <w:szCs w:val="18"/>
        </w:rPr>
        <w:t xml:space="preserve">110年　110年-警察　第25題</w:t>
      </w:r>
    </w:p>
    <w:p>
      <w:pPr>
        <w:spacing w:after="120" w:line="340"/>
        <w:jc w:val="both"/>
      </w:pPr>
      <w:r>
        <w:rPr>
          <w:rFonts w:ascii="微軟正黑體" w:cs="微軟正黑體" w:eastAsia="微軟正黑體" w:hAnsi="微軟正黑體"/>
          <w:b/>
          <w:bCs/>
          <w:color w:val="1F4E79"/>
          <w:sz w:val="22"/>
          <w:szCs w:val="22"/>
        </w:rPr>
        <w:t xml:space="preserve">第7題　</w:t>
      </w:r>
      <w:r>
        <w:rPr>
          <w:rFonts w:ascii="微軟正黑體" w:cs="微軟正黑體" w:eastAsia="微軟正黑體" w:hAnsi="微軟正黑體"/>
          <w:sz w:val="22"/>
          <w:szCs w:val="22"/>
        </w:rPr>
        <w:t xml:space="preserve">下列何者不是構成鐵三角關係（iron triangle）網絡結構的主要要素？</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民選代議士</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利益團體</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行政官僚</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公民</w:t>
      </w:r>
    </w:p>
    <w:p>
      <w:pPr>
        <w:spacing w:after="200" w:before="40"/>
      </w:pPr>
      <w:r>
        <w:rPr>
          <w:rFonts w:ascii="微軟正黑體" w:cs="微軟正黑體" w:eastAsia="微軟正黑體" w:hAnsi="微軟正黑體"/>
          <w:b/>
          <w:bCs/>
          <w:color w:val="1E7B34"/>
          <w:sz w:val="20"/>
          <w:szCs w:val="20"/>
        </w:rPr>
        <w:t xml:space="preserve">✔ 正解：D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正確答案為D。鐵三角（iron triangle）指國會中的常設委員會／民選代議士、行政官僚（主管機關）與相關利益團體三方，基於共同利益長期形成穩定、互惠、相對封閉的決策聯盟；一般公民個人並非鐵三角的構成要素，反而常因此封閉結構被排除於決策過程之外，這也是鐵三角備受民主課責質疑的原因。　選項辨析：A：民選代議士（國會議員及其委員會）是鐵三角的組成要素之一；B：利益團體是鐵三角的組成要素之一；C：行政官僚（主管機關）是鐵三角的組成要素之一。</w:t>
            </w:r>
          </w:p>
        </w:tc>
      </w:tr>
    </w:tbl>
    <w:p>
      <w:pPr>
        <w:spacing w:after="200"/>
      </w:pPr>
    </w:p>
    <w:p>
      <w:pPr>
        <w:spacing w:after="100"/>
      </w:pPr>
      <w:r>
        <w:rPr>
          <w:rFonts w:ascii="微軟正黑體" w:cs="微軟正黑體" w:eastAsia="微軟正黑體" w:hAnsi="微軟正黑體"/>
          <w:i/>
          <w:iCs/>
          <w:color w:val="777777"/>
          <w:sz w:val="18"/>
          <w:szCs w:val="18"/>
        </w:rPr>
        <w:t xml:space="preserve">111年　111年-地三　第20題</w:t>
      </w:r>
    </w:p>
    <w:p>
      <w:pPr>
        <w:spacing w:after="120" w:line="340"/>
        <w:jc w:val="both"/>
      </w:pPr>
      <w:r>
        <w:rPr>
          <w:rFonts w:ascii="微軟正黑體" w:cs="微軟正黑體" w:eastAsia="微軟正黑體" w:hAnsi="微軟正黑體"/>
          <w:b/>
          <w:bCs/>
          <w:color w:val="1F4E79"/>
          <w:sz w:val="22"/>
          <w:szCs w:val="22"/>
        </w:rPr>
        <w:t xml:space="preserve">第8題　</w:t>
      </w:r>
      <w:r>
        <w:rPr>
          <w:rFonts w:ascii="微軟正黑體" w:cs="微軟正黑體" w:eastAsia="微軟正黑體" w:hAnsi="微軟正黑體"/>
          <w:sz w:val="22"/>
          <w:szCs w:val="22"/>
        </w:rPr>
        <w:t xml:space="preserve">近年來因 COVID-19 疫情，我國中央疫情指揮中心在 2022 年推動實聯制與隔離政策引發若干爭議，批評者認為導致許多所謂「黑數」的產生。從公共政策的角度分析，黑數的產生與下列那個環節的關係最為密切？</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議程設定</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政策終結</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政策順服</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政策合法化</w:t>
      </w:r>
    </w:p>
    <w:p>
      <w:pPr>
        <w:spacing w:after="200" w:before="40"/>
      </w:pPr>
      <w:r>
        <w:rPr>
          <w:rFonts w:ascii="微軟正黑體" w:cs="微軟正黑體" w:eastAsia="微軟正黑體" w:hAnsi="微軟正黑體"/>
          <w:b/>
          <w:bCs/>
          <w:color w:val="1E7B34"/>
          <w:sz w:val="20"/>
          <w:szCs w:val="20"/>
        </w:rPr>
        <w:t xml:space="preserve">✔ 正解：C</w:t>
      </w:r>
    </w:p>
    <w:p>
      <w:pPr>
        <w:spacing w:after="200"/>
      </w:pPr>
    </w:p>
    <w:p>
      <w:pPr>
        <w:spacing w:after="100"/>
      </w:pPr>
      <w:r>
        <w:rPr>
          <w:rFonts w:ascii="微軟正黑體" w:cs="微軟正黑體" w:eastAsia="微軟正黑體" w:hAnsi="微軟正黑體"/>
          <w:i/>
          <w:iCs/>
          <w:color w:val="777777"/>
          <w:sz w:val="18"/>
          <w:szCs w:val="18"/>
        </w:rPr>
        <w:t xml:space="preserve">111年　111年-身心三　第2題</w:t>
      </w:r>
    </w:p>
    <w:p>
      <w:pPr>
        <w:spacing w:after="120" w:line="340"/>
        <w:jc w:val="both"/>
      </w:pPr>
      <w:r>
        <w:rPr>
          <w:rFonts w:ascii="微軟正黑體" w:cs="微軟正黑體" w:eastAsia="微軟正黑體" w:hAnsi="微軟正黑體"/>
          <w:b/>
          <w:bCs/>
          <w:color w:val="1F4E79"/>
          <w:sz w:val="22"/>
          <w:szCs w:val="22"/>
        </w:rPr>
        <w:t xml:space="preserve">第9題　</w:t>
      </w:r>
      <w:r>
        <w:rPr>
          <w:rFonts w:ascii="微軟正黑體" w:cs="微軟正黑體" w:eastAsia="微軟正黑體" w:hAnsi="微軟正黑體"/>
          <w:sz w:val="22"/>
          <w:szCs w:val="22"/>
        </w:rPr>
        <w:t xml:space="preserve">某甲想研究規範鐵三角（iron triangle）行為的相關法律，下列何者最不是某甲參照的法律？</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遊說法</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政治獻金法</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行政執行法</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公務員服務法</w:t>
      </w:r>
    </w:p>
    <w:p>
      <w:pPr>
        <w:spacing w:after="200" w:before="40"/>
      </w:pPr>
      <w:r>
        <w:rPr>
          <w:rFonts w:ascii="微軟正黑體" w:cs="微軟正黑體" w:eastAsia="微軟正黑體" w:hAnsi="微軟正黑體"/>
          <w:b/>
          <w:bCs/>
          <w:color w:val="1E7B34"/>
          <w:sz w:val="20"/>
          <w:szCs w:val="20"/>
        </w:rPr>
        <w:t xml:space="preserve">✔ 正解：C</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正確答案為C。鐵三角（iron triangle）現象涉及民選代議士、行政官僚與利益團體三方間的封閉利益聯盟，我國相關規範法律包括規範遊說行為的遊說法、規範政治獻金往來的政治獻金法，以及規範公務員操守與利益迴避的公務員服務法；行政執行法則是規範行政機關對公法上金錢給付義務等強制執行程序的法律，其立法目的與鐵三角現象的規範較無直接關聯。　選項辨析：A：遊說法直接規範利益團體對國會與行政機關的遊說行為，與鐵三角高度相關；B：政治獻金法規範政治獻金的收受與揭露，用以防範金錢政治滲透鐵三角關係，與其高度相關；D：公務員服務法規範公務員（行政官僚）的操守、兼職限制與利益迴避，與鐵三角中行政官僚一角高度相關。</w:t>
            </w:r>
          </w:p>
        </w:tc>
      </w:tr>
    </w:tbl>
    <w:p>
      <w:pPr>
        <w:spacing w:after="200"/>
      </w:pPr>
    </w:p>
    <w:p>
      <w:pPr>
        <w:spacing w:after="100"/>
      </w:pPr>
      <w:r>
        <w:rPr>
          <w:rFonts w:ascii="微軟正黑體" w:cs="微軟正黑體" w:eastAsia="微軟正黑體" w:hAnsi="微軟正黑體"/>
          <w:i/>
          <w:iCs/>
          <w:color w:val="777777"/>
          <w:sz w:val="18"/>
          <w:szCs w:val="18"/>
        </w:rPr>
        <w:t xml:space="preserve">112090年　112090_0301_行政學　第20題</w:t>
      </w:r>
    </w:p>
    <w:p>
      <w:pPr>
        <w:spacing w:after="120" w:line="340"/>
        <w:jc w:val="both"/>
      </w:pPr>
      <w:r>
        <w:rPr>
          <w:rFonts w:ascii="微軟正黑體" w:cs="微軟正黑體" w:eastAsia="微軟正黑體" w:hAnsi="微軟正黑體"/>
          <w:b/>
          <w:bCs/>
          <w:color w:val="1F4E79"/>
          <w:sz w:val="22"/>
          <w:szCs w:val="22"/>
        </w:rPr>
        <w:t xml:space="preserve">第10題　</w:t>
      </w:r>
      <w:r>
        <w:rPr>
          <w:rFonts w:ascii="微軟正黑體" w:cs="微軟正黑體" w:eastAsia="微軟正黑體" w:hAnsi="微軟正黑體"/>
          <w:sz w:val="22"/>
          <w:szCs w:val="22"/>
        </w:rPr>
        <w:t xml:space="preserve">有關政策執行的工具，下列敘述何者錯誤？</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「使用者付費」是從需求面改變使用者的行為誘因</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「解除管制」是讓市場自由化</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「道德勸說」強調市場功能的發揮</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「過渡期補助」是政府提供民眾生活保障的一環</w:t>
      </w:r>
    </w:p>
    <w:p>
      <w:pPr>
        <w:spacing w:after="200" w:before="40"/>
      </w:pPr>
      <w:r>
        <w:rPr>
          <w:rFonts w:ascii="微軟正黑體" w:cs="微軟正黑體" w:eastAsia="微軟正黑體" w:hAnsi="微軟正黑體"/>
          <w:b/>
          <w:bCs/>
          <w:color w:val="1E7B34"/>
          <w:sz w:val="20"/>
          <w:szCs w:val="20"/>
        </w:rPr>
        <w:t xml:space="preserve">✔ 正解：C</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正確答案為C。道德勸說（moral suasion）屬於象徵性、勸導性的政策工具，透過訴諸社會價值觀念、道德規範與輿論力量，鼓勵民眾自願配合政策方向，其運作邏輯是訴諸價值與情感認同，而非強調市場機制或價格誘因的發揮，故「強調市場功能的發揮」之敘述明顯錯誤。　選項辨析：A：使用者付費是透過向使用者收取費用，從需求面改變其使用行為的市場性誘因工具，敘述正確；B：解除管制的目的即在鬆綁管制、讓市場機能自由運作，敘述正確；D：過渡期補助是政府在政策轉型期間提供民眾生活保障的給付性工具，敘述正確。</w:t>
            </w:r>
          </w:p>
        </w:tc>
      </w:tr>
    </w:tbl>
    <w:p>
      <w:pPr>
        <w:spacing w:after="200"/>
      </w:pP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微軟正黑體" w:cs="微軟正黑體" w:eastAsia="微軟正黑體" w:hAnsi="微軟正黑體"/>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2026-09-03T17:33:52.651Z</dcterms:created>
  <dcterms:modified xsi:type="dcterms:W3CDTF">2026-09-03T17:33:52.652Z</dcterms:modified>
</cp:coreProperties>
</file>

<file path=docProps/custom.xml><?xml version="1.0" encoding="utf-8"?>
<Properties xmlns="http://schemas.openxmlformats.org/officeDocument/2006/custom-properties" xmlns:vt="http://schemas.openxmlformats.org/officeDocument/2006/docPropsVTypes"/>
</file>