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第9章　治理典範</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40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16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第20題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下列有關行政理論之核心價值的比較，何者錯誤？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新公共管理組織理念在於市場，新公共服務組織理念在於社群</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新公共管理協調機制在於信任，新公共服務協調機制在於價格</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新公共管理行政人員課責對象是顧客，新公共服務行政人員課責對象是公民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新公共管理政府角色是導航者，新公共服務政府角色是服務者</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108年-原三　第2題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下列何者為新公共服務治理模式的基礎與政府的角色？</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市場／導航</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社群／划槳</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市場／服務</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社群／服務</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108年-原三　第25題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下列那一種作法無益於政府跨部會協調合作？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讓相關部門有平等參與及發聲的機會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增加部會之間的互動頻率</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暫不顯示部門所擁有之資源，以作為協調談判的籌碼</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資訊共享</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108年-地三　第22題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探討中央與地方府際合作的困境與解決機制時，下列何項學理無直接關聯？</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多層次治理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分權理論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政策網路</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多數決矛盾</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第25題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下列何者不屬於成功的跨域治理所需的關鍵要素？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相關部門之間利益的互惠共享</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相關部門都認同的公共利益與價值</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跨域治理的目標與各部門的目標相容</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相關部門嚴守專業籓籬，在自己的專業領域中做到最好</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108年-警察　第10題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網絡社會下的單一制政府，最有可能出現下列何種趨勢？</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中央政府的權力向下移轉</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各級政府的界線更加分明</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地方政府集權分配資源</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各級政府不再需要相互合作</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108年-身三　第2題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下列何者為美國新公共服務的基本理論觀點之一？</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強調憲政價值</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新威權主義</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新福特主義</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強調消費者選擇權</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108年-高考　第2題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「新公共服務」是以下列何者作為主要的協調機制？</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組織層級</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市場價格</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網絡互動</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政治權威</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108年-高考　第25題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公私部門常在政策過程中形成複雜的互動關係，羅迪斯（Rhodes）就此提出權力依賴理論（Theoryof Power Dependency），下列何者不符合其理論內涵？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每個組織都依賴其他組織提供資源</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為了達成自身目標，每個組織都必須相互交換資源</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優勢聯盟（dominant coalition）對政策產出有一定程度的裁量權</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國家還是能夠在治理過程中保有其獨特、單向的高影響力地位</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109年-原三　第2題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某乙認為一個運作良好的政府，應該將政府定位為提供服務的角色，將民眾視為可以一同研討公共事務、尋找公共利益，甚至解決公共問題的夥伴。某乙對政府的認知，與下列那一公共管理模式最為吻合？</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傳統公共行政</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新公共管理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新績效管理</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新公共服務</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109年-原三　第21題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在強調「治理」的現代，國家整體治理結構，已出現權力移轉型態，這些型態中最不包括下列那一項？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向上移轉至國際行動者與組織</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向下移轉至區域、城市和社區</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向內移轉至行政管理者</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向外移轉至其他眾多非政府行動者</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109年-地三　第3題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下列何者非新公共服務的核心概念？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強調公共利益的追求</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強調公民參與</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效率思維與風險承擔</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政府的角色是提供服務的公僕</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109年-地三　第20題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政府制訂「直轄市縣（市）政府災害防救相互支援協定作業規定」時，較無須考量下列何者？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府際關係</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府會關係</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組織協力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規模經濟</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109年-地三　第21題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有關跨域治理特質的描述，下列何者錯誤？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跨域治理蘊含一種系統性的思維</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跨域治理強調組織網絡的互賴性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跨域治理強調組織間的整合</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跨域協力即代表公私合夥</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109年-身三　第24題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下列何項政府事務未涉及跨域治理？</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縣市空污防制整治</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兩岸共同打擊犯罪及司法互助機制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區域流域管理</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公務人員年終考績</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109年-高考　第22題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下列何者不是跨域治理發展的主要驅動力？</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跨行政區域的公共建設</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政策議題的跨區域特質</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生產公共財的規模效益</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政策制定的模仿與趨同</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110年　110年-原三　第13題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「參與式預算」為一使民眾藉由公民審議及溝通協調的方式，參與政府的預算決策過程，促進公共資源做出更合理的分配的一種制度。這個制度最符合下列何者之特徵？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政治與行政二分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價值中立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企業化政府</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公共治理</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參與式預算透過公民審議與溝通協調參與預算決策，體現的是「治理」（governance）典範下多元行為者共同參與、協力決策的精神，而非傳統官僚由上而下的決策模式。本題答案為(D)公共治理。　選項辨析：A：政治與行政二分主張行政應價值中立、僅執行既定政策，與公民參與決策的精神相悖；B：價值中立強調行政不涉入價值判斷，與參與式預算強調公民審議的價值溝通性質不符；C：企業化政府著重效率、市場機制與顧客導向，非以公民審議為核心特徵。　考點提醒：凡題幹出現「公民審議」「溝通協調」「多元參與者共同決策」等關鍵字，多指向「治理」而非「企業型政府」。</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第21題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下列何者為跨域治理所具有的特徵？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蘊含開放政府（open government）的理念</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著重探討個人層次的問題與意涵</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環境具有高度穩定性</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參與者之間具有相依性</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跨域治理（cross-boundary governance）指涉及多個轄區、部門或層級之公共事務治理，其核心特徵為各參與者（政府、民間、社區）之間具有高度的相互依賴性（interdependence），須透過協調與網絡合作共同解決單一組織無法獨力處理的問題。本題答案為(D)。　選項辨析：A：開放政府強調資訊公開與公民參與，屬治理典範之一環，但非跨域治理之核心定義特徵；B：跨域治理著重的是跨組織、跨層級之集體層次問題，而非個人層次；C：跨域治理所處環境通常具高度複雜與不確定性，而非穩定性。　考點提醒：跨域治理三大關鍵字為「相依性」「資源共享」「協力網絡」，作答時可優先鎖定「相依性」此一最核心特徵。</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第2題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下列何者非屬彼得斯（B. Guy Peters）所提出的四種政府未來治理模式？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市場式政府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參與式政府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解制式政府</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大有為政府</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彼得斯（B. Guy Peters）提出政府未來治理的四種模式：市場式政府（market government）、參與式政府（participatory government）、彈性化政府（flexible government）與解制式政府（deregulated government），分別對應不同的病理診斷與改革處方。本題答案為(D)，「大有為政府」並非彼得斯所提出之模式名稱。　選項辨析：A：市場式政府是彼得斯四模式之一，主張以市場機制、分權授能改造官僚體制；B：參與式政府是彼得斯四模式之一，主張擴大基層員工與公民參與；C：解制式政府是彼得斯四模式之一，主張鬆綁內部管制、釋放行政裁量。　考點提醒：彼得斯四模式須與其病理診斷與藥方（market/participation/flexibility/deregulation）成組記憶，「大有為政府」不在其中，是常見誘答選項。</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第7題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當政府不再嘗試自己去做每件事情，而是透過契約提供資金給其他組織（包括非營利組織、私部門等）來完成政府想要完成的工作，此一治理模式最接近下列那一種組織形式？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科層組織</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事業型組織</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功能型組織</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網絡式組織</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110年　110年-身三　第22題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有關治理模式之一的參與模式（participatory model）特質之敘述，下列何者錯誤？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強調政府部門基層員工的參與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強調公共服務接受者的參與</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建構創新的結構以提供暢通的溝通管道</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決策者應具有企業家的精神</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彼得斯參與模式（participatory model）強調透過扁平化結構、暢通溝通管道，讓政府基層員工與公共服務接受者（公民）皆能參與決策；至於「決策者應具企業家精神」則屬於市場模式（market model）之特質，強調以企業精神、市場機制改造官僚體系，並非參與模式之特徵。本題答案為(D)。　選項辨析：A：強調基層員工參與是參與模式之核心主張，敘述正確；B：強調服務接受者（公民）參與亦是參與模式之核心主張，敘述正確；C：建構暢通溝通管道與創新結構，是參與模式落實由下而上參與之具體作法，敘述正確。　考點提醒：「企業家精神」是市場模式的關鍵字，「參與、扁平化、暢通溝通」才是參與模式的關鍵字，考題常將兩模式特質互相置換以測試辨識能力。</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第24題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下列何者不是市場導向的治理模式？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分權與授權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創造競爭機制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引進非政府組織提供公共服務</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增加永業化公共組織成員</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市場導向的治理模式強調透過分權授權、引進競爭機制、開放非政府組織參與公共服務提供等方式，打破官僚體系的獨占地位；而「增加永業化公共組織成員」意指擴大常任文官編制，屬於強化科層官僚體制之作法，與市場導向治理理念相反。本題答案為(D)。　選項辨析：A：分權與授權是市場導向治理打破集權官僚體制的典型手段；B：創造競爭機制是市場治理模式的核心精神；C：引進非政府組織提供公共服務是市場治理模式常見的多元供給安排。　考點提醒：「永業化、常任文官擴編」屬傳統官僚典範特徵，與市場導向治理（強調彈性、競爭、多元供給者）方向相反，是本題辨識重點。</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111年-原三　第25題</w:t>
      </w:r>
    </w:p>
    <w:p>
      <w:pPr>
        <w:spacing w:after="120" w:line="340"/>
        <w:jc w:val="both"/>
      </w:pPr>
      <w:r>
        <w:rPr>
          <w:rFonts w:ascii="微軟正黑體" w:cs="微軟正黑體" w:eastAsia="微軟正黑體" w:hAnsi="微軟正黑體"/>
          <w:b/>
          <w:bCs/>
          <w:color w:val="1F4E79"/>
          <w:sz w:val="22"/>
          <w:szCs w:val="22"/>
        </w:rPr>
        <w:t xml:space="preserve">第23題　</w:t>
      </w:r>
      <w:r>
        <w:rPr>
          <w:rFonts w:ascii="微軟正黑體" w:cs="微軟正黑體" w:eastAsia="微軟正黑體" w:hAnsi="微軟正黑體"/>
          <w:sz w:val="22"/>
          <w:szCs w:val="22"/>
        </w:rPr>
        <w:t xml:space="preserve">下列那一個概念的提出，對擴大公共行政研究範疇的影響最大？</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企業型政府</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公共治理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去管制化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地方分權</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治理」（governance）概念的提出，將公共行政的研究範疇從傳統以政府機關為中心，擴展至涵蓋市場、第三部門、公民社會等多元行為者互動的網絡關係，被視為對公共行政研究範疇擴張影響最大的典範轉移概念。本題答案為(B)。　選項辨析：A：企業型政府聚焦於政府內部管理效率之提升，範疇仍侷限於政府組織本身；C：去管制化是治理工具之一，屬於較具體之政策手段，非擴大研究範疇的典範性概念；D：地方分權屬於政府體制內部權力配置之議題，範疇擴張效果不及治理概念。　考點提醒：「治理」概念的最大貢獻在於打破「政府＝公共行政研究唯一主體」的預設，納入多元行動者，是理解本章與跨章脈絡的核心。</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第2題</w:t>
      </w:r>
    </w:p>
    <w:p>
      <w:pPr>
        <w:spacing w:after="120" w:line="340"/>
        <w:jc w:val="both"/>
      </w:pPr>
      <w:r>
        <w:rPr>
          <w:rFonts w:ascii="微軟正黑體" w:cs="微軟正黑體" w:eastAsia="微軟正黑體" w:hAnsi="微軟正黑體"/>
          <w:b/>
          <w:bCs/>
          <w:color w:val="1F4E79"/>
          <w:sz w:val="22"/>
          <w:szCs w:val="22"/>
        </w:rPr>
        <w:t xml:space="preserve">第24題　</w:t>
      </w:r>
      <w:r>
        <w:rPr>
          <w:rFonts w:ascii="微軟正黑體" w:cs="微軟正黑體" w:eastAsia="微軟正黑體" w:hAnsi="微軟正黑體"/>
          <w:sz w:val="22"/>
          <w:szCs w:val="22"/>
        </w:rPr>
        <w:t xml:space="preserve">政府並非當前公共事務的唯一參與者，取而代之的是跨部門合作之趨勢遞增，下列概念中何者最能呼應這類現象？</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公共治理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管制治理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公司治理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全球治理</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政府並非公共事務唯一參與者、跨部門合作趨勢遞增，正是「治理」（governance）概念的核心命題，強調政府、市場與公民社會共同參與公共事務之網絡協力關係。本題答案為(A)。　選項辨析：B：管制治理聚焦於特定管制政策領域之治理安排，範疇較窄，非用以描述跨部門協力的一般性概念；C：公司治理是企業內部董事會與經理人間之權責關係，與公共事務跨部門合作無關；D：全球治理聚焦於跨國家層次之治理議題，範疇不同於題幹所指之一般公共事務跨部門合作。　考點提醒：題幹關鍵字「政府非唯一參與者」「跨部門合作」是「治理（governance）」概念的教科書式定義句，務必牢記此對應關係。</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第3題</w:t>
      </w:r>
    </w:p>
    <w:p>
      <w:pPr>
        <w:spacing w:after="120" w:line="340"/>
        <w:jc w:val="both"/>
      </w:pPr>
      <w:r>
        <w:rPr>
          <w:rFonts w:ascii="微軟正黑體" w:cs="微軟正黑體" w:eastAsia="微軟正黑體" w:hAnsi="微軟正黑體"/>
          <w:b/>
          <w:bCs/>
          <w:color w:val="1F4E79"/>
          <w:sz w:val="22"/>
          <w:szCs w:val="22"/>
        </w:rPr>
        <w:t xml:space="preserve">第25題　</w:t>
      </w:r>
      <w:r>
        <w:rPr>
          <w:rFonts w:ascii="微軟正黑體" w:cs="微軟正黑體" w:eastAsia="微軟正黑體" w:hAnsi="微軟正黑體"/>
          <w:sz w:val="22"/>
          <w:szCs w:val="22"/>
        </w:rPr>
        <w:t xml:space="preserve">當前許多公共事務不再由政府負起單一責任，而出現與民間團體尋求協力合作的趨勢，下列何者最能解釋前述現象？</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公民社會崛起</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恐怖主義橫行</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資本自由流動</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軍備競賽加劇</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第4題</w:t>
      </w:r>
    </w:p>
    <w:p>
      <w:pPr>
        <w:spacing w:after="120" w:line="340"/>
        <w:jc w:val="both"/>
      </w:pPr>
      <w:r>
        <w:rPr>
          <w:rFonts w:ascii="微軟正黑體" w:cs="微軟正黑體" w:eastAsia="微軟正黑體" w:hAnsi="微軟正黑體"/>
          <w:b/>
          <w:bCs/>
          <w:color w:val="1F4E79"/>
          <w:sz w:val="22"/>
          <w:szCs w:val="22"/>
        </w:rPr>
        <w:t xml:space="preserve">第26題　</w:t>
      </w:r>
      <w:r>
        <w:rPr>
          <w:rFonts w:ascii="微軟正黑體" w:cs="微軟正黑體" w:eastAsia="微軟正黑體" w:hAnsi="微軟正黑體"/>
          <w:sz w:val="22"/>
          <w:szCs w:val="22"/>
        </w:rPr>
        <w:t xml:space="preserve">下列何者不是「新公共服務」特別強調的價值觀？</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民主</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市場</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公共利益</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新公共服務（New Public Service）由丹哈特夫婦（Denhardt &amp; Denhardt）提出，強調民主、公民資格、公共利益等核心價值，主張行政人員應服務公民而非顧客、重視對話與協力而非僅追求效率；相對地，「市場」機制與競爭效率是新公共管理（NPM）所強調的核心價值，並非新公共服務的重點。本題答案為(C)。　選項辨析：A：民主是新公共服務的核心價值之一，強調行政應服務於民主治理過程；B：公民（而非顧客）是新公共服務的核心關懷，主張行政人員應視民眾為具有權利與責任的公民；D：公共利益是新公共服務所強調、視為對話與共享價值結果的核心概念。　考點提醒：「服務公民（非顧客）」與「重視對話而非市場競爭」是新公共服務與新公共管理最鮮明的對比點，凡選項出現「市場」通常是誘答新公共管理的選項。</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第13題</w:t>
      </w:r>
    </w:p>
    <w:p>
      <w:pPr>
        <w:spacing w:after="120" w:line="340"/>
        <w:jc w:val="both"/>
      </w:pPr>
      <w:r>
        <w:rPr>
          <w:rFonts w:ascii="微軟正黑體" w:cs="微軟正黑體" w:eastAsia="微軟正黑體" w:hAnsi="微軟正黑體"/>
          <w:b/>
          <w:bCs/>
          <w:color w:val="1F4E79"/>
          <w:sz w:val="22"/>
          <w:szCs w:val="22"/>
        </w:rPr>
        <w:t xml:space="preserve">第27題　</w:t>
      </w:r>
      <w:r>
        <w:rPr>
          <w:rFonts w:ascii="微軟正黑體" w:cs="微軟正黑體" w:eastAsia="微軟正黑體" w:hAnsi="微軟正黑體"/>
          <w:sz w:val="22"/>
          <w:szCs w:val="22"/>
        </w:rPr>
        <w:t xml:space="preserve">下列何者與政策創新擴散的原因沒有直接關聯？</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政策學習（policy learning）</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政策僭越（policy preemption）</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政策移轉（policy transfer）</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府際競爭（intergovernmental competition）</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第22題</w:t>
      </w:r>
    </w:p>
    <w:p>
      <w:pPr>
        <w:spacing w:after="120" w:line="340"/>
        <w:jc w:val="both"/>
      </w:pPr>
      <w:r>
        <w:rPr>
          <w:rFonts w:ascii="微軟正黑體" w:cs="微軟正黑體" w:eastAsia="微軟正黑體" w:hAnsi="微軟正黑體"/>
          <w:b/>
          <w:bCs/>
          <w:color w:val="1F4E79"/>
          <w:sz w:val="22"/>
          <w:szCs w:val="22"/>
        </w:rPr>
        <w:t xml:space="preserve">第28題　</w:t>
      </w:r>
      <w:r>
        <w:rPr>
          <w:rFonts w:ascii="微軟正黑體" w:cs="微軟正黑體" w:eastAsia="微軟正黑體" w:hAnsi="微軟正黑體"/>
          <w:sz w:val="22"/>
          <w:szCs w:val="22"/>
        </w:rPr>
        <w:t xml:space="preserve">下述何者最不適合用來理解跨域治理下之各行為者間的互動關係與協力合作機制？</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賽局理論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交易成本</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空間理論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府際關係</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理解跨域治理下各行為者間的互動與協力機制，常運用賽局理論（分析策略互動與合作誘因）、交易成本理論（分析協力之成本與治理結構選擇）與府際關係理論（分析不同層級政府間的權責與互動），這些皆為跨域治理研究常用之分析工具；相對地，空間理論（多用於政黨競爭、選民偏好等政治空間定位分析）與跨域治理行為者互動機制的關聯性較低。本題答案為(C)。　選項辨析：A：賽局理論可分析跨域治理中各行為者的策略互動與合作、背叛誘因，是常用分析工具；B：交易成本理論可分析跨域協力安排背後的成本考量與治理結構選擇，是常用分析工具；D：府際關係本身即是跨域治理最直接相關的理論脈絡，用以分析中央與地方或地方間之權責互動。　考點提醒：空間理論主要用於分析政治競爭中的意識形態定位（如中位選民定理），與跨域治理協力機制的理論脈絡不同，此為本題辨識關鍵。</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第23題</w:t>
      </w:r>
    </w:p>
    <w:p>
      <w:pPr>
        <w:spacing w:after="120" w:line="340"/>
        <w:jc w:val="both"/>
      </w:pPr>
      <w:r>
        <w:rPr>
          <w:rFonts w:ascii="微軟正黑體" w:cs="微軟正黑體" w:eastAsia="微軟正黑體" w:hAnsi="微軟正黑體"/>
          <w:b/>
          <w:bCs/>
          <w:color w:val="1F4E79"/>
          <w:sz w:val="22"/>
          <w:szCs w:val="22"/>
        </w:rPr>
        <w:t xml:space="preserve">第29題　</w:t>
      </w:r>
      <w:r>
        <w:rPr>
          <w:rFonts w:ascii="微軟正黑體" w:cs="微軟正黑體" w:eastAsia="微軟正黑體" w:hAnsi="微軟正黑體"/>
          <w:sz w:val="22"/>
          <w:szCs w:val="22"/>
        </w:rPr>
        <w:t xml:space="preserve">下述何者不是促成跨域治理參與者互相依賴的原因？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雙方有合作意願</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願意共同承擔風險</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有專業互補的需求</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單方可制訂遊戲規則</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第24題</w:t>
      </w:r>
    </w:p>
    <w:p>
      <w:pPr>
        <w:spacing w:after="120" w:line="340"/>
        <w:jc w:val="both"/>
      </w:pPr>
      <w:r>
        <w:rPr>
          <w:rFonts w:ascii="微軟正黑體" w:cs="微軟正黑體" w:eastAsia="微軟正黑體" w:hAnsi="微軟正黑體"/>
          <w:b/>
          <w:bCs/>
          <w:color w:val="1F4E79"/>
          <w:sz w:val="22"/>
          <w:szCs w:val="22"/>
        </w:rPr>
        <w:t xml:space="preserve">第30題　</w:t>
      </w:r>
      <w:r>
        <w:rPr>
          <w:rFonts w:ascii="微軟正黑體" w:cs="微軟正黑體" w:eastAsia="微軟正黑體" w:hAnsi="微軟正黑體"/>
          <w:sz w:val="22"/>
          <w:szCs w:val="22"/>
        </w:rPr>
        <w:t xml:space="preserve">造成中央與地方跨域協力過程中目標不一致的主因甚多，下列何者錯誤？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彼此黨派立場岐異</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行政機關本位主義</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具有規範性的遊戲規則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權責劃分不清</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第2題</w:t>
      </w:r>
    </w:p>
    <w:p>
      <w:pPr>
        <w:spacing w:after="120" w:line="340"/>
        <w:jc w:val="both"/>
      </w:pPr>
      <w:r>
        <w:rPr>
          <w:rFonts w:ascii="微軟正黑體" w:cs="微軟正黑體" w:eastAsia="微軟正黑體" w:hAnsi="微軟正黑體"/>
          <w:b/>
          <w:bCs/>
          <w:color w:val="1F4E79"/>
          <w:sz w:val="22"/>
          <w:szCs w:val="22"/>
        </w:rPr>
        <w:t xml:space="preserve">第31題　</w:t>
      </w:r>
      <w:r>
        <w:rPr>
          <w:rFonts w:ascii="微軟正黑體" w:cs="微軟正黑體" w:eastAsia="微軟正黑體" w:hAnsi="微軟正黑體"/>
          <w:sz w:val="22"/>
          <w:szCs w:val="22"/>
        </w:rPr>
        <w:t xml:space="preserve">新公共服務（New Public Service）重新闡述服務、共享、信任合作、公共利益等理念，並對新公共管理及傳統公共行政有所批判。下列何者不是新公共服務的重要理論基礎？</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組織人文主義（organizational humanism）</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委託—代理人理論（principal-agent theory）</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民主的公民資格理論（theory of democratic citizenship）</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社群與公民社會模型（model of community and civil society）</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新公共服務的理論基礎包括民主的公民資格理論、社群與公民社會模型、組織人文主義及後現代公共行政等，強調對話、參與與公民精神；而委託—代理人理論（principal-agent theory）著重於委託人與代理人間的資訊不對稱、誘因設計與監督控制問題，是新公共管理（NPM）契約化治理常用的經濟學理論基礎，並非新公共服務之理論淵源。本題答案為(B)。　選項辨析：A：組織人文主義強調對人性尊嚴與員工參與之重視，是新公共服務理論基礎之一；C：民主的公民資格理論強調公民積極參與公共事務之權利與責任，是新公共服務最核心的理論支柱；D：社群與公民社會模型強調社群關係與公民社會在公共治理中的角色，是新公共服務理論基礎之一。　考點提醒：委託代理人理論屬於經濟學／NPM脈絡的理論工具，與新公共服務強調民主對話、公民精神的規範性理論淵源性質不同，是本題最大陷阱。</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第25題</w:t>
      </w:r>
    </w:p>
    <w:p>
      <w:pPr>
        <w:spacing w:after="120" w:line="340"/>
        <w:jc w:val="both"/>
      </w:pPr>
      <w:r>
        <w:rPr>
          <w:rFonts w:ascii="微軟正黑體" w:cs="微軟正黑體" w:eastAsia="微軟正黑體" w:hAnsi="微軟正黑體"/>
          <w:b/>
          <w:bCs/>
          <w:color w:val="1F4E79"/>
          <w:sz w:val="22"/>
          <w:szCs w:val="22"/>
        </w:rPr>
        <w:t xml:space="preserve">第32題　</w:t>
      </w:r>
      <w:r>
        <w:rPr>
          <w:rFonts w:ascii="微軟正黑體" w:cs="微軟正黑體" w:eastAsia="微軟正黑體" w:hAnsi="微軟正黑體"/>
          <w:sz w:val="22"/>
          <w:szCs w:val="22"/>
        </w:rPr>
        <w:t xml:space="preserve">下列何者比較不適用於解釋地方政府之間跨域協調不力的原因？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黨派競爭與黨同伐異</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管轄權認定不同</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地方公民素質不佳</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權責劃分不清</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第3題</w:t>
      </w:r>
    </w:p>
    <w:p>
      <w:pPr>
        <w:spacing w:after="120" w:line="340"/>
        <w:jc w:val="both"/>
      </w:pPr>
      <w:r>
        <w:rPr>
          <w:rFonts w:ascii="微軟正黑體" w:cs="微軟正黑體" w:eastAsia="微軟正黑體" w:hAnsi="微軟正黑體"/>
          <w:b/>
          <w:bCs/>
          <w:color w:val="1F4E79"/>
          <w:sz w:val="22"/>
          <w:szCs w:val="22"/>
        </w:rPr>
        <w:t xml:space="preserve">第33題　</w:t>
      </w:r>
      <w:r>
        <w:rPr>
          <w:rFonts w:ascii="微軟正黑體" w:cs="微軟正黑體" w:eastAsia="微軟正黑體" w:hAnsi="微軟正黑體"/>
          <w:sz w:val="22"/>
          <w:szCs w:val="22"/>
        </w:rPr>
        <w:t xml:space="preserve">有關「傳統公共行政」、「新公共管理」與「新公共服務」三種治理模式與思潮，其協調機制分別建立在下列何者為基礎？</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權威、價格與政治</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權威、價格與網絡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政治、價格與網絡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權威、網絡與政治</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依丹哈特夫婦（Denhardt &amp; Denhardt）對三種公共行政典範的比較，傳統公共行政以科層「權威」（authority）作為協調機制，新公共管理以市場「價格」（price）機制作為協調基礎，新公共服務則以「網絡」（network）中行為者間協商與共享利益作為協調機制。本題答案為(B)「權威、價格與網絡」。　選項辨析：A：政治非三者協調機制之標準用語，且順序與內涵不符對應理論；C：傳統公共行政之協調機制為權威而非政治，本選項第一項對應錯置；D：新公共管理之協調機制為價格而非網絡，本選項第二、三項對應錯置。　考點提醒：「權威—價格—網絡」三詞須依「傳統公共行政—新公共管理—新公共服務」順序牢記對應關係，是新公共服務相關考題必考組合。</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第22題</w:t>
      </w:r>
    </w:p>
    <w:p>
      <w:pPr>
        <w:spacing w:after="120" w:line="340"/>
        <w:jc w:val="both"/>
      </w:pPr>
      <w:r>
        <w:rPr>
          <w:rFonts w:ascii="微軟正黑體" w:cs="微軟正黑體" w:eastAsia="微軟正黑體" w:hAnsi="微軟正黑體"/>
          <w:b/>
          <w:bCs/>
          <w:color w:val="1F4E79"/>
          <w:sz w:val="22"/>
          <w:szCs w:val="22"/>
        </w:rPr>
        <w:t xml:space="preserve">第34題　</w:t>
      </w:r>
      <w:r>
        <w:rPr>
          <w:rFonts w:ascii="微軟正黑體" w:cs="微軟正黑體" w:eastAsia="微軟正黑體" w:hAnsi="微軟正黑體"/>
          <w:sz w:val="22"/>
          <w:szCs w:val="22"/>
        </w:rPr>
        <w:t xml:space="preserve">下列施政項目中何者最無涉地方政府之間的府際關係與合作？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大眾運輸規劃</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敬老津貼的發放</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河川整治工程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社會治安維護</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第25題</w:t>
      </w:r>
    </w:p>
    <w:p>
      <w:pPr>
        <w:spacing w:after="120" w:line="340"/>
        <w:jc w:val="both"/>
      </w:pPr>
      <w:r>
        <w:rPr>
          <w:rFonts w:ascii="微軟正黑體" w:cs="微軟正黑體" w:eastAsia="微軟正黑體" w:hAnsi="微軟正黑體"/>
          <w:b/>
          <w:bCs/>
          <w:color w:val="1F4E79"/>
          <w:sz w:val="22"/>
          <w:szCs w:val="22"/>
        </w:rPr>
        <w:t xml:space="preserve">第35題　</w:t>
      </w:r>
      <w:r>
        <w:rPr>
          <w:rFonts w:ascii="微軟正黑體" w:cs="微軟正黑體" w:eastAsia="微軟正黑體" w:hAnsi="微軟正黑體"/>
          <w:sz w:val="22"/>
          <w:szCs w:val="22"/>
        </w:rPr>
        <w:t xml:space="preserve">「社會發展計畫由國家發展委員會會同財政部、行政院主計總處及相關機關審議後報行政院核定。」以上敘述符合何種概念？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財主關係</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跨域治理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公私合夥</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群眾外包</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第1題</w:t>
      </w:r>
    </w:p>
    <w:p>
      <w:pPr>
        <w:spacing w:after="120" w:line="340"/>
        <w:jc w:val="both"/>
      </w:pPr>
      <w:r>
        <w:rPr>
          <w:rFonts w:ascii="微軟正黑體" w:cs="微軟正黑體" w:eastAsia="微軟正黑體" w:hAnsi="微軟正黑體"/>
          <w:b/>
          <w:bCs/>
          <w:color w:val="1F4E79"/>
          <w:sz w:val="22"/>
          <w:szCs w:val="22"/>
        </w:rPr>
        <w:t xml:space="preserve">第36題　</w:t>
      </w:r>
      <w:r>
        <w:rPr>
          <w:rFonts w:ascii="微軟正黑體" w:cs="微軟正黑體" w:eastAsia="微軟正黑體" w:hAnsi="微軟正黑體"/>
          <w:sz w:val="22"/>
          <w:szCs w:val="22"/>
        </w:rPr>
        <w:t xml:space="preserve">新公共服務論者認為的公共利益較符合下列何種敘述？</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代表個人利益的加總</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政治界定並由法律表現</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公民分享價值及對話後的結果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最大多數人的最大利益</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新公共服務論者主張公共利益並非個人利益的簡單加總，也非由政治精英片面界定，而是公民透過對話、審議與分享價值後所共同建構的結果，強調公民參與過程本身在界定公共利益上的核心地位。本題答案為(C)。　選項辨析：A：將公共利益視為個人利益的加總，屬於公共選擇理論／傳統多元主義的觀點，非新公共服務主張；B：政治界定並由法律表現公共利益，較接近傳統公共行政（政治與行政二分下）之觀點；D：「最大多數人的最大利益」是效益主義（utilitarianism）的定義方式，並非新公共服務強調對話過程的觀點。　考點提醒：新公共服務將公共利益定位為「過程性」（對話與共享價值之結果）而非「實體性」（既定利益的加總或界定），是理解此概念的關鍵。</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第7題</w:t>
      </w:r>
    </w:p>
    <w:p>
      <w:pPr>
        <w:spacing w:after="120" w:line="340"/>
        <w:jc w:val="both"/>
      </w:pPr>
      <w:r>
        <w:rPr>
          <w:rFonts w:ascii="微軟正黑體" w:cs="微軟正黑體" w:eastAsia="微軟正黑體" w:hAnsi="微軟正黑體"/>
          <w:b/>
          <w:bCs/>
          <w:color w:val="1F4E79"/>
          <w:sz w:val="22"/>
          <w:szCs w:val="22"/>
        </w:rPr>
        <w:t xml:space="preserve">第37題　</w:t>
      </w:r>
      <w:r>
        <w:rPr>
          <w:rFonts w:ascii="微軟正黑體" w:cs="微軟正黑體" w:eastAsia="微軟正黑體" w:hAnsi="微軟正黑體"/>
          <w:sz w:val="22"/>
          <w:szCs w:val="22"/>
        </w:rPr>
        <w:t xml:space="preserve">對政府的角色，新公共管理與新公共服務的主張有何不同？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新公共管理為市場驅動，新公共服務為划槳</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新公共管理為划槳，新公共服務為市場驅動</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新公共管理為掌舵，新公共服務為服務公民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新公共管理為服務公民，新公共服務為掌舵</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新公共管理（NPM）主張政府應扮演「掌舵者（領航者）」的角色，專注於政策方向擘劃並將執行交由市場；新公共服務（NPS）則進一步批判此一隱喻，主張政府應「服務公民」而非僅止於掌舵或划槳，強調行政人員與公民協商互動、共同建構公共利益。本題答案為(C)。　選項辨析：A：新公共管理並非以「划槳」為其角色定位（划槳為傳統科層政府之隱喻，NPM欲揚棄之），新公共服務亦非以「市場驅動」為核心，本選項對應錯誤；B：新公共管理的角色定位為掌舵而非划槳，本選項將兩者對調，錯誤；D：新公共管理的角色定位為掌舵，新公共服務為服務公民，本選項恰將二者對調，錯誤。　考點提醒：三種角色定位「划槳（傳統公共行政）—掌舵（新公共管理）—服務公民（新公共服務）」為一組演進序列，是理解典範演變的核心主軸。</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第22題</w:t>
      </w:r>
    </w:p>
    <w:p>
      <w:pPr>
        <w:spacing w:after="120" w:line="340"/>
        <w:jc w:val="both"/>
      </w:pPr>
      <w:r>
        <w:rPr>
          <w:rFonts w:ascii="微軟正黑體" w:cs="微軟正黑體" w:eastAsia="微軟正黑體" w:hAnsi="微軟正黑體"/>
          <w:b/>
          <w:bCs/>
          <w:color w:val="1F4E79"/>
          <w:sz w:val="22"/>
          <w:szCs w:val="22"/>
        </w:rPr>
        <w:t xml:space="preserve">第38題　</w:t>
      </w:r>
      <w:r>
        <w:rPr>
          <w:rFonts w:ascii="微軟正黑體" w:cs="微軟正黑體" w:eastAsia="微軟正黑體" w:hAnsi="微軟正黑體"/>
          <w:sz w:val="22"/>
          <w:szCs w:val="22"/>
        </w:rPr>
        <w:t xml:space="preserve">下列何者最符合「跨域治理」強調的意涵？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蘊含「零交易成本」的假設</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所處環境具有高度穩定性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著重探討微觀層次的問題與意涵</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公私協力與社區參與是常見手段</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跨域治理強調透過公私協力（如BOT、志願服務）與社區參與等多元手段，整合跨組織、跨部門、跨層級之資源以解決複雜的公共問題，是最能體現跨域治理精神的具體作法。本題答案為(D)。　選項辨析：A：跨域治理涉及多元行為者協商，過程中存在資訊不對稱與協調成本，並非「零交易成本」；B：跨域治理所面對的問題環境通常具高度複雜與不確定性，而非穩定性；C：跨域治理著重的是組織間、跨部門的巨觀（總體）層次問題，而非微觀（個人）層次。　考點提醒：跨域治理的核心精神在於「多元協力手段」（公私協力、社區參與），與「零成本」「穩定環境」「微觀層次」等描述皆屬反向誘答選項。</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第25題</w:t>
      </w:r>
    </w:p>
    <w:p>
      <w:pPr>
        <w:spacing w:after="120" w:line="340"/>
        <w:jc w:val="both"/>
      </w:pPr>
      <w:r>
        <w:rPr>
          <w:rFonts w:ascii="微軟正黑體" w:cs="微軟正黑體" w:eastAsia="微軟正黑體" w:hAnsi="微軟正黑體"/>
          <w:b/>
          <w:bCs/>
          <w:color w:val="1F4E79"/>
          <w:sz w:val="22"/>
          <w:szCs w:val="22"/>
        </w:rPr>
        <w:t xml:space="preserve">第39題　</w:t>
      </w:r>
      <w:r>
        <w:rPr>
          <w:rFonts w:ascii="微軟正黑體" w:cs="微軟正黑體" w:eastAsia="微軟正黑體" w:hAnsi="微軟正黑體"/>
          <w:sz w:val="22"/>
          <w:szCs w:val="22"/>
        </w:rPr>
        <w:t xml:space="preserve">下列那一項事務的跨域治理特質最弱？</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淡水河流域的整治</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文化部第一預備金之預算編列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禽流感疫情的控制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1999 市民專線</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淡水河流域整治、禽流感疫情控制、1999市民專線等事務皆涉及跨部門、跨轄區、跨層級之協調合作，具有明顯的跨域治理特質；相對地，「文化部第一預備金之預算編列」屬於單一部會內部之預算編列作業，僅涉及該部會自身之財務管理程序，跨域協調的需求最低。本題答案為(B)。　選項辨析：A：淡水河流域橫跨多個地方政府轄區，整治工作需要跨轄區協調，跨域特質明顯；C：禽流感疫情防治涉及農政、衛政、地方政府等多部門協力，跨域特質明顯；D：1999市民專線需整合地方政府各局處資訊與服務窗口，具有跨部門整合之跨域特質。　考點提醒：判斷跨域治理特質強弱的關鍵在於「是否涉及多元組織、轄區或部門之協調需求」，單一機關內部行政作業（如預算編列）通常不具跨域治理特質。</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第24題</w:t>
      </w:r>
    </w:p>
    <w:p>
      <w:pPr>
        <w:spacing w:after="120" w:line="340"/>
        <w:jc w:val="both"/>
      </w:pPr>
      <w:r>
        <w:rPr>
          <w:rFonts w:ascii="微軟正黑體" w:cs="微軟正黑體" w:eastAsia="微軟正黑體" w:hAnsi="微軟正黑體"/>
          <w:b/>
          <w:bCs/>
          <w:color w:val="1F4E79"/>
          <w:sz w:val="22"/>
          <w:szCs w:val="22"/>
        </w:rPr>
        <w:t xml:space="preserve">第40題　</w:t>
      </w:r>
      <w:r>
        <w:rPr>
          <w:rFonts w:ascii="微軟正黑體" w:cs="微軟正黑體" w:eastAsia="微軟正黑體" w:hAnsi="微軟正黑體"/>
          <w:sz w:val="22"/>
          <w:szCs w:val="22"/>
        </w:rPr>
        <w:t xml:space="preserve">下列有關組織間協力之敘述，何者錯誤？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目的在解決單一組織無法解決的問題</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組織間以互信為基礎</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政府中央機關具有決策主導權</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公私部門或不同層級政府合作皆屬之</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組織間協力（inter-organizational collaboration）旨在解決單一組織難以獨力處理的問題，其運作基礎在於組織間之互信與資源共享，且可涵蓋公私部門或不同層級政府間之合作型態；然而協力關係強調的是網絡式、平等協商的夥伴關係，並非由中央機關單方主導決策，此與協力治理強調的多元共治精神相違背。本題答案為(C)。　選項辨析：A：解決單一組織無法解決之問題正是組織間協力最主要的目的，敘述正確；B：互信是組織間協力得以持續運作的基礎條件，敘述正確；D：公私部門或不同層級政府間之合作皆屬組織間協力之範疇，敘述正確。　考點提醒：協力治理（collaborative governance）強調「網絡、平等協商」而非「中央主導」，凡選項出現「單一機關具決策主導權」即與協力治理精神相悖，屬於典型錯誤選項。</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2026-09-03T17:33:51.913Z</dcterms:created>
  <dcterms:modified xsi:type="dcterms:W3CDTF">2026-09-03T17:33:51.913Z</dcterms:modified>
</cp:coreProperties>
</file>

<file path=docProps/custom.xml><?xml version="1.0" encoding="utf-8"?>
<Properties xmlns="http://schemas.openxmlformats.org/officeDocument/2006/custom-properties" xmlns:vt="http://schemas.openxmlformats.org/officeDocument/2006/docPropsVTypes"/>
</file>