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400"/>
        <w:jc w:val="center"/>
      </w:pPr>
      <w:r>
        <w:rPr>
          <w:rFonts w:ascii="微軟正黑體" w:cs="微軟正黑體" w:eastAsia="微軟正黑體" w:hAnsi="微軟正黑體"/>
          <w:b/>
          <w:bCs/>
          <w:sz w:val="40"/>
          <w:szCs w:val="40"/>
        </w:rPr>
        <w:t xml:space="preserve">國家考試行政學：選擇題題庫</w:t>
      </w:r>
    </w:p>
    <w:p>
      <w:pPr>
        <w:spacing w:after="60"/>
        <w:jc w:val="center"/>
      </w:pPr>
      <w:r>
        <w:rPr>
          <w:rFonts w:ascii="微軟正黑體" w:cs="微軟正黑體" w:eastAsia="微軟正黑體" w:hAnsi="微軟正黑體"/>
          <w:b/>
          <w:bCs/>
          <w:color w:val="444444"/>
          <w:sz w:val="28"/>
          <w:szCs w:val="28"/>
        </w:rPr>
        <w:t xml:space="preserve">第7章　行政環境</w:t>
      </w:r>
    </w:p>
    <w:p>
      <w:pPr>
        <w:spacing w:after="400"/>
        <w:jc w:val="center"/>
      </w:pPr>
      <w:r>
        <w:rPr>
          <w:rFonts w:ascii="微軟正黑體" w:cs="微軟正黑體" w:eastAsia="微軟正黑體" w:hAnsi="微軟正黑體"/>
          <w:i/>
          <w:iCs/>
          <w:color w:val="777777"/>
          <w:sz w:val="20"/>
          <w:szCs w:val="20"/>
        </w:rPr>
        <w:t xml:space="preserve">適用：高考三級／普考　一般行政類科　行政學（與《國家考試行政學：從行政學理論到申論實戰》27章對應）</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F2F6FA" w:sz="2"/>
              <w:left w:val="single" w:color="555555" w:sz="24"/>
              <w:bottom w:val="single" w:color="F2F6FA" w:sz="2"/>
              <w:right w:val="single" w:color="F2F6FA" w:sz="2"/>
            </w:tcBorders>
            <w:shd w:fill="F2F6FA" w:val="clear"/>
            <w:tcMar>
              <w:top w:type="dxa" w:w="140"/>
              <w:left w:type="dxa" w:w="220"/>
              <w:bottom w:type="dxa" w:w="140"/>
              <w:right w:type="dxa" w:w="220"/>
            </w:tcMar>
          </w:tcPr>
          <w:p>
            <w:pPr>
              <w:spacing w:after="80"/>
            </w:pPr>
            <w:r>
              <w:rPr>
                <w:rFonts w:ascii="微軟正黑體" w:cs="微軟正黑體" w:eastAsia="微軟正黑體" w:hAnsi="微軟正黑體"/>
                <w:b/>
                <w:bCs/>
                <w:color w:val="555555"/>
                <w:sz w:val="20"/>
                <w:szCs w:val="20"/>
              </w:rPr>
              <w:t xml:space="preserve">本章題庫說明</w:t>
            </w:r>
          </w:p>
          <w:p>
            <w:pPr>
              <w:spacing w:line="320"/>
              <w:jc w:val="both"/>
            </w:pPr>
            <w:r>
              <w:rPr>
                <w:rFonts w:ascii="微軟正黑體" w:cs="微軟正黑體" w:eastAsia="微軟正黑體" w:hAnsi="微軟正黑體"/>
                <w:sz w:val="20"/>
                <w:szCs w:val="20"/>
              </w:rPr>
              <w:t xml:space="preserve">本章共收錄7題與本章主題相關之考選部歷屆選擇題真題（107-115年，一般行政類科，含高考三級／普考／原住民族三等／地方特考三等／身心障礙人員三等／關務人員三等等各類三等考試，並含高考二級「行政學研究」與國軍上校／少將轉任考試「行政學」等邊緣類科），每題均標示正確答案；其中精選6題附完整解析（含核心概念說明與選項辨析），其餘題目僅提供正解供讀者自我檢核。若官方公告答案有更正（如「A或D」兩者均給分、「一律給分」等），已於答案處註明並於解析中說明原委。</w:t>
            </w:r>
          </w:p>
        </w:tc>
      </w:tr>
    </w:tbl>
    <w:p>
      <w:pPr>
        <w:spacing w:after="200"/>
      </w:pPr>
    </w:p>
    <w:p>
      <w:pPr>
        <w:spacing w:after="100"/>
      </w:pPr>
      <w:r>
        <w:rPr>
          <w:rFonts w:ascii="微軟正黑體" w:cs="微軟正黑體" w:eastAsia="微軟正黑體" w:hAnsi="微軟正黑體"/>
          <w:i/>
          <w:iCs/>
          <w:color w:val="777777"/>
          <w:sz w:val="18"/>
          <w:szCs w:val="18"/>
        </w:rPr>
        <w:t xml:space="preserve">107年　107年-身三　第18題</w:t>
      </w:r>
    </w:p>
    <w:p>
      <w:pPr>
        <w:spacing w:after="120" w:line="340"/>
        <w:jc w:val="both"/>
      </w:pPr>
      <w:r>
        <w:rPr>
          <w:rFonts w:ascii="微軟正黑體" w:cs="微軟正黑體" w:eastAsia="微軟正黑體" w:hAnsi="微軟正黑體"/>
          <w:b/>
          <w:bCs/>
          <w:color w:val="1F4E79"/>
          <w:sz w:val="22"/>
          <w:szCs w:val="22"/>
        </w:rPr>
        <w:t xml:space="preserve">第1題　</w:t>
      </w:r>
      <w:r>
        <w:rPr>
          <w:rFonts w:ascii="微軟正黑體" w:cs="微軟正黑體" w:eastAsia="微軟正黑體" w:hAnsi="微軟正黑體"/>
          <w:sz w:val="22"/>
          <w:szCs w:val="22"/>
        </w:rPr>
        <w:t xml:space="preserve">下列何者不是開發中國家行政文化的特質？</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家族主義</w:t>
      </w:r>
    </w:p>
    <w:p>
      <w:pPr>
        <w:spacing w:after="60" w:line="320"/>
        <w:ind w:left="504"/>
      </w:pPr>
      <w:r>
        <w:rPr>
          <w:rFonts w:ascii="微軟正黑體" w:cs="微軟正黑體" w:eastAsia="微軟正黑體" w:hAnsi="微軟正黑體"/>
          <w:b/>
          <w:bCs/>
          <w:color w:val="1E7B34"/>
          <w:sz w:val="21"/>
          <w:szCs w:val="21"/>
        </w:rPr>
        <w:t xml:space="preserve">● B．</w:t>
      </w:r>
      <w:r>
        <w:rPr>
          <w:rFonts w:ascii="微軟正黑體" w:cs="微軟正黑體" w:eastAsia="微軟正黑體" w:hAnsi="微軟正黑體"/>
          <w:b/>
          <w:bCs/>
          <w:color w:val="1E7B34"/>
          <w:sz w:val="21"/>
          <w:szCs w:val="21"/>
        </w:rPr>
        <w:t xml:space="preserve">專業主義</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形式主義</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特權主義</w:t>
      </w:r>
    </w:p>
    <w:p>
      <w:pPr>
        <w:spacing w:after="200" w:before="40"/>
      </w:pPr>
      <w:r>
        <w:rPr>
          <w:rFonts w:ascii="微軟正黑體" w:cs="微軟正黑體" w:eastAsia="微軟正黑體" w:hAnsi="微軟正黑體"/>
          <w:b/>
          <w:bCs/>
          <w:color w:val="1E7B34"/>
          <w:sz w:val="20"/>
          <w:szCs w:val="20"/>
        </w:rPr>
        <w:t xml:space="preserve">✔ 正解：B</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40"/>
              <w:left w:type="dxa" w:w="220"/>
              <w:bottom w:type="dxa" w:w="140"/>
              <w:right w:type="dxa" w:w="220"/>
            </w:tcMar>
          </w:tcPr>
          <w:p>
            <w:pPr>
              <w:spacing w:after="80"/>
            </w:pPr>
            <w:r>
              <w:rPr>
                <w:rFonts w:ascii="微軟正黑體" w:cs="微軟正黑體" w:eastAsia="微軟正黑體" w:hAnsi="微軟正黑體"/>
                <w:b/>
                <w:bCs/>
                <w:color w:val="1F4E79"/>
                <w:sz w:val="20"/>
                <w:szCs w:val="20"/>
              </w:rPr>
              <w:t xml:space="preserve">解析</w:t>
            </w:r>
          </w:p>
          <w:p>
            <w:pPr>
              <w:spacing w:line="320"/>
              <w:jc w:val="both"/>
            </w:pPr>
            <w:r>
              <w:rPr>
                <w:rFonts w:ascii="微軟正黑體" w:cs="微軟正黑體" w:eastAsia="微軟正黑體" w:hAnsi="微軟正黑體"/>
                <w:sz w:val="20"/>
                <w:szCs w:val="20"/>
              </w:rPr>
              <w:t xml:space="preserve">正確答案為B。雷格斯（F. W. Riggs）稜柱社會理論分析開發中國家（過渡社會）之行政文化，指出其常見特質包括家族主義、形式主義、通才主義、重疊性、異質性、貪污腐化、依賴心理等，這些特質多源於傳統社會與現代科層體制交錯並存所產生的落差與扭曲；相對地，「專業主義」（強調依專業分工、才能取才、講求效率）是已開發國家（繞射社會）行政文化的特徵，而非開發中國家行政文化的特質。　選項辨析：A：家族主義（重視血緣裙帶關係甚於才能）確為開發中國家行政文化之特質；C：形式主義（法規與實際執行嚴重脫節）確為開發中國家行政文化之特質；D：特權主義（少數特權階層壟斷資源與機會）確為開發中國家行政文化之特質。　考點提醒：已開發國家（繞射社會）行政文化關鍵字為「專業主義、功績主義、法治主義」；開發中國家（稜柱社會）關鍵字為「家族、形式、重疊、異質、貪污」，凡選項出現「專業」二字用以描述開發中國家特質，多為刻意設計之錯誤選項。</w:t>
            </w:r>
          </w:p>
        </w:tc>
      </w:tr>
    </w:tbl>
    <w:p>
      <w:pPr>
        <w:spacing w:after="200"/>
      </w:pPr>
    </w:p>
    <w:p>
      <w:pPr>
        <w:spacing w:after="100"/>
      </w:pPr>
      <w:r>
        <w:rPr>
          <w:rFonts w:ascii="微軟正黑體" w:cs="微軟正黑體" w:eastAsia="微軟正黑體" w:hAnsi="微軟正黑體"/>
          <w:i/>
          <w:iCs/>
          <w:color w:val="777777"/>
          <w:sz w:val="18"/>
          <w:szCs w:val="18"/>
        </w:rPr>
        <w:t xml:space="preserve">107年　107年-身三　第19題</w:t>
      </w:r>
    </w:p>
    <w:p>
      <w:pPr>
        <w:spacing w:after="120" w:line="340"/>
        <w:jc w:val="both"/>
      </w:pPr>
      <w:r>
        <w:rPr>
          <w:rFonts w:ascii="微軟正黑體" w:cs="微軟正黑體" w:eastAsia="微軟正黑體" w:hAnsi="微軟正黑體"/>
          <w:b/>
          <w:bCs/>
          <w:color w:val="1F4E79"/>
          <w:sz w:val="22"/>
          <w:szCs w:val="22"/>
        </w:rPr>
        <w:t xml:space="preserve">第2題　</w:t>
      </w:r>
      <w:r>
        <w:rPr>
          <w:rFonts w:ascii="微軟正黑體" w:cs="微軟正黑體" w:eastAsia="微軟正黑體" w:hAnsi="微軟正黑體"/>
          <w:sz w:val="22"/>
          <w:szCs w:val="22"/>
        </w:rPr>
        <w:t xml:space="preserve">那位學者撰寫「開發中國家之行政：稜柱社會的理論」一書？</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卡斯特（F. Kast）</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杜拉克（P. F. Drucker）</w:t>
      </w:r>
    </w:p>
    <w:p>
      <w:pPr>
        <w:spacing w:after="60" w:line="320"/>
        <w:ind w:left="504"/>
      </w:pPr>
      <w:r>
        <w:rPr>
          <w:rFonts w:ascii="微軟正黑體" w:cs="微軟正黑體" w:eastAsia="微軟正黑體" w:hAnsi="微軟正黑體"/>
          <w:b/>
          <w:bCs/>
          <w:color w:val="1E7B34"/>
          <w:sz w:val="21"/>
          <w:szCs w:val="21"/>
        </w:rPr>
        <w:t xml:space="preserve">● C．</w:t>
      </w:r>
      <w:r>
        <w:rPr>
          <w:rFonts w:ascii="微軟正黑體" w:cs="微軟正黑體" w:eastAsia="微軟正黑體" w:hAnsi="微軟正黑體"/>
          <w:b/>
          <w:bCs/>
          <w:color w:val="1E7B34"/>
          <w:sz w:val="21"/>
          <w:szCs w:val="21"/>
        </w:rPr>
        <w:t xml:space="preserve">雷格斯（F. W. Riggs）</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費堯（H. Fayol）</w:t>
      </w:r>
    </w:p>
    <w:p>
      <w:pPr>
        <w:spacing w:after="200" w:before="40"/>
      </w:pPr>
      <w:r>
        <w:rPr>
          <w:rFonts w:ascii="微軟正黑體" w:cs="微軟正黑體" w:eastAsia="微軟正黑體" w:hAnsi="微軟正黑體"/>
          <w:b/>
          <w:bCs/>
          <w:color w:val="1E7B34"/>
          <w:sz w:val="20"/>
          <w:szCs w:val="20"/>
        </w:rPr>
        <w:t xml:space="preserve">✔ 正解：C</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40"/>
              <w:left w:type="dxa" w:w="220"/>
              <w:bottom w:type="dxa" w:w="140"/>
              <w:right w:type="dxa" w:w="220"/>
            </w:tcMar>
          </w:tcPr>
          <w:p>
            <w:pPr>
              <w:spacing w:after="80"/>
            </w:pPr>
            <w:r>
              <w:rPr>
                <w:rFonts w:ascii="微軟正黑體" w:cs="微軟正黑體" w:eastAsia="微軟正黑體" w:hAnsi="微軟正黑體"/>
                <w:b/>
                <w:bCs/>
                <w:color w:val="1F4E79"/>
                <w:sz w:val="20"/>
                <w:szCs w:val="20"/>
              </w:rPr>
              <w:t xml:space="preserve">解析</w:t>
            </w:r>
          </w:p>
          <w:p>
            <w:pPr>
              <w:spacing w:line="320"/>
              <w:jc w:val="both"/>
            </w:pPr>
            <w:r>
              <w:rPr>
                <w:rFonts w:ascii="微軟正黑體" w:cs="微軟正黑體" w:eastAsia="微軟正黑體" w:hAnsi="微軟正黑體"/>
                <w:sz w:val="20"/>
                <w:szCs w:val="20"/>
              </w:rPr>
              <w:t xml:space="preserve">正確答案為C。雷格斯（F. W. Riggs）為比較行政學之代表學者，其名著《開發中國家之行政：稜柱社會的理論》（Administration in Developing Countries: The Theory of Prismatic Society）以光線經稜柱折射之意象，比喻開發中國家（稜柱社會）介於傳統農業社會（融合社會）與現代工業社會（繞射社會）之間的過渡狀態，其行政文化兼具傳統與現代特質而呈現高度異質與形式化現象，是行政生態學與比較行政研究之經典理論。　選項辨析：A：卡斯特（F. Kast）為系統理論與權變理論之代表學者，非稜柱社會理論之提出者；B：杜拉克（P. F. Drucker）為管理學大師，以目標管理（MBO）等企業管理理論聞名，與稜柱社會理論無涉；D：費堯（H. Fayol）為古典管理理論學者，提出十四點管理原則，屬傳統理論時期人物，非比較行政學者。　考點提醒：凡考題出現「稜柱社會」、「融合—稜柱—繞射」光線折射之比喻，即應直接聯想雷格斯（Riggs）。</w:t>
            </w:r>
          </w:p>
        </w:tc>
      </w:tr>
    </w:tbl>
    <w:p>
      <w:pPr>
        <w:spacing w:after="200"/>
      </w:pPr>
    </w:p>
    <w:p>
      <w:pPr>
        <w:spacing w:after="100"/>
      </w:pPr>
      <w:r>
        <w:rPr>
          <w:rFonts w:ascii="微軟正黑體" w:cs="微軟正黑體" w:eastAsia="微軟正黑體" w:hAnsi="微軟正黑體"/>
          <w:i/>
          <w:iCs/>
          <w:color w:val="777777"/>
          <w:sz w:val="18"/>
          <w:szCs w:val="18"/>
        </w:rPr>
        <w:t xml:space="preserve">107年　107年-高考　第5題</w:t>
      </w:r>
    </w:p>
    <w:p>
      <w:pPr>
        <w:spacing w:after="120" w:line="340"/>
        <w:jc w:val="both"/>
      </w:pPr>
      <w:r>
        <w:rPr>
          <w:rFonts w:ascii="微軟正黑體" w:cs="微軟正黑體" w:eastAsia="微軟正黑體" w:hAnsi="微軟正黑體"/>
          <w:b/>
          <w:bCs/>
          <w:color w:val="1F4E79"/>
          <w:sz w:val="22"/>
          <w:szCs w:val="22"/>
        </w:rPr>
        <w:t xml:space="preserve">第3題　</w:t>
      </w:r>
      <w:r>
        <w:rPr>
          <w:rFonts w:ascii="微軟正黑體" w:cs="微軟正黑體" w:eastAsia="微軟正黑體" w:hAnsi="微軟正黑體"/>
          <w:sz w:val="22"/>
          <w:szCs w:val="22"/>
        </w:rPr>
        <w:t xml:space="preserve">「在同一時間、同一地區內，存在許多不調和的現象，如不同的制度、不同的行為與觀點」，這是屬於開發中國家行政文化中的何種特質？</w:t>
      </w:r>
    </w:p>
    <w:p>
      <w:pPr>
        <w:spacing w:after="60" w:line="320"/>
        <w:ind w:left="504"/>
      </w:pPr>
      <w:r>
        <w:rPr>
          <w:rFonts w:ascii="微軟正黑體" w:cs="微軟正黑體" w:eastAsia="微軟正黑體" w:hAnsi="微軟正黑體"/>
          <w:b/>
          <w:bCs/>
          <w:color w:val="1E7B34"/>
          <w:sz w:val="21"/>
          <w:szCs w:val="21"/>
        </w:rPr>
        <w:t xml:space="preserve">● A．</w:t>
      </w:r>
      <w:r>
        <w:rPr>
          <w:rFonts w:ascii="微軟正黑體" w:cs="微軟正黑體" w:eastAsia="微軟正黑體" w:hAnsi="微軟正黑體"/>
          <w:b/>
          <w:bCs/>
          <w:color w:val="1E7B34"/>
          <w:sz w:val="21"/>
          <w:szCs w:val="21"/>
        </w:rPr>
        <w:t xml:space="preserve">異質性（heterogeneity）</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重疊性（overlapping）</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形式主義（formalism）</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貪污腐化（corruption）</w:t>
      </w:r>
    </w:p>
    <w:p>
      <w:pPr>
        <w:spacing w:after="200" w:before="40"/>
      </w:pPr>
      <w:r>
        <w:rPr>
          <w:rFonts w:ascii="微軟正黑體" w:cs="微軟正黑體" w:eastAsia="微軟正黑體" w:hAnsi="微軟正黑體"/>
          <w:b/>
          <w:bCs/>
          <w:color w:val="1E7B34"/>
          <w:sz w:val="20"/>
          <w:szCs w:val="20"/>
        </w:rPr>
        <w:t xml:space="preserve">✔ 正解：A</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40"/>
              <w:left w:type="dxa" w:w="220"/>
              <w:bottom w:type="dxa" w:w="140"/>
              <w:right w:type="dxa" w:w="220"/>
            </w:tcMar>
          </w:tcPr>
          <w:p>
            <w:pPr>
              <w:spacing w:after="80"/>
            </w:pPr>
            <w:r>
              <w:rPr>
                <w:rFonts w:ascii="微軟正黑體" w:cs="微軟正黑體" w:eastAsia="微軟正黑體" w:hAnsi="微軟正黑體"/>
                <w:b/>
                <w:bCs/>
                <w:color w:val="1F4E79"/>
                <w:sz w:val="20"/>
                <w:szCs w:val="20"/>
              </w:rPr>
              <w:t xml:space="preserve">解析</w:t>
            </w:r>
          </w:p>
          <w:p>
            <w:pPr>
              <w:spacing w:line="320"/>
              <w:jc w:val="both"/>
            </w:pPr>
            <w:r>
              <w:rPr>
                <w:rFonts w:ascii="微軟正黑體" w:cs="微軟正黑體" w:eastAsia="微軟正黑體" w:hAnsi="微軟正黑體"/>
                <w:sz w:val="20"/>
                <w:szCs w:val="20"/>
              </w:rPr>
              <w:t xml:space="preserve">正確答案為A。雷格斯稜柱社會理論中，「異質性」（heterogeneity）係指在同一時間、同一地區之內，存在高度不一致、不調和的次系統與現象，例如傳統與現代制度並存、不同群體行為模式與價值觀念差距懸殊，猶如都市與部落生活方式同時出現於同一社會之中，此為過渡社會（稜柱社會）最明顯的結構特徵之一。　選項辨析：B：重疊性（overlapping）係指同一機關或角色同時執行多種原本應分化的功能（如法定職掌與實際運作角色混雜不清），與題幹強調「不同制度並存不調和」之異質現象有別；C：形式主義（formalism）係指法規與典章制度上的規定與實際執行行為嚴重脫節、名實不符，非題幹所指之並存現象；D：貪污腐化（corruption）係指公務人員濫用職權圖利私人，與題幹描述無關。　考點提醒：異質性重在「不同事物同時並存、不調和」，重疊性重在「同一角色身兼多種本應分立之功能」，兩者常被命題者混用選項互相干擾，須仔細分辨關鍵字。</w:t>
            </w:r>
          </w:p>
        </w:tc>
      </w:tr>
    </w:tbl>
    <w:p>
      <w:pPr>
        <w:spacing w:after="200"/>
      </w:pPr>
    </w:p>
    <w:p>
      <w:pPr>
        <w:spacing w:after="100"/>
      </w:pPr>
      <w:r>
        <w:rPr>
          <w:rFonts w:ascii="微軟正黑體" w:cs="微軟正黑體" w:eastAsia="微軟正黑體" w:hAnsi="微軟正黑體"/>
          <w:i/>
          <w:iCs/>
          <w:color w:val="777777"/>
          <w:sz w:val="18"/>
          <w:szCs w:val="18"/>
        </w:rPr>
        <w:t xml:space="preserve">111年　111年-地三　第4題</w:t>
      </w:r>
    </w:p>
    <w:p>
      <w:pPr>
        <w:spacing w:after="120" w:line="340"/>
        <w:jc w:val="both"/>
      </w:pPr>
      <w:r>
        <w:rPr>
          <w:rFonts w:ascii="微軟正黑體" w:cs="微軟正黑體" w:eastAsia="微軟正黑體" w:hAnsi="微軟正黑體"/>
          <w:b/>
          <w:bCs/>
          <w:color w:val="1F4E79"/>
          <w:sz w:val="22"/>
          <w:szCs w:val="22"/>
        </w:rPr>
        <w:t xml:space="preserve">第4題　</w:t>
      </w:r>
      <w:r>
        <w:rPr>
          <w:rFonts w:ascii="微軟正黑體" w:cs="微軟正黑體" w:eastAsia="微軟正黑體" w:hAnsi="微軟正黑體"/>
          <w:sz w:val="22"/>
          <w:szCs w:val="22"/>
        </w:rPr>
        <w:t xml:space="preserve">有關我國訂定的「公民與政治權利國際公約及經濟社會文化權利國際公約施行法」        ，下列敘述何者錯誤？</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各級政府機關應依規定執行兩公約相關事項</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具有國內法律的效力</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顯示國際公約對公共行政的影響</w:t>
      </w:r>
    </w:p>
    <w:p>
      <w:pPr>
        <w:spacing w:after="60" w:line="320"/>
        <w:ind w:left="504"/>
      </w:pPr>
      <w:r>
        <w:rPr>
          <w:rFonts w:ascii="微軟正黑體" w:cs="微軟正黑體" w:eastAsia="微軟正黑體" w:hAnsi="微軟正黑體"/>
          <w:b/>
          <w:bCs/>
          <w:color w:val="1E7B34"/>
          <w:sz w:val="21"/>
          <w:szCs w:val="21"/>
        </w:rPr>
        <w:t xml:space="preserve">● D．</w:t>
      </w:r>
      <w:r>
        <w:rPr>
          <w:rFonts w:ascii="微軟正黑體" w:cs="微軟正黑體" w:eastAsia="微軟正黑體" w:hAnsi="微軟正黑體"/>
          <w:b/>
          <w:bCs/>
          <w:color w:val="1E7B34"/>
          <w:sz w:val="21"/>
          <w:szCs w:val="21"/>
        </w:rPr>
        <w:t xml:space="preserve">代表我國正式邁入先進國家</w:t>
      </w:r>
    </w:p>
    <w:p>
      <w:pPr>
        <w:spacing w:after="200" w:before="40"/>
      </w:pPr>
      <w:r>
        <w:rPr>
          <w:rFonts w:ascii="微軟正黑體" w:cs="微軟正黑體" w:eastAsia="微軟正黑體" w:hAnsi="微軟正黑體"/>
          <w:b/>
          <w:bCs/>
          <w:color w:val="1E7B34"/>
          <w:sz w:val="20"/>
          <w:szCs w:val="20"/>
        </w:rPr>
        <w:t xml:space="preserve">✔ 正解：D</w:t>
      </w:r>
    </w:p>
    <w:p>
      <w:pPr>
        <w:spacing w:after="200"/>
      </w:pPr>
    </w:p>
    <w:p>
      <w:pPr>
        <w:spacing w:after="100"/>
      </w:pPr>
      <w:r>
        <w:rPr>
          <w:rFonts w:ascii="微軟正黑體" w:cs="微軟正黑體" w:eastAsia="微軟正黑體" w:hAnsi="微軟正黑體"/>
          <w:i/>
          <w:iCs/>
          <w:color w:val="777777"/>
          <w:sz w:val="18"/>
          <w:szCs w:val="18"/>
        </w:rPr>
        <w:t xml:space="preserve">114080年　114080_0303_行政學　第22題</w:t>
      </w:r>
    </w:p>
    <w:p>
      <w:pPr>
        <w:spacing w:after="120" w:line="340"/>
        <w:jc w:val="both"/>
      </w:pPr>
      <w:r>
        <w:rPr>
          <w:rFonts w:ascii="微軟正黑體" w:cs="微軟正黑體" w:eastAsia="微軟正黑體" w:hAnsi="微軟正黑體"/>
          <w:b/>
          <w:bCs/>
          <w:color w:val="1F4E79"/>
          <w:sz w:val="22"/>
          <w:szCs w:val="22"/>
        </w:rPr>
        <w:t xml:space="preserve">第5題　</w:t>
      </w:r>
      <w:r>
        <w:rPr>
          <w:rFonts w:ascii="微軟正黑體" w:cs="微軟正黑體" w:eastAsia="微軟正黑體" w:hAnsi="微軟正黑體"/>
          <w:sz w:val="22"/>
          <w:szCs w:val="22"/>
        </w:rPr>
        <w:t xml:space="preserve">下列何者為聯邦制政府的主要特徵？</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憲政權力分配可經由一般立法程序變更</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強調絕對的地方分權與地方自治</w:t>
      </w:r>
    </w:p>
    <w:p>
      <w:pPr>
        <w:spacing w:after="60" w:line="320"/>
        <w:ind w:left="504"/>
      </w:pPr>
      <w:r>
        <w:rPr>
          <w:rFonts w:ascii="微軟正黑體" w:cs="微軟正黑體" w:eastAsia="微軟正黑體" w:hAnsi="微軟正黑體"/>
          <w:b/>
          <w:bCs/>
          <w:color w:val="1E7B34"/>
          <w:sz w:val="21"/>
          <w:szCs w:val="21"/>
        </w:rPr>
        <w:t xml:space="preserve">● C．</w:t>
      </w:r>
      <w:r>
        <w:rPr>
          <w:rFonts w:ascii="微軟正黑體" w:cs="微軟正黑體" w:eastAsia="微軟正黑體" w:hAnsi="微軟正黑體"/>
          <w:b/>
          <w:bCs/>
          <w:color w:val="1E7B34"/>
          <w:sz w:val="21"/>
          <w:szCs w:val="21"/>
        </w:rPr>
        <w:t xml:space="preserve">有助於治理過程中的區域參與互動</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以柔性憲法規範各級政府的權力</w:t>
      </w:r>
    </w:p>
    <w:p>
      <w:pPr>
        <w:spacing w:after="200" w:before="40"/>
      </w:pPr>
      <w:r>
        <w:rPr>
          <w:rFonts w:ascii="微軟正黑體" w:cs="微軟正黑體" w:eastAsia="微軟正黑體" w:hAnsi="微軟正黑體"/>
          <w:b/>
          <w:bCs/>
          <w:color w:val="1E7B34"/>
          <w:sz w:val="20"/>
          <w:szCs w:val="20"/>
        </w:rPr>
        <w:t xml:space="preserve">✔ 正解：C</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40"/>
              <w:left w:type="dxa" w:w="220"/>
              <w:bottom w:type="dxa" w:w="140"/>
              <w:right w:type="dxa" w:w="220"/>
            </w:tcMar>
          </w:tcPr>
          <w:p>
            <w:pPr>
              <w:spacing w:after="80"/>
            </w:pPr>
            <w:r>
              <w:rPr>
                <w:rFonts w:ascii="微軟正黑體" w:cs="微軟正黑體" w:eastAsia="微軟正黑體" w:hAnsi="微軟正黑體"/>
                <w:b/>
                <w:bCs/>
                <w:color w:val="1F4E79"/>
                <w:sz w:val="20"/>
                <w:szCs w:val="20"/>
              </w:rPr>
              <w:t xml:space="preserve">解析</w:t>
            </w:r>
          </w:p>
          <w:p>
            <w:pPr>
              <w:spacing w:line="320"/>
              <w:jc w:val="both"/>
            </w:pPr>
            <w:r>
              <w:rPr>
                <w:rFonts w:ascii="微軟正黑體" w:cs="微軟正黑體" w:eastAsia="微軟正黑體" w:hAnsi="微軟正黑體"/>
                <w:sz w:val="20"/>
                <w:szCs w:val="20"/>
              </w:rPr>
              <w:t xml:space="preserve">正確答案為C。聯邦制（federalism）係指中央政府與地方（邦、州）政府之權限劃分明定於憲法之中，各級政府在憲法保障之權限範圍內均享有相當程度之自主性，且彼此在治理過程中須進行協商、合作與互動，此制度設計有助於促進區域層級之政府在治理過程中積極參與並與中央進行互動協調，兼顧國家整體一致性與區域多元差異之平衡。　選項辨析：A：聯邦制下中央與地方之憲政權力分配，通常須經修憲之嚴格程序方能變更，而非透過一般立法程序即可任意調整，此為聯邦制之重要保障機制，此敘述有誤；B：聯邦制強調的是中央與地方權限依憲法「劃分」並存，而非「絕對」之地方分權與地方自治（絕對地方分權較接近邦聯制精神），此敘述有誤；D：聯邦制通常須以剛性憲法（修改程序嚴格）明確保障各級政府之權力劃分，以防止中央恣意侵奪地方權限，而非以柔性憲法規範，此敘述有誤。　考點提醒：聯邦制關鍵字為「憲法明定權限劃分、剛性憲法、中央地方協商互動」，凡選項出現「絕對地方分權」或「柔性憲法」等描述聯邦制，多為刻意設計之錯誤選項。</w:t>
            </w:r>
          </w:p>
        </w:tc>
      </w:tr>
    </w:tbl>
    <w:p>
      <w:pPr>
        <w:spacing w:after="200"/>
      </w:pPr>
    </w:p>
    <w:p>
      <w:pPr>
        <w:spacing w:after="100"/>
      </w:pPr>
      <w:r>
        <w:rPr>
          <w:rFonts w:ascii="微軟正黑體" w:cs="微軟正黑體" w:eastAsia="微軟正黑體" w:hAnsi="微軟正黑體"/>
          <w:i/>
          <w:iCs/>
          <w:color w:val="777777"/>
          <w:sz w:val="18"/>
          <w:szCs w:val="18"/>
        </w:rPr>
        <w:t xml:space="preserve">115040年　115040_0505_行政學　第4題</w:t>
      </w:r>
    </w:p>
    <w:p>
      <w:pPr>
        <w:spacing w:after="120" w:line="340"/>
        <w:jc w:val="both"/>
      </w:pPr>
      <w:r>
        <w:rPr>
          <w:rFonts w:ascii="微軟正黑體" w:cs="微軟正黑體" w:eastAsia="微軟正黑體" w:hAnsi="微軟正黑體"/>
          <w:b/>
          <w:bCs/>
          <w:color w:val="1F4E79"/>
          <w:sz w:val="22"/>
          <w:szCs w:val="22"/>
        </w:rPr>
        <w:t xml:space="preserve">第6題　</w:t>
      </w:r>
      <w:r>
        <w:rPr>
          <w:rFonts w:ascii="微軟正黑體" w:cs="微軟正黑體" w:eastAsia="微軟正黑體" w:hAnsi="微軟正黑體"/>
          <w:sz w:val="22"/>
          <w:szCs w:val="22"/>
        </w:rPr>
        <w:t xml:space="preserve">21 世紀以來，公共行政也與企業或其他社會組織一樣，受到許多劇烈環境變化的挑戰，這些挑戰不包括下列何者？</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政府預算赤字普遍嚴重，導致國債也日益升高</w:t>
      </w:r>
    </w:p>
    <w:p>
      <w:pPr>
        <w:spacing w:after="60" w:line="320"/>
        <w:ind w:left="504"/>
      </w:pPr>
      <w:r>
        <w:rPr>
          <w:rFonts w:ascii="微軟正黑體" w:cs="微軟正黑體" w:eastAsia="微軟正黑體" w:hAnsi="微軟正黑體"/>
          <w:b/>
          <w:bCs/>
          <w:color w:val="1E7B34"/>
          <w:sz w:val="21"/>
          <w:szCs w:val="21"/>
        </w:rPr>
        <w:t xml:space="preserve">● B．</w:t>
      </w:r>
      <w:r>
        <w:rPr>
          <w:rFonts w:ascii="微軟正黑體" w:cs="微軟正黑體" w:eastAsia="微軟正黑體" w:hAnsi="微軟正黑體"/>
          <w:b/>
          <w:bCs/>
          <w:color w:val="1E7B34"/>
          <w:sz w:val="21"/>
          <w:szCs w:val="21"/>
        </w:rPr>
        <w:t xml:space="preserve">學術界主張後實證邏輯論（postpositivism），無法滿足實務界推動循證治 理的需要</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傳統政府著重安全與穩定，跟不上資通訊科技發展的快速步伐</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人民期待政府能夠不分時間、地點，提供即時且不間斷的公共服務</w:t>
      </w:r>
    </w:p>
    <w:p>
      <w:pPr>
        <w:spacing w:after="200" w:before="40"/>
      </w:pPr>
      <w:r>
        <w:rPr>
          <w:rFonts w:ascii="微軟正黑體" w:cs="微軟正黑體" w:eastAsia="微軟正黑體" w:hAnsi="微軟正黑體"/>
          <w:b/>
          <w:bCs/>
          <w:color w:val="1E7B34"/>
          <w:sz w:val="20"/>
          <w:szCs w:val="20"/>
        </w:rPr>
        <w:t xml:space="preserve">✔ 正解：B</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40"/>
              <w:left w:type="dxa" w:w="220"/>
              <w:bottom w:type="dxa" w:w="140"/>
              <w:right w:type="dxa" w:w="220"/>
            </w:tcMar>
          </w:tcPr>
          <w:p>
            <w:pPr>
              <w:spacing w:after="80"/>
            </w:pPr>
            <w:r>
              <w:rPr>
                <w:rFonts w:ascii="微軟正黑體" w:cs="微軟正黑體" w:eastAsia="微軟正黑體" w:hAnsi="微軟正黑體"/>
                <w:b/>
                <w:bCs/>
                <w:color w:val="1F4E79"/>
                <w:sz w:val="20"/>
                <w:szCs w:val="20"/>
              </w:rPr>
              <w:t xml:space="preserve">解析</w:t>
            </w:r>
          </w:p>
          <w:p>
            <w:pPr>
              <w:spacing w:line="320"/>
              <w:jc w:val="both"/>
            </w:pPr>
            <w:r>
              <w:rPr>
                <w:rFonts w:ascii="微軟正黑體" w:cs="微軟正黑體" w:eastAsia="微軟正黑體" w:hAnsi="微軟正黑體"/>
                <w:sz w:val="20"/>
                <w:szCs w:val="20"/>
              </w:rPr>
              <w:t xml:space="preserve">正確答案為B。21世紀公共行政面臨之環境挑戰，一般係指政府財政（預算赤字與國債攀升）、資通訊科技快速發展下政府反應能力之不足，以及民眾期待政府提供全天候即時公共服務等實務層面之衝擊；至於學術界對後實證邏輯論（postpositivism）之主張，係屬公共行政知識論與方法論層次的學術辯論議題，並非題幹所指涉、實務上迫使政府因應調整之環境劇烈變化挑戰，且「無法滿足循證治理需要」之因果論斷亦非普遍受公認之學術定論，故不屬於本題所稱21世紀公共行政面臨之環境挑戰之一。　選項辨析：A：政府預算赤字普遍嚴重、國債日益升高，確為21世紀各國政府普遍面臨之環境挑戰；C：傳統政府著重安全穩定、跟不上資通訊科技發展步伐，確為21世紀公共行政面臨之典型挑戰；D：民眾期待政府能不分時間地點提供即時且不間斷之公共服務，確為21世紀數位化浪潮下政府面臨之典型挑戰。　考點提醒：本題屬於「不包括」反向題型，其餘三個選項皆聚焦於實務治理環境的具體衝擊（財政、科技、民眾期待），而後實證論之學術方法論辯論則非此類實務環境挑戰之範疇。</w:t>
            </w:r>
          </w:p>
        </w:tc>
      </w:tr>
    </w:tbl>
    <w:p>
      <w:pPr>
        <w:spacing w:after="200"/>
      </w:pPr>
    </w:p>
    <w:p>
      <w:pPr>
        <w:spacing w:after="100"/>
      </w:pPr>
      <w:r>
        <w:rPr>
          <w:rFonts w:ascii="微軟正黑體" w:cs="微軟正黑體" w:eastAsia="微軟正黑體" w:hAnsi="微軟正黑體"/>
          <w:i/>
          <w:iCs/>
          <w:color w:val="777777"/>
          <w:sz w:val="18"/>
          <w:szCs w:val="18"/>
        </w:rPr>
        <w:t xml:space="preserve">115040年　115040_0505_行政學　第21題</w:t>
      </w:r>
    </w:p>
    <w:p>
      <w:pPr>
        <w:spacing w:after="120" w:line="340"/>
        <w:jc w:val="both"/>
      </w:pPr>
      <w:r>
        <w:rPr>
          <w:rFonts w:ascii="微軟正黑體" w:cs="微軟正黑體" w:eastAsia="微軟正黑體" w:hAnsi="微軟正黑體"/>
          <w:b/>
          <w:bCs/>
          <w:color w:val="1F4E79"/>
          <w:sz w:val="22"/>
          <w:szCs w:val="22"/>
        </w:rPr>
        <w:t xml:space="preserve">第7題　</w:t>
      </w:r>
      <w:r>
        <w:rPr>
          <w:rFonts w:ascii="微軟正黑體" w:cs="微軟正黑體" w:eastAsia="微軟正黑體" w:hAnsi="微軟正黑體"/>
          <w:sz w:val="22"/>
          <w:szCs w:val="22"/>
        </w:rPr>
        <w:t xml:space="preserve">有關各種府際關係類型以及相對應的國家，下列何者正確？</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單一制國家：巴西、英國</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邦聯制國家：獨立國家國協、瑞士</w:t>
      </w:r>
    </w:p>
    <w:p>
      <w:pPr>
        <w:spacing w:after="60" w:line="320"/>
        <w:ind w:left="504"/>
      </w:pPr>
      <w:r>
        <w:rPr>
          <w:rFonts w:ascii="微軟正黑體" w:cs="微軟正黑體" w:eastAsia="微軟正黑體" w:hAnsi="微軟正黑體"/>
          <w:b/>
          <w:bCs/>
          <w:color w:val="1E7B34"/>
          <w:sz w:val="21"/>
          <w:szCs w:val="21"/>
        </w:rPr>
        <w:t xml:space="preserve">● C．</w:t>
      </w:r>
      <w:r>
        <w:rPr>
          <w:rFonts w:ascii="微軟正黑體" w:cs="微軟正黑體" w:eastAsia="微軟正黑體" w:hAnsi="微軟正黑體"/>
          <w:b/>
          <w:bCs/>
          <w:color w:val="1E7B34"/>
          <w:sz w:val="21"/>
          <w:szCs w:val="21"/>
        </w:rPr>
        <w:t xml:space="preserve">聯邦制國家：墨西哥、印度</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複合制國家：法國、德國</w:t>
      </w:r>
    </w:p>
    <w:p>
      <w:pPr>
        <w:spacing w:after="200" w:before="40"/>
      </w:pPr>
      <w:r>
        <w:rPr>
          <w:rFonts w:ascii="微軟正黑體" w:cs="微軟正黑體" w:eastAsia="微軟正黑體" w:hAnsi="微軟正黑體"/>
          <w:b/>
          <w:bCs/>
          <w:color w:val="1E7B34"/>
          <w:sz w:val="20"/>
          <w:szCs w:val="20"/>
        </w:rPr>
        <w:t xml:space="preserve">✔ 正解：C</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40"/>
              <w:left w:type="dxa" w:w="220"/>
              <w:bottom w:type="dxa" w:w="140"/>
              <w:right w:type="dxa" w:w="220"/>
            </w:tcMar>
          </w:tcPr>
          <w:p>
            <w:pPr>
              <w:spacing w:after="80"/>
            </w:pPr>
            <w:r>
              <w:rPr>
                <w:rFonts w:ascii="微軟正黑體" w:cs="微軟正黑體" w:eastAsia="微軟正黑體" w:hAnsi="微軟正黑體"/>
                <w:b/>
                <w:bCs/>
                <w:color w:val="1F4E79"/>
                <w:sz w:val="20"/>
                <w:szCs w:val="20"/>
              </w:rPr>
              <w:t xml:space="preserve">解析</w:t>
            </w:r>
          </w:p>
          <w:p>
            <w:pPr>
              <w:spacing w:line="320"/>
              <w:jc w:val="both"/>
            </w:pPr>
            <w:r>
              <w:rPr>
                <w:rFonts w:ascii="微軟正黑體" w:cs="微軟正黑體" w:eastAsia="微軟正黑體" w:hAnsi="微軟正黑體"/>
                <w:sz w:val="20"/>
                <w:szCs w:val="20"/>
              </w:rPr>
              <w:t xml:space="preserve">正確答案為C。府際關係依中央與地方權力分配型態，可概分為單一制（中央集權、地方權力源自中央授予，如英國、法國、日本）、聯邦制（中央與地方權限依憲法明定劃分，各自享有相當自主權，如美國、加拿大、德國、墨西哥、印度）與邦聯制（由主權獨立國家組成之鬆散聯盟，各成員國保有高度主權，如早期美國邦聯、獨立國家國協）。墨西哥與印度之政府體制均採聯邦制，中央與地方（州）政府之權限劃分明定於憲法之中，故此配對正確。　選項辨析：A：英國固為單一制國家，惟巴西之政府體制實為聯邦制（非單一制），配對錯誤；B：獨立國家國協之鬆散聯盟性質較接近邦聯制精神，惟瑞士雖國名為「邦聯」，其實際憲政體制運作上已屬聯邦制國家，配對有誤；D：德國之政府體制屬聯邦制，而非題幹所稱之「複合制」，且法國為單一制國家，此配對與一般府際關係類型學分類不符。　考點提醒：瑞士國名雖含「邦聯」（Confederation）字樣，但其實際憲政運作已具聯邦制實質，是比較政府考題中經典的「名實不符」陷阱，須特別留意。</w:t>
            </w:r>
          </w:p>
        </w:tc>
      </w:tr>
    </w:tbl>
    <w:p>
      <w:pPr>
        <w:spacing w:after="200"/>
      </w:pP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微軟正黑體" w:cs="微軟正黑體" w:eastAsia="微軟正黑體" w:hAnsi="微軟正黑體"/>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2026-09-03T17:33:51.502Z</dcterms:created>
  <dcterms:modified xsi:type="dcterms:W3CDTF">2026-09-03T17:33:51.502Z</dcterms:modified>
</cp:coreProperties>
</file>

<file path=docProps/custom.xml><?xml version="1.0" encoding="utf-8"?>
<Properties xmlns="http://schemas.openxmlformats.org/officeDocument/2006/custom-properties" xmlns:vt="http://schemas.openxmlformats.org/officeDocument/2006/docPropsVTypes"/>
</file>