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第二十七章　異質案例、理論重構與人機共構治理總結</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是全書27章之最終章，合併對應大學教科書《行政學》第二十八章「異質案例壓力測試：異質場域的一般性檢驗」、第二十九章「理論承受力與典範重構」與第三十章「人機共構治理（全書總結）」，是第25章起連續五章方法論深化之收尾。內容取材自三章共七節母體教材（第28章：為何要做跨領域壓力測試、八個異質場域案例總覽、AI治理專節跨案例系統性模式與七審難易度；第29章：理論承受力測試之方法論、五個經典理論的AI壓力測試、AI治理專節臺灣人工智慧基本法作為典範重構之制度化案例；第30章：全書回顧、人機共構治理五項實踐原則、AI治理專節三份行動清單），依國考「考點化、模組化、背誦＋應用」邏輯重新壓縮改寫為四節：第一節整合原第28章第一、二節（跨領域壓力測試之方法論與八個異質場域案例總覽）；第二節整合原第28章第三節（跨案例系統性模式、自動化偏誤、七項治理審計難易度、三項結構效應與四鏈跨場域分布）；第三節整合原第29章第一、二節（Kuhn典範轉移理論、五個經典理論之AI壓力測試與修正命題）；第四節整合原第29章第三節與第30章全部內容（臺灣《人工智慧基本法》作為制度化案例、人機共構治理五項實踐原則，作為全書總結）。經以本語料庫（107-111年）逐一比對，第28、29、30三章母體教材所對應之範圍內查無直接對應之申論真題，此一情形與第25、26章相同。爰依全書體例，三題全數採模擬命題設計，並於各題【考題出處】明確標示，避免與真實歷屆試題混淆。三題之設計原則為：以本章方法論之綜合應用能力為核心，並援引母體教材中翔實記載之真實案例（芝加哥策略性對象名單、Amazon履歷篩選AI、臺灣人工智慧基本法）與全書自創之五項實踐原則作為答題工具，訓練讀者獨立診斷全新AI公共行政案例之綜合能力，呼應第30章「能獨立運用25-3-3-4-7框架，分析一個本書未曾討論之全新AI公共行政案例」之學習目標。依全書格式定版說明，題目一（A級）維持三種完整答案版本，題目二（B級）與題目三（C級）改為標準版參考答案＋【高分加分點】。</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跨領域壓力測試的方法論與八個異質場域案例總覽</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跨領域壓力測試是對25-3-3-4-7框架進行的最後一次總檢驗：前四章分別以單一場域（健保AI審查、七項治理審計）深入示範框架之操作，本節則反其道而行，刻意橫向鋪開八個結構迥異之場域，檢驗同一套框架是否僅適用於社福或財稅等個案給付型行政決定，抑或確實具有跨場域之一般性解釋力。此一邏輯類似工程領域之「邊界條件測試」——不是在最適合之條件下驗證可行，而是刻意置於差異最大之情境中，觀察其解釋力是否維持一致。</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測試策略有三層：其一，橫向鋪開至少八個結構迥異之場域，涵蓋給付行政（社福）、干預行政（警政、司法）、內部管理（人事）、稽核行政（財務）、資訊調控（教育、資安）與跨境行政（海關）；其二，對每一場域至少辨識其主導之權力移轉類型與最脆弱之治理鏈，而非僅描述案例本身；其三，綜合八個場域之結果，尋找跨案例反覆出現之系統性模式——唯有系統性模式，才足以支持框架具有一般性解釋力之主張，個別案例之巧合並不足以支持此一結論。</w:t>
      </w:r>
    </w:p>
    <w:p>
      <w:pPr>
        <w:pStyle w:val="ListParagraph"/>
        <w:numPr>
          <w:ilvl w:val="0"/>
          <w:numId w:val="2"/>
        </w:numPr>
        <w:spacing w:after="120" w:line="340"/>
      </w:pPr>
      <w:r>
        <w:rPr>
          <w:rFonts w:ascii="微軟正黑體" w:cs="微軟正黑體" w:eastAsia="微軟正黑體" w:hAnsi="微軟正黑體"/>
          <w:sz w:val="22"/>
          <w:szCs w:val="22"/>
        </w:rPr>
        <w:t xml:space="preserve">此一方法論呼應第25章「25座標是定位系統，不是計分系統」之提醒：跨領域壓力測試同樣不是要為八個場域打分數、排名誰的治理最好，而是要具體回答「這套共同語彙，能不能讓警政、人事、海關的治理問題，被放進同一張表格裡被比較、被討論」——如果答案是肯定的，25-3-3-4-7便真正發揮了作為全書共同語言之功能。</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800"/>
        <w:gridCol w:w="2400"/>
        <w:gridCol w:w="24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場域</w:t>
            </w:r>
          </w:p>
        </w:tc>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代表案例</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主要權力移轉</w:t>
            </w:r>
          </w:p>
        </w:tc>
        <w:tc>
          <w:tcPr>
            <w:tcW w:type="dxa" w:w="2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最脆弱治理鏈</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社會福利</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美國費城AFST自動化家庭篩選工具╱澳洲Robodebt╱荷蘭SyRI</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P1情境建構（誰被資料化為高風險家庭）</w:t>
            </w:r>
          </w:p>
        </w:tc>
        <w:tc>
          <w:tcPr>
            <w:tcW w:type="dxa" w:w="2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情境建構鏈</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警政</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美國芝加哥策略性對象名單（SSL）</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P1情境建構＋P3實質影響</w:t>
            </w:r>
          </w:p>
        </w:tc>
        <w:tc>
          <w:tcPr>
            <w:tcW w:type="dxa" w:w="2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責任鏈</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人事</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美國Amazon履歷篩選AI╱EEOC v. iTutorGroup</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P2裁量判斷（履歷排序即隱性錄取建議）</w:t>
            </w:r>
          </w:p>
        </w:tc>
        <w:tc>
          <w:tcPr>
            <w:tcW w:type="dxa" w:w="2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理由鏈</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財務</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美國IRS演算法選案</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P1情境建構（誰被標記為高稽查風險）</w:t>
            </w:r>
          </w:p>
        </w:tc>
        <w:tc>
          <w:tcPr>
            <w:tcW w:type="dxa" w:w="2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民主課責鏈</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司法</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COMPAS累犯風險評估工具</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P2裁量判斷（風險分數影響量刑建議）</w:t>
            </w:r>
          </w:p>
        </w:tc>
        <w:tc>
          <w:tcPr>
            <w:tcW w:type="dxa" w:w="2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理由鏈</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教育</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英國Ofqual A-level評分演算法（2020）</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P3實質影響（分數直接決定升學資格）</w:t>
            </w:r>
          </w:p>
        </w:tc>
        <w:tc>
          <w:tcPr>
            <w:tcW w:type="dxa" w:w="2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民主課責鏈</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資安與選舉誠信</w:t>
            </w:r>
          </w:p>
        </w:tc>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2023斯洛伐克大選深偽錄音事件</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P1情境建構（可信資訊之認定崩解）</w:t>
            </w:r>
          </w:p>
        </w:tc>
        <w:tc>
          <w:tcPr>
            <w:tcW w:type="dxa" w:w="2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情境建構鏈與理由鏈</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國際貿易海關</w:t>
            </w:r>
          </w:p>
        </w:tc>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加拿大運輸部PACT空運貨物風險鎖定工具</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P1情境建構（哪些貨物被標記為風險）</w:t>
            </w:r>
          </w:p>
        </w:tc>
        <w:tc>
          <w:tcPr>
            <w:tcW w:type="dxa" w:w="2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民主課責鏈</w:t>
            </w:r>
          </w:p>
        </w:tc>
      </w:tr>
    </w:tbl>
    <w:p>
      <w:pPr>
        <w:spacing w:after="280" w:before="120"/>
        <w:jc w:val="center"/>
      </w:pPr>
      <w:r>
        <w:rPr>
          <w:rFonts w:ascii="微軟正黑體" w:cs="微軟正黑體" w:eastAsia="微軟正黑體" w:hAnsi="微軟正黑體"/>
          <w:i/>
          <w:iCs/>
          <w:color w:val="555555"/>
          <w:sz w:val="18"/>
          <w:szCs w:val="18"/>
        </w:rPr>
        <w:t xml:space="preserve">表27-1　八個異質場域案例總覽（跨領域壓力測試）</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這張總覽表格本身即是一項發現：八個場域雖然行政任務性質迥異，但每一案例都能被清楚定位於某一主導之權力移轉類型與最脆弱之治理鏈——沒有任何一個場域「無法被框架描述」。這是框架具有跨場域一般性之初步證據，但一般性不等於「每個場域的斷裂模式都相同」，第二節將進一步比較各場域之異同。</w:t>
      </w:r>
    </w:p>
    <w:p>
      <w:pPr>
        <w:spacing w:after="140" w:before="260"/>
      </w:pPr>
      <w:r>
        <w:rPr>
          <w:rFonts w:ascii="微軟正黑體" w:cs="微軟正黑體" w:eastAsia="微軟正黑體" w:hAnsi="微軟正黑體"/>
          <w:b/>
          <w:bCs/>
          <w:color w:val="2E5C8A"/>
          <w:sz w:val="23"/>
          <w:szCs w:val="23"/>
        </w:rPr>
        <w:t xml:space="preserve">五、優點與限制</w:t>
      </w:r>
    </w:p>
    <w:p>
      <w:pPr>
        <w:spacing w:after="200" w:line="360"/>
        <w:ind w:firstLine="431"/>
        <w:jc w:val="both"/>
      </w:pPr>
      <w:r>
        <w:rPr>
          <w:rFonts w:ascii="微軟正黑體" w:cs="微軟正黑體" w:eastAsia="微軟正黑體" w:hAnsi="微軟正黑體"/>
          <w:sz w:val="22"/>
          <w:szCs w:val="22"/>
        </w:rPr>
        <w:t xml:space="preserve">跨領域壓力測試之貢獻在於，避免框架僅停留於單一領域深度案例研究之方法論侷限——若框架僅能解釋社福或司法領域之現象，則稱其為「全書共同語言」便言過其實；惟其限制在於，橫向鋪開之廣度必然犧牲部分深度，八個場域之案例分析無法如單一深度案例般鉅細靡遺，這是跨領域壓力測試方法論本身之取捨。</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將表27-1橫向比較所得之三項系統性模式（P1情境建構偏誤、P2自動化偏誤、P3委外課責稀釋），以及七項治理審計之跨案例通過難易度排序，留待第二節深入闡述。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健保署智慧審查工具（第26章）與美國IRS演算法選案，同屬「誰被標記為高風險╱高稽查對象」之情境建構權議題，可與表27-1之財務、社福場域並列比較，顯示本章之跨場域比較架構同樣適用於檢視我國本土案例，並非僅限於國際案例之單向套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跨領域壓力測試之方法論邏輯：橫向鋪開多場域＋逐一辨識主導權力移轉與最脆弱治理鏈＋尋找跨案例系統性模式，三者缺一不可。</w:t>
            </w:r>
          </w:p>
          <w:p>
            <w:pPr>
              <w:spacing w:after="80" w:line="320"/>
            </w:pPr>
            <w:r>
              <w:rPr>
                <w:rFonts w:ascii="微軟正黑體" w:cs="微軟正黑體" w:eastAsia="微軟正黑體" w:hAnsi="微軟正黑體"/>
                <w:sz w:val="21"/>
                <w:szCs w:val="21"/>
              </w:rPr>
              <w:t xml:space="preserve">•　八個異質場域之代表案例、主導權力移轉類型與最脆弱治理鏈之正確配對（表27-1），為本章最核心之記憶考點。</w:t>
            </w:r>
          </w:p>
          <w:p>
            <w:pPr>
              <w:spacing w:after="0" w:line="320"/>
            </w:pPr>
            <w:r>
              <w:rPr>
                <w:rFonts w:ascii="微軟正黑體" w:cs="微軟正黑體" w:eastAsia="微軟正黑體" w:hAnsi="微軟正黑體"/>
                <w:sz w:val="21"/>
                <w:szCs w:val="21"/>
              </w:rPr>
              <w:t xml:space="preserve">•　「沒有任何場域無法被框架描述」是框架具有一般性之初步證據，但不等於「所有場域斷裂模式相同」，此一區辨常為考題陷阱。</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八場域口訣：社福警政人事財務（給付＋干預＋管理＋稽核）、司法教育資安海關（審判＋升學＋資安＋通關），四組兩兩對比記憶。</w:t>
            </w:r>
          </w:p>
          <w:p>
            <w:pPr>
              <w:spacing w:after="0" w:line="320"/>
            </w:pPr>
            <w:r>
              <w:rPr>
                <w:rFonts w:ascii="微軟正黑體" w:cs="微軟正黑體" w:eastAsia="微軟正黑體" w:hAnsi="微軟正黑體"/>
                <w:sz w:val="21"/>
                <w:szCs w:val="21"/>
              </w:rPr>
              <w:t xml:space="preserve">•　跨領域壓力測試像「邊界條件測試」——不是挑最順的情境驗證，而是刻意挑最不一樣的情境考驗框架撐不撐得住。</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主導權力移轉類型」與「最脆弱治理鏈」不是同一件事——前者問的是「哪一種權力在此場域中被移轉得最明顯」，後者問的是「哪一條治理鏈在此場域中最容易出問題」，二者常有對應關係但並非同義詞，答題時應分別交代。</w:t>
            </w:r>
          </w:p>
          <w:p>
            <w:pPr>
              <w:spacing w:after="0" w:line="320"/>
            </w:pPr>
            <w:r>
              <w:rPr>
                <w:rFonts w:ascii="微軟正黑體" w:cs="微軟正黑體" w:eastAsia="微軟正黑體" w:hAnsi="微軟正黑體"/>
                <w:sz w:val="21"/>
                <w:szCs w:val="21"/>
              </w:rPr>
              <w:t xml:space="preserve">•　「框架具有一般性」不等於「框架沒有邊界」——本節僅證實框架能為八個場域提供共同分析語彙，框架之邊界（如科學推論型AI應用）之討論，須留待更完整之方法論反思，不可逕自推論框架毫無限制。</w:t>
            </w:r>
          </w:p>
        </w:tc>
      </w:tr>
    </w:tbl>
    <w:p>
      <w:pPr>
        <w:spacing w:after="280"/>
      </w:pPr>
    </w:p>
    <w:p>
      <w:pPr>
        <w:spacing w:after="180" w:before="360"/>
      </w:pPr>
      <w:r>
        <w:rPr>
          <w:rFonts w:ascii="微軟正黑體" w:cs="微軟正黑體" w:eastAsia="微軟正黑體" w:hAnsi="微軟正黑體"/>
          <w:b/>
          <w:bCs/>
          <w:color w:val="1F4E79"/>
          <w:sz w:val="26"/>
          <w:szCs w:val="26"/>
        </w:rPr>
        <w:t xml:space="preserve">第二節　跨案例系統性模式與七項治理審計難易度</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將八個異質場域橫向比較，可觀察到三項系統性模式：P1情境建構權之斷裂反覆出現於社福、警政、財務、資安等場域；P2裁量判斷權之斷裂與人類審查者之「自動化偏誤」密切相關；P3實質影響力之斷裂則在涉及委外廠商或公私協力之場域中最為嚴重。</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P1情境建構權之斷裂，共同病灶多指向「弱勢或邊緣群體代表性不足」——美國費城AFST、荷蘭SyRI、芝加哥SSL皆顯示，訓練資料或名單生成邏輯，對特定人口群體存在系統性之過度標記。</w:t>
      </w:r>
    </w:p>
    <w:p>
      <w:pPr>
        <w:pStyle w:val="ListParagraph"/>
        <w:numPr>
          <w:ilvl w:val="0"/>
          <w:numId w:val="2"/>
        </w:numPr>
        <w:spacing w:after="120" w:line="340"/>
      </w:pPr>
      <w:r>
        <w:rPr>
          <w:rFonts w:ascii="微軟正黑體" w:cs="微軟正黑體" w:eastAsia="微軟正黑體" w:hAnsi="微軟正黑體"/>
          <w:sz w:val="22"/>
          <w:szCs w:val="22"/>
        </w:rPr>
        <w:t xml:space="preserve">P2裁量判斷權之斷裂，與人類審查者對演算法建議之「自動化偏誤」（automation bias）密切相關：Skitka、Mosier與Burdick（1999）之經典研究指出，操作者傾向以自動化提示取代自身之警覺監督，導致遺漏型與服從型錯誤；Alon-Barkat與Busuioc（2023）進一步以公部門決策實驗證實，公務人員對演算法建議存在「選擇性遵從」（selective adherence）——當演算法建議符合既有刻板印象時，遵從程度更高。須特別說明的是，學界對「人類審查者採信演算法建議之比例」並無放諸四海皆準之單一百分比，答題時不宜引用未經證實之具體數字，僅陳述此一方向性發現。</w:t>
      </w:r>
    </w:p>
    <w:p>
      <w:pPr>
        <w:pStyle w:val="ListParagraph"/>
        <w:numPr>
          <w:ilvl w:val="0"/>
          <w:numId w:val="2"/>
        </w:numPr>
        <w:spacing w:after="120" w:line="340"/>
      </w:pPr>
      <w:r>
        <w:rPr>
          <w:rFonts w:ascii="微軟正黑體" w:cs="微軟正黑體" w:eastAsia="微軟正黑體" w:hAnsi="微軟正黑體"/>
          <w:sz w:val="22"/>
          <w:szCs w:val="22"/>
        </w:rPr>
        <w:t xml:space="preserve">P3實質影響力之斷裂，在涉及委外廠商或公私協力之場域中最為嚴重——第26章之健保AI審查、本節之Amazon履歷篩選AI，均顯示演算法邏輯之技術細節掌握在民間廠商手中，行政機關難以完整課責。</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600"/>
        <w:gridCol w:w="56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審計項目</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通過難易度</w:t>
            </w:r>
          </w:p>
        </w:tc>
        <w:tc>
          <w:tcPr>
            <w:tcW w:type="dxa" w:w="5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跨案例證據</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組織能力審計</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易</w:t>
            </w:r>
          </w:p>
        </w:tc>
        <w:tc>
          <w:tcPr>
            <w:tcW w:type="dxa" w:w="5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多數案例所屬機關均編列預算與教育訓練，惟預算與訓練之投入不必然反映實質稽核能力</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隱私與資安審計</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中</w:t>
            </w:r>
          </w:p>
        </w:tc>
        <w:tc>
          <w:tcPr>
            <w:tcW w:type="dxa" w:w="5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去識別化等技術性要求相對明確可稽核，惟荷蘭SyRI案顯示形式合法之去識別化仍可能造成實質侵害</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資料代表性審計</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中偏難</w:t>
            </w:r>
          </w:p>
        </w:tc>
        <w:tc>
          <w:tcPr>
            <w:tcW w:type="dxa" w:w="5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AFST、SyRI、芝加哥SSL均顯示弱勢群體代表性不足為系統性現象，惟具備相對明確之可測量指標</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裁量邊界審計</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中偏難</w:t>
            </w:r>
          </w:p>
        </w:tc>
        <w:tc>
          <w:tcPr>
            <w:tcW w:type="dxa" w:w="5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自動化偏誤研究顯示人類審查者傾向高度採信演算法建議，實質裁量空間可能名存實亡</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理由說明審計</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難</w:t>
            </w:r>
          </w:p>
        </w:tc>
        <w:tc>
          <w:tcPr>
            <w:tcW w:type="dxa" w:w="5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COMPAS、Amazon履歷篩選AI均涉及商業機密演算法邏輯無法對外公開檢視之爭議</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責任歸屬審計</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難</w:t>
            </w:r>
          </w:p>
        </w:tc>
        <w:tc>
          <w:tcPr>
            <w:tcW w:type="dxa" w:w="5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健保AI審查、芝加哥SSL均顯示系統實際使用方式不透明，難以追溯當責之自然人或職位</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民主課責審計</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最難</w:t>
            </w:r>
          </w:p>
        </w:tc>
        <w:tc>
          <w:tcPr>
            <w:tcW w:type="dxa" w:w="5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Ofqual、芝加哥SSL均是公眾抗議或獨立監督機關調查後，才促成緊急撤回或停用</w:t>
            </w:r>
          </w:p>
        </w:tc>
      </w:tr>
    </w:tbl>
    <w:p>
      <w:pPr>
        <w:spacing w:after="280" w:before="120"/>
        <w:jc w:val="center"/>
      </w:pPr>
      <w:r>
        <w:rPr>
          <w:rFonts w:ascii="微軟正黑體" w:cs="微軟正黑體" w:eastAsia="微軟正黑體" w:hAnsi="微軟正黑體"/>
          <w:i/>
          <w:iCs/>
          <w:color w:val="555555"/>
          <w:sz w:val="18"/>
          <w:szCs w:val="18"/>
        </w:rPr>
        <w:t xml:space="preserve">表27-2　七項治理審計通過難易度跨案例比較</w:t>
      </w:r>
    </w:p>
    <w:p>
      <w:pPr>
        <w:spacing w:after="140" w:before="260"/>
      </w:pPr>
      <w:r>
        <w:rPr>
          <w:rFonts w:ascii="微軟正黑體" w:cs="微軟正黑體" w:eastAsia="微軟正黑體" w:hAnsi="微軟正黑體"/>
          <w:b/>
          <w:bCs/>
          <w:color w:val="2E5C8A"/>
          <w:sz w:val="23"/>
          <w:szCs w:val="23"/>
        </w:rPr>
        <w:t xml:space="preserve">四、核心命題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813"/>
        <w:gridCol w:w="3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結構效應</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定義</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跨場域例證</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跨格移動</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AI由管理運作層之個案處理，向政策體系、制度分工、社會或國際單位擴張</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芝加哥SSL由個案風險評估，擴張為全市近四十萬人之常態監控名單</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邊界消解</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人的判斷、技術規則、組織程序與政策形成難以清楚區分</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Amazon履歷篩選AI原僅為招募技術輔助工具，卻實質形塑公司人才政策之性別結構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權威重構</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法定決定者與實際影響結果之模型開發者、資料人員不再重合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COMPAS由民間廠商開發，法官依分數量刑，卻無法完整檢視演算法內部邏輯</w:t>
            </w:r>
          </w:p>
        </w:tc>
      </w:tr>
    </w:tbl>
    <w:p>
      <w:pPr>
        <w:spacing w:after="280" w:before="120"/>
        <w:jc w:val="center"/>
      </w:pPr>
      <w:r>
        <w:rPr>
          <w:rFonts w:ascii="微軟正黑體" w:cs="微軟正黑體" w:eastAsia="微軟正黑體" w:hAnsi="微軟正黑體"/>
          <w:i/>
          <w:iCs/>
          <w:color w:val="555555"/>
          <w:sz w:val="18"/>
          <w:szCs w:val="18"/>
        </w:rPr>
        <w:t xml:space="preserve">表27-3　三項結構效應跨場域分布</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13"/>
        <w:gridCol w:w="2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跨場域最常見斷裂型態</w:t>
            </w:r>
          </w:p>
        </w:tc>
        <w:tc>
          <w:tcPr>
            <w:tcW w:type="dxa" w:w="2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情境建構鏈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弱勢或邊緣群體於資料蒐集階段即被過度標記或排除（社福╱警政╱財務場域最顯著）</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資料代表性審計、隱私與資安審計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權威鏈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授權基礎隨委外層層外包而稀釋（健保審查╱人事招募場域最顯著）</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責任歸屬審計、民主課責審計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理由鏈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商業機密與技術複雜性阻卻行政可解釋性（司法╱人事場域最顯著）</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責任鏈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系統實際使用方式不透明，難以追溯當責者（警政╱健保審查場域最顯著）</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表27-4　四條治理鏈跨場域最常見斷裂型態</w:t>
      </w:r>
    </w:p>
    <w:p>
      <w:pPr>
        <w:spacing w:after="200" w:line="360"/>
        <w:ind w:firstLine="431"/>
        <w:jc w:val="both"/>
      </w:pPr>
      <w:r>
        <w:rPr>
          <w:rFonts w:ascii="微軟正黑體" w:cs="微軟正黑體" w:eastAsia="微軟正黑體" w:hAnsi="微軟正黑體"/>
          <w:sz w:val="22"/>
          <w:szCs w:val="22"/>
        </w:rPr>
        <w:t xml:space="preserve">此一整合比較就像把同一把量尺，分別拿去量體溫、量血壓、量身高——量尺本身不變，但量出來的數字意義不同，有些場域量起來又快又準（組織能力），有些場域量尺根本很難伸進去（民主課責）。這不代表量尺壞了，而是提醒治理設計必須對症下藥，而不是以為同一套檢查表就能解決所有問題。</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跨案例系統性模式顯示，七項治理審計中系統性最難通過者為民主課責審計與責任歸屬審計，兩者皆涉及權力之重新分配而非單純之技術或行政投入，此一發現與行政學經典理論在AI時代面臨之挑戰高度呼應，留待第三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於審計行政中若亦出現「組織能力審計易通過（已編列AI相關教育訓練預算）、但民主課責審計難通過（尚缺乏常態性公民參與AI治理政策之制度設計）」之類似模式，即可作為本章跨案例系統性發現在我國本土脈絡下之驗證案例，值得持續追蹤觀察。</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三項系統性模式：P1情境建構偏誤（弱勢群體代表性不足）、P2自動化偏誤（Skitka et al., 1999；Alon-Barkat &amp; Busuioc, 2023選擇性遵從）、P3委外課責稀釋。</w:t>
            </w:r>
          </w:p>
          <w:p>
            <w:pPr>
              <w:spacing w:after="80" w:line="320"/>
            </w:pPr>
            <w:r>
              <w:rPr>
                <w:rFonts w:ascii="微軟正黑體" w:cs="微軟正黑體" w:eastAsia="微軟正黑體" w:hAnsi="微軟正黑體"/>
                <w:sz w:val="21"/>
                <w:szCs w:val="21"/>
              </w:rPr>
              <w:t xml:space="preserve">•　七項治理審計跨案例難易度排序：易（組織能力）→中（隱私資安）→中偏難（資料代表性、裁量邊界）→難（理由說明、責任歸屬）→最難（民主課責）。</w:t>
            </w:r>
          </w:p>
          <w:p>
            <w:pPr>
              <w:spacing w:after="0" w:line="320"/>
            </w:pPr>
            <w:r>
              <w:rPr>
                <w:rFonts w:ascii="微軟正黑體" w:cs="微軟正黑體" w:eastAsia="微軟正黑體" w:hAnsi="微軟正黑體"/>
                <w:sz w:val="21"/>
                <w:szCs w:val="21"/>
              </w:rPr>
              <w:t xml:space="preserve">•　三項結構效應（跨格移動╱邊界消解╱權威重構）之跨場域例證：芝加哥SSL（跨格移動）、Amazon履歷篩選AI（邊界消解）、COMPAS（權威重構）。</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審計難易度口訣：組織能力最好過（有編預算就行）、民主課責過不了（要外部監督才行）。</w:t>
            </w:r>
          </w:p>
          <w:p>
            <w:pPr>
              <w:spacing w:after="0" w:line="320"/>
            </w:pPr>
            <w:r>
              <w:rPr>
                <w:rFonts w:ascii="微軟正黑體" w:cs="微軟正黑體" w:eastAsia="微軟正黑體" w:hAnsi="微軟正黑體"/>
                <w:sz w:val="21"/>
                <w:szCs w:val="21"/>
              </w:rPr>
              <w:t xml:space="preserve">•　自動化偏誤口訣：Skitka管「人會不會少看一眼」、Alon-Barkat與Busuioc管「人會不會挑著相信」。</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「自動化偏誤」（automation bias）與「選擇性遵從」（selective adherence）不同——前者指人類傾向以自動化提示取代自身警覺監督之一般傾向（Skitka et al., 1999），後者指此一遵從程度會隨演算法建議是否符合既有刻板印象而系統性變化（Alon-Barkat &amp; Busuioc, 2023），後者是前者之精緻化發現，不宜混為一談。</w:t>
            </w:r>
          </w:p>
          <w:p>
            <w:pPr>
              <w:spacing w:after="0" w:line="320"/>
            </w:pPr>
            <w:r>
              <w:rPr>
                <w:rFonts w:ascii="微軟正黑體" w:cs="微軟正黑體" w:eastAsia="微軟正黑體" w:hAnsi="微軟正黑體"/>
                <w:sz w:val="21"/>
                <w:szCs w:val="21"/>
              </w:rPr>
              <w:t xml:space="preserve">•　「組織能力審計易通過」不代表「機關實質稽核能力足夠」——表27-2明確指出，預算與訓練之投入不必然反映實質稽核能力，此為跨案例比較中最容易被誤讀之發現，答題時應特別留意此一但書。</w:t>
            </w:r>
          </w:p>
        </w:tc>
      </w:tr>
    </w:tbl>
    <w:p>
      <w:pPr>
        <w:spacing w:after="280"/>
      </w:pPr>
    </w:p>
    <w:p>
      <w:pPr>
        <w:spacing w:after="180" w:before="360"/>
      </w:pPr>
      <w:r>
        <w:rPr>
          <w:rFonts w:ascii="微軟正黑體" w:cs="微軟正黑體" w:eastAsia="微軟正黑體" w:hAnsi="微軟正黑體"/>
          <w:b/>
          <w:bCs/>
          <w:color w:val="1F4E79"/>
          <w:sz w:val="26"/>
          <w:szCs w:val="26"/>
        </w:rPr>
        <w:t xml:space="preserve">第三節　五個經典理論的AI壓力測試與典範重構</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理論承受力測試與第一節之跨領域壓力測試，測試對象截然不同：跨領域壓力測試問的是「25-3-3-4-7框架能否解釋警政、人事、海關等結構迥異的場域」，測試的是分析工具本身；理論承受力測試問的是更根本的問題「行政學賴以建立學科認同的經典理論，在AI鑲嵌的條件下，其核心命題是否依然成立」，測試的是被分析對象所依附之理論基礎本身。</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Kuhn（1962）在《科學革命的結構》中指出，一個學科之「常態科學」建立在共享典範之上，典範提供該學科認定何為有效問題、何為有效解答之共同語言；當既有典範無法解釋累積之異例（anomaly）時，便進入「危機」階段，最終導致典範轉移（paradigm shift）。本節借用此一分析架構，逐一檢視五個構成行政學核心典範之理論支柱，在AI鑲嵌之下，是否已出現無法被既有理論完整解釋之異例；若異例存在，便進一步追問：這是可以透過局部修正吸收之異例，還是需要典範層次之重構？</w:t>
      </w:r>
    </w:p>
    <w:p>
      <w:pPr>
        <w:pStyle w:val="ListParagraph"/>
        <w:numPr>
          <w:ilvl w:val="0"/>
          <w:numId w:val="2"/>
        </w:numPr>
        <w:spacing w:after="120" w:line="340"/>
      </w:pPr>
      <w:r>
        <w:rPr>
          <w:rFonts w:ascii="微軟正黑體" w:cs="微軟正黑體" w:eastAsia="微軟正黑體" w:hAnsi="微軟正黑體"/>
          <w:sz w:val="22"/>
          <w:szCs w:val="22"/>
        </w:rPr>
        <w:t xml:space="preserve">逐一檢驗Wilson政治行政二分、Weber官僚體制、Simon有限理性、Ostrom多中心治理、Frederickson新公共行政（社會公平）五個理論，並以本書已使用之實證案例作為交叉比對之依據，詳如表27-5。此外，Bovens與Zouridis（2002）提出「系統層級官僚」（system-level bureaucracy）概念，指出資通訊科技之演進，已使行政機關之運作型態，從「基層官僚」（street-level bureaucracy，強調基層人員面對個案時之裁量空間）、「螢幕層級官僚」（screen-level bureaucracy，電腦輔助但人員仍主導判斷），演變為「系統層級官僚」（system-level bureaucracy，系統直接處理個案，人員角色被邊緣化）；Cetina Presuel與Martinez Sierra（2024）進一步以韋伯觀點分析，指出「演算法官僚」雖形式上仍延續韋伯所強調之規則治理精神，但規則之透明度與可課責性，卻可能因程式碼本身之技術複雜性而弱化，此即Weber官僚體制修正命題之理論源頭。</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2413"/>
        <w:gridCol w:w="24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理論／學者</w:t>
            </w:r>
          </w:p>
        </w:tc>
        <w:tc>
          <w:tcPr>
            <w:tcW w:type="dxa" w:w="2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核心主張</w:t>
            </w:r>
          </w:p>
        </w:tc>
        <w:tc>
          <w:tcPr>
            <w:tcW w:type="dxa" w:w="2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AI時代之挑戰</w:t>
            </w:r>
          </w:p>
        </w:tc>
        <w:tc>
          <w:tcPr>
            <w:tcW w:type="dxa" w:w="2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建議修正命題</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Wilson政治行政二分</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政治決定政策方向，行政中立執行，兩者應予區分</w:t>
            </w:r>
          </w:p>
        </w:tc>
        <w:tc>
          <w:tcPr>
            <w:tcW w:type="dxa" w:w="2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模型訓練本身即為價值選擇，AI執行階段已無法自稱價值中立</w:t>
            </w:r>
          </w:p>
        </w:tc>
        <w:tc>
          <w:tcPr>
            <w:tcW w:type="dxa" w:w="2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政治監督應擴及演算法價值選擇本身</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Weber官僚體制</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依法行政、層級節制、非人格性、專業分工為理性行政基礎</w:t>
            </w:r>
          </w:p>
        </w:tc>
        <w:tc>
          <w:tcPr>
            <w:tcW w:type="dxa" w:w="2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規則內建於程式碼，層級節制被扁平化資料流取代</w:t>
            </w:r>
          </w:p>
        </w:tc>
        <w:tc>
          <w:tcPr>
            <w:tcW w:type="dxa" w:w="2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依法與依審計行政；層級節制與演算法可追溯性並重</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Simon有限理性</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人類認知能力有限，組織藉簡化決策程序輔助有限理性決策者</w:t>
            </w:r>
          </w:p>
        </w:tc>
        <w:tc>
          <w:tcPr>
            <w:tcW w:type="dxa" w:w="2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演算法理性可能超越人類，但同時可能放大訓練資料中隱含偏見</w:t>
            </w:r>
          </w:p>
        </w:tc>
        <w:tc>
          <w:tcPr>
            <w:tcW w:type="dxa" w:w="2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理性擴張與偏見擴張須同步審視</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Ostrom多中心治理</w:t>
            </w:r>
          </w:p>
        </w:tc>
        <w:tc>
          <w:tcPr>
            <w:tcW w:type="dxa" w:w="2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治理不必然集中單一權威，可透過多中心自我治理達成有效資源管理</w:t>
            </w:r>
          </w:p>
        </w:tc>
        <w:tc>
          <w:tcPr>
            <w:tcW w:type="dxa" w:w="2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自我治理前提是各中心具對等資訊與能力，AI運算能力高度集中於少數廠商</w:t>
            </w:r>
          </w:p>
        </w:tc>
        <w:tc>
          <w:tcPr>
            <w:tcW w:type="dxa" w:w="2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多中心治理須以能力對等為前提</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Frederickson新公共行政</w:t>
            </w:r>
          </w:p>
        </w:tc>
        <w:tc>
          <w:tcPr>
            <w:tcW w:type="dxa" w:w="2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行政不應僅追求效率，應積極促進社會公平為核心價值</w:t>
            </w:r>
          </w:p>
        </w:tc>
        <w:tc>
          <w:tcPr>
            <w:tcW w:type="dxa" w:w="2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訓練資料代表性不足時，AI可能系統性複製甚至放大既有社會不公平</w:t>
            </w:r>
          </w:p>
        </w:tc>
        <w:tc>
          <w:tcPr>
            <w:tcW w:type="dxa" w:w="2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社會公平審視應納入資料代表性審計</w:t>
            </w:r>
          </w:p>
        </w:tc>
      </w:tr>
    </w:tbl>
    <w:p>
      <w:pPr>
        <w:spacing w:after="280" w:before="120"/>
        <w:jc w:val="center"/>
      </w:pPr>
      <w:r>
        <w:rPr>
          <w:rFonts w:ascii="微軟正黑體" w:cs="微軟正黑體" w:eastAsia="微軟正黑體" w:hAnsi="微軟正黑體"/>
          <w:i/>
          <w:iCs/>
          <w:color w:val="555555"/>
          <w:sz w:val="18"/>
          <w:szCs w:val="18"/>
        </w:rPr>
        <w:t xml:space="preserve">表27-5　五個經典理論之AI壓力測試總表</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這張表格之關鍵發現是：沒有任何一個理論在AI壓力測試中「徹底崩潰」，但每一個理論都出現了無法被原始命題完整解釋之異例。這正是Kuhn意義下之「異例累積」，也正是「理論承受力」一詞之字面意義——五個理論都承受住了測試，但承受之方式，是接受修正，而非全身而退。</w:t>
      </w:r>
    </w:p>
    <w:p>
      <w:pPr>
        <w:spacing w:after="140" w:before="260"/>
      </w:pPr>
      <w:r>
        <w:rPr>
          <w:rFonts w:ascii="微軟正黑體" w:cs="微軟正黑體" w:eastAsia="微軟正黑體" w:hAnsi="微軟正黑體"/>
          <w:b/>
          <w:bCs/>
          <w:color w:val="2E5C8A"/>
          <w:sz w:val="23"/>
          <w:szCs w:val="23"/>
        </w:rPr>
        <w:t xml:space="preserve">五、優點與限制</w:t>
      </w:r>
    </w:p>
    <w:p>
      <w:pPr>
        <w:spacing w:after="200" w:line="360"/>
        <w:ind w:firstLine="431"/>
        <w:jc w:val="both"/>
      </w:pPr>
      <w:r>
        <w:rPr>
          <w:rFonts w:ascii="微軟正黑體" w:cs="微軟正黑體" w:eastAsia="微軟正黑體" w:hAnsi="微軟正黑體"/>
          <w:sz w:val="22"/>
          <w:szCs w:val="22"/>
        </w:rPr>
        <w:t xml:space="preserve">典範重構之貢獻在於，避免行政學經典理論在AI時代顯得過時或失靈，而是以可檢驗之修正命題延續其解釋力；惟其限制在於，若修正命題僅停留於學術論文中之抽象宣告，便有淪為另一種口號之風險。真正之檢驗，在於這些修正命題能否被轉化為具體之制度與法律，此一檢驗留待第四節以臺灣人工智慧基本法為案例深入闡述。唯一能區分「真正的修正」與「換湯不換藥的口號」之判準，是命題本身是否可被證偽（falsifiability）——例如「依法與依審計行政」若能具體轉化為「任一演算法決策系統必須留存決策日誌」這種可以被檢查、可以被打勾、也可以被發現「沒有做到」之具體要求，便是真正的修正命題。</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五個理論修正命題如何被轉化為具法律拘束力之治理架構，以臺灣二〇二六年一月十四日正式施行之《人工智慧基本法》為代表性制度化案例，留待第四節深入闡述。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第26章健保AI審查案例中，授權層級隨委外逐層外包而稀釋、層級節制之監督鏈被打斷，正是Weber官僚體制修正命題「依法與依審計行政；層級節制與演算法可追溯性並重」之具體本土實證；而第26、27章臺北市AI作業指引與加拿大AIA比較，則顯示機關對委外廠商演算法邏輯之審核能力普遍不足，正是Ostrom多中心治理修正命題之實務印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「跨領域壓力測試」（測試分析工具本身之一般性）與「理論承受力測試」（測試行政學經典理論核心命題是否成立）之方法論差異，為本節最核心之概念辨析考點。</w:t>
            </w:r>
          </w:p>
          <w:p>
            <w:pPr>
              <w:spacing w:after="80" w:line="320"/>
            </w:pPr>
            <w:r>
              <w:rPr>
                <w:rFonts w:ascii="微軟正黑體" w:cs="微軟正黑體" w:eastAsia="微軟正黑體" w:hAnsi="微軟正黑體"/>
                <w:sz w:val="21"/>
                <w:szCs w:val="21"/>
              </w:rPr>
              <w:t xml:space="preserve">•　五個經典理論（Wilson╱Weber╱Simon╱Ostrom╱Frederickson）之核心主張、AI時代挑戰與建議修正命題之正確配對（表27-5）。</w:t>
            </w:r>
          </w:p>
          <w:p>
            <w:pPr>
              <w:spacing w:after="0" w:line="320"/>
            </w:pPr>
            <w:r>
              <w:rPr>
                <w:rFonts w:ascii="微軟正黑體" w:cs="微軟正黑體" w:eastAsia="微軟正黑體" w:hAnsi="微軟正黑體"/>
                <w:sz w:val="21"/>
                <w:szCs w:val="21"/>
              </w:rPr>
              <w:t xml:space="preserve">•　Kuhn（1962）典範轉移理論之核心概念：典範、異例、危機、典範轉移，以及「異例累積但無一理論徹底崩潰」之本節關鍵發現。</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五理論修正口訣：Wilson管「政治要監督演算法」、Weber管「依法也要依審計」、Simon管「理性擴張偏見也擴張」、Ostrom管「多中心要能力對等」、Frederickson管「公平要納入代表性審計」。</w:t>
            </w:r>
          </w:p>
          <w:p>
            <w:pPr>
              <w:spacing w:after="0" w:line="320"/>
            </w:pPr>
            <w:r>
              <w:rPr>
                <w:rFonts w:ascii="微軟正黑體" w:cs="微軟正黑體" w:eastAsia="微軟正黑體" w:hAnsi="微軟正黑體"/>
                <w:sz w:val="21"/>
                <w:szCs w:val="21"/>
              </w:rPr>
              <w:t xml:space="preserve">•　系統層級官僚三階段口訣：基層官僚（人判斷）→螢幕層級官僚（人主導、電腦輔助）→系統層級官僚（系統直接處理、人被邊緣化）。</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典範重構」與「典範轉移」不同——典範轉移（Kuhn原意）指既有典範因異例累積無法解釋而被新典範徹底取代，本章之「典範重構」則指理論接受可檢驗之局部修正而延續其解釋力，本章五個理論的結論是「承受住測試但接受修正」，並非發生典範轉移，答題時不宜將二者混為一談。</w:t>
            </w:r>
          </w:p>
          <w:p>
            <w:pPr>
              <w:spacing w:after="0" w:line="320"/>
            </w:pPr>
            <w:r>
              <w:rPr>
                <w:rFonts w:ascii="微軟正黑體" w:cs="微軟正黑體" w:eastAsia="微軟正黑體" w:hAnsi="微軟正黑體"/>
                <w:sz w:val="21"/>
                <w:szCs w:val="21"/>
              </w:rPr>
              <w:t xml:space="preserve">•　「系統層級官僚」（Bovens &amp; Zouridis, 2002）與「演算法官僚」不同——前者是描述ICT演進使行政運作型態變化之階段性概念，後者是本章用以指稱「規則內建於程式碼、層級審核可能被自動化資料流繞過」之官僚運作型態，演算法官僚可視為系統層級官僚在AI時代之具體延伸，二者層次不同。</w:t>
            </w:r>
          </w:p>
        </w:tc>
      </w:tr>
    </w:tbl>
    <w:p>
      <w:pPr>
        <w:spacing w:after="280"/>
      </w:pPr>
    </w:p>
    <w:p>
      <w:pPr>
        <w:spacing w:after="180" w:before="360"/>
      </w:pPr>
      <w:r>
        <w:rPr>
          <w:rFonts w:ascii="微軟正黑體" w:cs="微軟正黑體" w:eastAsia="微軟正黑體" w:hAnsi="微軟正黑體"/>
          <w:b/>
          <w:bCs/>
          <w:color w:val="1F4E79"/>
          <w:sz w:val="26"/>
          <w:szCs w:val="26"/>
        </w:rPr>
        <w:t xml:space="preserve">第四節　AI治理專節：臺灣人工智慧基本法與人機共構治理五項實踐原則（全書總結）</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典範重構若僅停留在學術論文中之修正命題，便有淪為另一種口號之風險；真正之檢驗，在於這些修正命題能否被轉化為具體之制度與法律。臺灣立法院於二〇二五年十二月二十三日三讀通過《人工智慧基本法》，並於二〇二六年一月十四日正式公布施行，由國家科學及技術委員會擔任主管機關——這是臺灣首部具法律位階之AI治理基本法，也提供了一個絕佳機會，檢視表27-5之修正命題是否確實可被制度化。全書至此，收攏為五項可以直接帶進辦公室與教室之實踐原則，作為本書總結。</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臺灣《人工智慧基本法》七大治理原則為：永續發展與福祉、人類自主性、隱私保護與資料治理、資安與安全、透明與可解釋性、公平與不歧視、當責，呼應五個理論修正命題與七項治理審計之精神，將抽象原則正式提升至法律層級；治理架構設「國家AI戰略特別委員會」，由行政院院長擔任召集人，至少每年開會一次，跨部會跨學界協調政策，回應Ostrom多中心治理修正命題；並非採取典型監理沙盒模式，而是以「創新友善生態系」（預算補助、實驗環境、人才交流、基礎建設）促進創新，顯示臺灣選擇以誘因型治理而非限制型治理，作為典範重構之具體制度路徑。</w:t>
      </w:r>
    </w:p>
    <w:p>
      <w:pPr>
        <w:pStyle w:val="ListParagraph"/>
        <w:numPr>
          <w:ilvl w:val="0"/>
          <w:numId w:val="2"/>
        </w:numPr>
        <w:spacing w:after="120" w:line="340"/>
      </w:pPr>
      <w:r>
        <w:rPr>
          <w:rFonts w:ascii="微軟正黑體" w:cs="微軟正黑體" w:eastAsia="微軟正黑體" w:hAnsi="微軟正黑體"/>
          <w:sz w:val="22"/>
          <w:szCs w:val="22"/>
        </w:rPr>
        <w:t xml:space="preserve">綜合全書之發現，本書提出五項實踐原則，作為任何機關、任何公務員、任何公民，在面對AI鑲嵌之公共行政現象時，均可直接援引之底線清單：公共性保留原則、裁量可回溯原則、責任到人原則、審計常態化原則、民主可課責原則。五項原則彼此環環相扣：公共性保留原則劃出了「什麼絕對不能交給AI」之紅線；裁量可回溯與責任到人原則，具體回答了「當AI參與決策時，如何確保仍然找得到人」；審計常態化原則，把稽核從一次性檢查變成持續性之制度習慣；民主可課責原則，則把整套機制從行政機關內部之自律，提升到接受外部公民社會檢視之層次。</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原則</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核心主張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具體操作方式</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公共性保留原則</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涉及人民權利義務之最終決定，須保留給自然人公務員，AI僅能作為建議</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行政處分書面明確記載「本處分經機關人員核定，AI僅提供輔助分析」，並保留人工核定簽章欄位</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裁量可回溯原則</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每一AI建議須留下裁量日誌，記載資料來源、模型版本、建議理由及人類覆寫紀錄</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建立標準化裁量日誌格式，至少包含資料來源、模型版本、建議理由、人工覆寫紀錄四欄位</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責任到人原則</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RACI矩陣中每個環節之當責者須是具體自然人，不能是機關或系統</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委外契約與內部作業規範均應明列每一環節之當責職位與姓名</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審計常態化原則</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七項治理審計應納入系統生命週期之每個階段，而非上線前一次性形式檢查</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於系統開發、上線、營運、除役四階段，分別設計對應之七審檢核項目</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民主可課責原則</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AI治理政策本身應接受公民審議與外部監督，而非僅由機關自我宣示</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定期召開公民對話會議，公開年度AI治理報告，保留獨立監督機關之調查與糾正權限</w:t>
            </w:r>
          </w:p>
        </w:tc>
      </w:tr>
    </w:tbl>
    <w:p>
      <w:pPr>
        <w:spacing w:after="280" w:before="120"/>
        <w:jc w:val="center"/>
      </w:pPr>
      <w:r>
        <w:rPr>
          <w:rFonts w:ascii="微軟正黑體" w:cs="微軟正黑體" w:eastAsia="微軟正黑體" w:hAnsi="微軟正黑體"/>
          <w:i/>
          <w:iCs/>
          <w:color w:val="555555"/>
          <w:sz w:val="18"/>
          <w:szCs w:val="18"/>
        </w:rPr>
        <w:t xml:space="preserve">表27-6　人機共構治理之五項實踐原則（全書總結）</w:t>
      </w:r>
    </w:p>
    <w:p>
      <w:pPr>
        <w:spacing w:after="140" w:before="260"/>
      </w:pPr>
      <w:r>
        <w:rPr>
          <w:rFonts w:ascii="微軟正黑體" w:cs="微軟正黑體" w:eastAsia="微軟正黑體" w:hAnsi="微軟正黑體"/>
          <w:b/>
          <w:bCs/>
          <w:color w:val="2E5C8A"/>
          <w:sz w:val="23"/>
          <w:szCs w:val="23"/>
        </w:rPr>
        <w:t xml:space="preserve">四、核心命題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項目</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內容</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對應理論修正意涵</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立法歷程</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立法院於2025年12月23日三讀通過，2026年1月14日公布施行，由國家科學及技術委員會擔任主管機關</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標誌臺灣AI治理由原則性行政指引，邁向具法律位階之制度化階段</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七大治理原則</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永續發展與福祉、人類自主性、隱私保護與資料治理、資安與安全、透明與可解釋性、公平與不歧視、當責</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呼應五個理論修正命題與七項治理審計之精神，將抽象原則提升至法律層級</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治理架構</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設「國家AI戰略特別委員會」，由行政院院長擔任召集人，至少每年開會一次，跨部會跨學界協調政策</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回應Ostrom多中心治理修正命題：以中央協調機制彌補多中心治理中各中心能力落差</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制度化路徑</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並非採取典型監理沙盒模式，而是以「創新友善生態系」促進創新</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顯示臺灣選擇以誘因型治理，而非限制型治理，作為典範重構之具體制度路徑</w:t>
            </w:r>
          </w:p>
        </w:tc>
      </w:tr>
    </w:tbl>
    <w:p>
      <w:pPr>
        <w:spacing w:after="280" w:before="120"/>
        <w:jc w:val="center"/>
      </w:pPr>
      <w:r>
        <w:rPr>
          <w:rFonts w:ascii="微軟正黑體" w:cs="微軟正黑體" w:eastAsia="微軟正黑體" w:hAnsi="微軟正黑體"/>
          <w:i/>
          <w:iCs/>
          <w:color w:val="555555"/>
          <w:sz w:val="18"/>
          <w:szCs w:val="18"/>
        </w:rPr>
        <w:t xml:space="preserve">表27-7　臺灣《人工智慧基本法》治理架構與理論修正對應</w:t>
      </w:r>
    </w:p>
    <w:p>
      <w:pPr>
        <w:spacing w:after="200" w:line="360"/>
        <w:ind w:firstLine="431"/>
        <w:jc w:val="both"/>
      </w:pPr>
      <w:r>
        <w:rPr>
          <w:rFonts w:ascii="微軟正黑體" w:cs="微軟正黑體" w:eastAsia="微軟正黑體" w:hAnsi="微軟正黑體"/>
          <w:sz w:val="22"/>
          <w:szCs w:val="22"/>
        </w:rPr>
        <w:t xml:space="preserve">全書三十章、五部結構、數十個臺灣本土與國際案例，如果必須濃縮成一句話，答案是：「AI可以建議，但簽名蓋章、扛責任的，終究要是人。」這句話不需要任何學術術語就能理解，卻也正是本書所有理論工具，最終想要守護的那條底線。</w:t>
      </w:r>
    </w:p>
    <w:p>
      <w:pPr>
        <w:spacing w:after="140" w:before="260"/>
      </w:pPr>
      <w:r>
        <w:rPr>
          <w:rFonts w:ascii="微軟正黑體" w:cs="微軟正黑體" w:eastAsia="微軟正黑體" w:hAnsi="微軟正黑體"/>
          <w:b/>
          <w:bCs/>
          <w:color w:val="2E5C8A"/>
          <w:sz w:val="23"/>
          <w:szCs w:val="23"/>
        </w:rPr>
        <w:t xml:space="preserve">五、優點與限制</w:t>
      </w:r>
    </w:p>
    <w:p>
      <w:pPr>
        <w:spacing w:after="200" w:line="360"/>
        <w:ind w:firstLine="431"/>
        <w:jc w:val="both"/>
      </w:pPr>
      <w:r>
        <w:rPr>
          <w:rFonts w:ascii="微軟正黑體" w:cs="微軟正黑體" w:eastAsia="微軟正黑體" w:hAnsi="微軟正黑體"/>
          <w:sz w:val="22"/>
          <w:szCs w:val="22"/>
        </w:rPr>
        <w:t xml:space="preserve">須誠實指出的是，法律之公布施行只是制度化之第一步，而非終點。基本法本身多屬框架性規範，細部之風險評估標準、罰則設計等，仍有待後續子法陸續訂定；主管機關國家科學及技術委員會，亦非傳統上具有強制調查權之民主課責機關（如監察院）——這意味著，本章所提出之修正命題是否能真正落實，仍需持續追蹤後續子法之訂定進度與實際執行成效，而非在法律公布之當下便宣告典範重構已經完成。</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本書針對五項實踐原則，提供三份具體之行動清單，分別對應大學部學生（以25座標定位案例、追蹤四鏈、獨立診斷新案例、養成查證習慣）、公務員（委外契約納入七審要求、建立裁量日誌格式、保留人類最終決定權與簽章欄位、推動組織AI素養訓練）、公民（要求政府公開AI系統資訊、關注公民對話會議與年度治理報告、善用陳情訴願等既有救濟管道、監督基本法後續子法訂定進度），讓五項實踐原則從抽象主張，變成今天就可以開始之具體行動。</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AI治理制度化軌跡呈現清晰演進：從智慧客服等服務效率導向之早期數位化嘗試，到《臺灣AI行動計畫2.0》等國家級發展戰略，到生成式AI參考指引導入機關首長課責設計，到臺北市政府系統性AI作業指引，最終到二〇二六年《人工智慧基本法》正式施行——這條軌跡幾乎就是本書「操作化」概念之縮時攝影，從沒有規範，到原則性指引，到地方政府系統性指引，最終到具法律位階之基本法，惟此一軌跡尚未走完，子法訂定與實際執行成效，仍是未來持續追蹤之課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臺灣《人工智慧基本法》之立法歷程（2025年12月23日三讀、2026年1月14日公布施行）、主管機關（國家科學及技術委員會）、七大治理原則與治理架構（國家AI戰略特別委員會）。</w:t>
            </w:r>
          </w:p>
          <w:p>
            <w:pPr>
              <w:spacing w:after="80" w:line="320"/>
            </w:pPr>
            <w:r>
              <w:rPr>
                <w:rFonts w:ascii="微軟正黑體" w:cs="微軟正黑體" w:eastAsia="微軟正黑體" w:hAnsi="微軟正黑體"/>
                <w:sz w:val="21"/>
                <w:szCs w:val="21"/>
              </w:rPr>
              <w:t xml:space="preserve">•　人機共構治理五項實踐原則之名稱、核心主張與具體操作方式（表27-6），為全書總結之核心考點。</w:t>
            </w:r>
          </w:p>
          <w:p>
            <w:pPr>
              <w:spacing w:after="0" w:line="320"/>
            </w:pPr>
            <w:r>
              <w:rPr>
                <w:rFonts w:ascii="微軟正黑體" w:cs="微軟正黑體" w:eastAsia="微軟正黑體" w:hAnsi="微軟正黑體"/>
                <w:sz w:val="21"/>
                <w:szCs w:val="21"/>
              </w:rPr>
              <w:t xml:space="preserve">•　全書核心一句話：「AI可以建議，但簽名蓋章、扛責任的，終究要是人」，是理解全書25-3-3-4-7方法論精神之總綱。</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五項實踐原則口訣：公共性保留（劃紅線）、裁量可回溯（留日誌）、責任到人（找得到誰）、審計常態化（不是一次性）、民主可課責（外部能監督）。</w:t>
            </w:r>
          </w:p>
          <w:p>
            <w:pPr>
              <w:spacing w:after="0" w:line="320"/>
            </w:pPr>
            <w:r>
              <w:rPr>
                <w:rFonts w:ascii="微軟正黑體" w:cs="微軟正黑體" w:eastAsia="微軟正黑體" w:hAnsi="微軟正黑體"/>
                <w:sz w:val="21"/>
                <w:szCs w:val="21"/>
              </w:rPr>
              <w:t xml:space="preserve">•　臺灣AI治理軌跡口訣：服務效率（智慧客服）→國家戰略（行動計畫2.0）→原則指引（臺北市╱行政院）→法律位階（人工智慧基本法）。</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創新友善生態系」與「監理沙盒」不同——監理沙盒通常伴隨較明確之進退場機制與能力門檻要求（限制型治理），創新友善生態系則以預算補助、實驗環境、人才交流等誘因為主（誘因型治理），我國《人工智慧基本法》明確選擇後者，不宜誤認我國採取監理沙盒模式。</w:t>
            </w:r>
          </w:p>
          <w:p>
            <w:pPr>
              <w:spacing w:after="0" w:line="320"/>
            </w:pPr>
            <w:r>
              <w:rPr>
                <w:rFonts w:ascii="微軟正黑體" w:cs="微軟正黑體" w:eastAsia="微軟正黑體" w:hAnsi="微軟正黑體"/>
                <w:sz w:val="21"/>
                <w:szCs w:val="21"/>
              </w:rPr>
              <w:t xml:space="preserve">•　「基本法公布施行」不等於「典範重構已完成」——本節明確指出基本法多屬框架性規範，細部子法尚待訂定，主管機關亦非傳統強制調查權機關，答題時應避免過度樂觀地宣稱制度化已經完成。</w:t>
            </w:r>
          </w:p>
        </w:tc>
      </w:tr>
    </w:tbl>
    <w:p>
      <w:pPr>
        <w:spacing w:after="28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合併對應大學教科書第28、29、30三章之異質案例壓力測試、理論承受力與典範重構、人機共構治理總結，經以本語料庫（107-111年）逐一比對，三章母體教材所對應之範圍內查無直接對應之申論真題，此一情形與第25、26章相同。爰依全書體例，三題全數採模擬命題設計，並於各題【考題出處】明確標示，避免與真實歷屆試題混淆。三題之設計原則為：以本章方法論之綜合應用能力為核心，並援引母體教材中翔實記載之真實案例（芝加哥策略性對象名單、Amazon履歷篩選AI、臺灣人工智慧基本法）與全書自創之五項實踐原則作為答題工具，訓練讀者獨立診斷全新AI公共行政案例之綜合能力。依全書格式定版說明，題目一（A級）提供基本得分版、標準版、高分版三種完整答案；題目二（B級）與題目三（C級）改為標準版參考答案＋【高分加分點】。</w:t>
      </w:r>
    </w:p>
    <w:p>
      <w:pPr>
        <w:spacing w:after="160"/>
      </w:pPr>
    </w:p>
    <w:p>
      <w:pPr>
        <w:spacing w:after="180" w:before="360"/>
      </w:pPr>
      <w:r>
        <w:rPr>
          <w:rFonts w:ascii="微軟正黑體" w:cs="微軟正黑體" w:eastAsia="微軟正黑體" w:hAnsi="微軟正黑體"/>
          <w:b/>
          <w:bCs/>
          <w:color w:val="1F4E79"/>
          <w:sz w:val="26"/>
          <w:szCs w:val="26"/>
        </w:rPr>
        <w:t xml:space="preserve">題目一（A級基本題·模擬命題）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一節母體教材「跨領域壓力測試的方法論與八個異質場域案例總覽」自行設計之模擬命題，情境素材援引母體教材翔實記載之美國芝加哥策略性對象名單（SSL）與Amazon履歷篩選AI兩項真實案例。本語料庫（107-111年）中，跨領域壓力測試方法論為本書自創之分析工具，非考選部歷屆試題之標準考點分類，尚未查得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有學者主張，一套分析框架若只能解釋單一領域之現象，終究只是該領域的特定工具，而非具有一般性的理論，因此須進行『跨領域壓力測試』。請說明跨領域壓力測試之方法論意義，並以美國芝加哥策略性對象名單（SSL）與Amazon履歷篩選AI兩案例，分析其主導之權力移轉類型與最脆弱之治理鏈。（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方法論意義說明＋雙案例分析題」，考生須依序完成：說明跨領域壓力測試之方法論意義、以芝加哥SSL與Amazon履歷篩選AI兩案例分析其主導權力移轉類型與最脆弱治理鏈——若僅說明方法論而未具體分析兩案例，或案例分析未扣合P1-P2-P3與四鏈架構，均屬答題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跨領域壓力測試方法論意義 ＋ 芝加哥SSL與Amazon履歷篩選AI ＋ 主導權力移轉類型與最脆弱治理鏈。</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一、前言：同一把量尺，量得出警政與人事的落差嗎</w:t>
      </w:r>
    </w:p>
    <w:p>
      <w:pPr>
        <w:pStyle w:val="ListParagraph"/>
        <w:numPr>
          <w:ilvl w:val="0"/>
          <w:numId w:val="2"/>
        </w:numPr>
        <w:spacing w:after="120" w:line="340"/>
      </w:pPr>
      <w:r>
        <w:rPr>
          <w:rFonts w:ascii="微軟正黑體" w:cs="微軟正黑體" w:eastAsia="微軟正黑體" w:hAnsi="微軟正黑體"/>
          <w:sz w:val="22"/>
          <w:szCs w:val="22"/>
        </w:rPr>
        <w:t xml:space="preserve">二、跨領域壓力測試之方法論意義</w:t>
      </w:r>
    </w:p>
    <w:p>
      <w:pPr>
        <w:pStyle w:val="ListParagraph"/>
        <w:numPr>
          <w:ilvl w:val="0"/>
          <w:numId w:val="2"/>
        </w:numPr>
        <w:spacing w:after="120" w:line="340"/>
      </w:pPr>
      <w:r>
        <w:rPr>
          <w:rFonts w:ascii="微軟正黑體" w:cs="微軟正黑體" w:eastAsia="微軟正黑體" w:hAnsi="微軟正黑體"/>
          <w:sz w:val="22"/>
          <w:szCs w:val="22"/>
        </w:rPr>
        <w:t xml:space="preserve">三、芝加哥SSL與Amazon履歷篩選AI之權力移轉與治理鏈分析</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跨領域壓力測試之方法論意義，在於避免分析框架僅停留於單一領域之深度案例研究——若框架僅能解釋社福或司法領域之現象，稱其為具一般性之理論便言過其實。其測試邏輯類似工程領域之「邊界條件測試」：刻意將框架置於結構差異最大之多個場域，觀察其解釋力是否維持一致，唯有跨案例反覆出現之系統性模式，才足以支持框架具有一般性解釋力。</w:t>
      </w:r>
    </w:p>
    <w:p>
      <w:pPr>
        <w:spacing w:after="200" w:line="360"/>
        <w:ind w:firstLine="431"/>
        <w:jc w:val="both"/>
      </w:pPr>
      <w:r>
        <w:rPr>
          <w:rFonts w:ascii="微軟正黑體" w:cs="微軟正黑體" w:eastAsia="微軟正黑體" w:hAnsi="微軟正黑體"/>
          <w:sz w:val="22"/>
          <w:szCs w:val="22"/>
        </w:rPr>
        <w:t xml:space="preserve">以芝加哥策略性對象名單（SSL）為例：該系統依過往逮捕紀錄評估個人涉入槍擊案件之風險分數，其主導之權力移轉為P1情境建構（誰被認定為高風險對象）與P3實質影響（名單增加盤查與逮捕機率），最脆弱之治理鏈為責任鏈——名單實際如何被警方使用之操作細節不透明，難以追溯當責之自然人或職位，最終因芝加哥市監察長辦公室調查後認定其無法證明模型效度與治理防護機制，於二〇二〇年停用。以Amazon履歷篩選AI為例：該系統依過去履歷資料訓練模型自動評等應徵者，其主導之權力移轉為P2裁量判斷（履歷排序即隱性錄取建議），最脆弱之治理鏈為理由鏈——模型自行學會對特定字詞降評之演算法邏輯不透明，最終因無法保證消除代理變項偏誤而於二〇一七年解散該計畫。</w:t>
      </w:r>
    </w:p>
    <w:p>
      <w:pPr>
        <w:spacing w:after="200" w:line="360"/>
        <w:ind w:firstLine="431"/>
        <w:jc w:val="both"/>
      </w:pPr>
      <w:r>
        <w:rPr>
          <w:rFonts w:ascii="微軟正黑體" w:cs="微軟正黑體" w:eastAsia="微軟正黑體" w:hAnsi="微軟正黑體"/>
          <w:sz w:val="22"/>
          <w:szCs w:val="22"/>
        </w:rPr>
        <w:t xml:space="preserve">兩案例雖分屬警政與人事兩個結構迥異之場域，卻都能被清楚定位於某一主導之權力移轉類型與最脆弱治理鏈，此為框架具有跨場域一般性解釋力之具體例證。</w:t>
      </w:r>
    </w:p>
    <w:p>
      <w:pPr>
        <w:spacing w:after="100" w:before="160"/>
      </w:pPr>
      <w:r>
        <w:rPr>
          <w:rFonts w:ascii="微軟正黑體" w:cs="微軟正黑體" w:eastAsia="微軟正黑體" w:hAnsi="微軟正黑體"/>
          <w:b/>
          <w:bCs/>
          <w:color w:val="444444"/>
          <w:sz w:val="21"/>
          <w:szCs w:val="21"/>
        </w:rPr>
        <w:t xml:space="preserve">【參考答案·標準版】（約1,300-1,500字，主要示範答案）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警政治安維護與企業人才招募，乍看是兩個毫不相干的領域，一個關乎公權力介入人身自由，一個關乎私部門用人決策，但若都導入了AI輔助工具，同一套治理鏈的提問，是否真能同時捕捉兩者的治理病灶？這正是跨領域壓力測試想要回答的問題。</w:t>
      </w:r>
    </w:p>
    <w:p>
      <w:pPr>
        <w:spacing w:after="200" w:line="360"/>
        <w:ind w:firstLine="431"/>
        <w:jc w:val="both"/>
      </w:pPr>
      <w:r>
        <w:rPr>
          <w:rFonts w:ascii="微軟正黑體" w:cs="微軟正黑體" w:eastAsia="微軟正黑體" w:hAnsi="微軟正黑體"/>
          <w:sz w:val="22"/>
          <w:szCs w:val="22"/>
        </w:rPr>
        <w:t xml:space="preserve">二、跨領域壓力測試之方法論意義</w:t>
      </w:r>
    </w:p>
    <w:p>
      <w:pPr>
        <w:spacing w:after="200" w:line="360"/>
        <w:ind w:firstLine="431"/>
        <w:jc w:val="both"/>
      </w:pPr>
      <w:r>
        <w:rPr>
          <w:rFonts w:ascii="微軟正黑體" w:cs="微軟正黑體" w:eastAsia="微軟正黑體" w:hAnsi="微軟正黑體"/>
          <w:sz w:val="22"/>
          <w:szCs w:val="22"/>
        </w:rPr>
        <w:t xml:space="preserve">跨領域壓力測試之方法論意義，在於避免分析框架僅停留於單一領域之深度案例研究之侷限——單一領域的深度案例研究固然能細緻呈現特定治理鏈之斷裂機制，但若框架僅能解釋社福或司法領域之現象，稱其為「全書共同語言」便言過其實。其測試策略有三層：其一，橫向鋪開結構迥異之多個場域，涵蓋給付行政、干預行政、內部管理、稽核行政、資訊調控與跨境行政；其二，對每一場域至少辨識其主導之權力移轉類型與最脆弱之治理鏈，而非僅描述案例本身；其三，綜合各場域之結果，尋找跨案例反覆出現之系統性模式——唯有系統性模式，才足以支持框架具有一般性解釋力之主張，個別案例之巧合並不足以支持此一結論。此一邏輯類似工程領域之「邊界條件測試」，不是在最適合之條件下驗證可行，而是刻意置於差異最大之情境中，觀察解釋力是否維持一致。</w:t>
      </w:r>
    </w:p>
    <w:p>
      <w:pPr>
        <w:spacing w:after="200" w:line="360"/>
        <w:ind w:firstLine="431"/>
        <w:jc w:val="both"/>
      </w:pPr>
      <w:r>
        <w:rPr>
          <w:rFonts w:ascii="微軟正黑體" w:cs="微軟正黑體" w:eastAsia="微軟正黑體" w:hAnsi="微軟正黑體"/>
          <w:sz w:val="22"/>
          <w:szCs w:val="22"/>
        </w:rPr>
        <w:t xml:space="preserve">三、芝加哥SSL與Amazon履歷篩選AI之權力移轉與治理鏈分析</w:t>
      </w:r>
    </w:p>
    <w:p>
      <w:pPr>
        <w:spacing w:after="200" w:line="360"/>
        <w:ind w:firstLine="431"/>
        <w:jc w:val="both"/>
      </w:pPr>
      <w:r>
        <w:rPr>
          <w:rFonts w:ascii="微軟正黑體" w:cs="微軟正黑體" w:eastAsia="微軟正黑體" w:hAnsi="微軟正黑體"/>
          <w:sz w:val="22"/>
          <w:szCs w:val="22"/>
        </w:rPr>
        <w:t xml:space="preserve">芝加哥策略性對象名單（Strategic Subject List, SSL）由伊利諾理工學院團隊於二〇一二年開發，與芝加哥警局合作，依過往逮捕紀錄等因素評估個人涉入槍擊案件之風險分數，名單規模自最初小範圍逐步擴張至二〇一七年已為近四十萬人評分。就權力移轉而言，其主導為P1情境建構（誰被資料化為高風險對象、標籤決定權掌握於系統設計者）與P3實質影響（列入名單雖未顯著降低當事人成為槍擊受害者或加害者之機率，卻使其更容易遭到逮捕，顯示名單之實質影響力甚為顯著）；就治理鏈而言，最脆弱者為責任鏈——名單實際如何被警方使用之操作細節不透明，難以追溯當責之自然人或職位，最終芝加哥市監察長辦公室於二〇二〇年一月發布查核報告，認定警局無法充分證明模型效度與治理防護機制，警局隨即宣布停用。Amazon履歷篩選AI自二〇一四年起於愛丁堡工程中心開發，依過去十年應徵技術職缺之履歷資料訓練模型，自動給予應徵者評等；由於訓練資料以男性應徵者為主，模型自行學會對含「women's」等字詞之履歷給予較低評等。就權力移轉而言，其主導為P2裁量判斷（履歷排序即隱性錄取建議，招募人員將評等列為參考依據之一）；就治理鏈而言，最脆弱者為理由鏈——工程團隊發現偏誤後嘗試中立化已知性別化字詞，但無法保證模型不透過其他代理變項產生類似偏誤，演算法邏輯之不透明使理由說明無從落實，最終於二〇一七年解散該計畫。</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芝加哥SSL與Amazon履歷篩選AI雖分屬警政與人事兩個結構迥異之場域，卻都能被清楚定位於某一主導之權力移轉類型與最脆弱之治理鏈，且兩案例最終皆因治理鏈斷裂而遭停用，此一跨場域一致性，正是25-3-3-4-7框架具有一般性解釋力之有力證據。</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自動化偏誤理論視角：可援引Skitka、Mosier與Burdick（1999）自動化偏誤及Alon-Barkat與Busuioc（2023）選擇性遵從之研究發現，說明芝加哥SSL案例中警方對名單建議之高度採信，可能正是自動化偏誤之具體展現，深化P3實質影響力分析之理論厚度。</w:t>
      </w:r>
    </w:p>
    <w:p>
      <w:pPr>
        <w:pStyle w:val="ListParagraph"/>
        <w:numPr>
          <w:ilvl w:val="0"/>
          <w:numId w:val="2"/>
        </w:numPr>
        <w:spacing w:after="120" w:line="340"/>
      </w:pPr>
      <w:r>
        <w:rPr>
          <w:rFonts w:ascii="微軟正黑體" w:cs="微軟正黑體" w:eastAsia="微軟正黑體" w:hAnsi="微軟正黑體"/>
          <w:sz w:val="22"/>
          <w:szCs w:val="22"/>
        </w:rPr>
        <w:t xml:space="preserve">補充結構效應延伸視角：可指出芝加哥SSL由個案風險評估擴張為全市近四十萬人之常態監控名單，正是「跨格移動」結構效應之典型例證；Amazon履歷篩選AI原僅為招募技術輔助工具，卻實質形塑公司人才政策之性別結構，則是「邊界消解」之例證，展現對三項結構效應之掌握。</w:t>
      </w:r>
    </w:p>
    <w:p>
      <w:pPr>
        <w:pStyle w:val="ListParagraph"/>
        <w:numPr>
          <w:ilvl w:val="0"/>
          <w:numId w:val="2"/>
        </w:numPr>
        <w:spacing w:after="120" w:line="340"/>
      </w:pPr>
      <w:r>
        <w:rPr>
          <w:rFonts w:ascii="微軟正黑體" w:cs="微軟正黑體" w:eastAsia="微軟正黑體" w:hAnsi="微軟正黑體"/>
          <w:sz w:val="22"/>
          <w:szCs w:val="22"/>
        </w:rPr>
        <w:t xml:space="preserve">補充跨場域比較視角：可指出兩案例雖分屬不同場域，卻共同呈現「系統實際如何被使用」之操作細節不透明之共同制度病灶，此一發現呼應第二節七項治理審計中，責任歸屬審計系統性難以通過之跨案例模式，展現對全章方法論之整合掌握。</w:t>
      </w:r>
    </w:p>
    <w:p>
      <w:pPr>
        <w:pStyle w:val="ListParagraph"/>
        <w:numPr>
          <w:ilvl w:val="0"/>
          <w:numId w:val="2"/>
        </w:numPr>
        <w:spacing w:after="120" w:line="340"/>
      </w:pPr>
      <w:r>
        <w:rPr>
          <w:rFonts w:ascii="微軟正黑體" w:cs="微軟正黑體" w:eastAsia="微軟正黑體" w:hAnsi="微軟正黑體"/>
          <w:sz w:val="22"/>
          <w:szCs w:val="22"/>
        </w:rPr>
        <w:t xml:space="preserve">補充框架邊界反思視角：可補充說明，誠實之方法論也要求指出框架之邊界——對於處理擴散、疊加、難以歸因至單一行為者之「科學推論型AI應用」（如空氣污染溯源、氣候模型），建立在個案決定基礎上之四鏈提問便可能失去原本之鋒利度，展現方法論反思之高度而非僅是框架優點之單向陳述。</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須完整說明跨領域壓力測試之方法論意義（避免單一領域侷限、邊界條件測試邏輯、尋找系統性模式而非個別巧合），不可僅籠統稱「要多看幾個案例」。</w:t>
      </w:r>
    </w:p>
    <w:p>
      <w:pPr>
        <w:pStyle w:val="ListParagraph"/>
        <w:numPr>
          <w:ilvl w:val="0"/>
          <w:numId w:val="2"/>
        </w:numPr>
        <w:spacing w:after="120" w:line="340"/>
      </w:pPr>
      <w:r>
        <w:rPr>
          <w:rFonts w:ascii="微軟正黑體" w:cs="微軟正黑體" w:eastAsia="微軟正黑體" w:hAnsi="微軟正黑體"/>
          <w:sz w:val="22"/>
          <w:szCs w:val="22"/>
        </w:rPr>
        <w:t xml:space="preserve">須具體以P1-P2-P3框架與四鏈架構分析芝加哥SSL（P1＋P3、責任鏈）與Amazon履歷篩選AI（P2、理由鏈），不可僅描述案例事實而未扣合分析架構。</w:t>
      </w:r>
    </w:p>
    <w:p>
      <w:pPr>
        <w:pStyle w:val="ListParagraph"/>
        <w:numPr>
          <w:ilvl w:val="0"/>
          <w:numId w:val="2"/>
        </w:numPr>
        <w:spacing w:after="120" w:line="340"/>
      </w:pPr>
      <w:r>
        <w:rPr>
          <w:rFonts w:ascii="微軟正黑體" w:cs="微軟正黑體" w:eastAsia="微軟正黑體" w:hAnsi="微軟正黑體"/>
          <w:sz w:val="22"/>
          <w:szCs w:val="22"/>
        </w:rPr>
        <w:t xml:space="preserve">宜點出兩案例雖屬不同場域卻皆因治理鏈斷裂而遭停用之共同結局，展現對「跨場域一般性」之精確論證，而非僅平行羅列兩案例。</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僅描述芝加哥SSL與Amazon履歷篩選AI之案例事實，未運用P1-P2-P3與四鏈架構進行分析。</w:t>
      </w:r>
    </w:p>
    <w:p>
      <w:pPr>
        <w:pStyle w:val="ListParagraph"/>
        <w:numPr>
          <w:ilvl w:val="0"/>
          <w:numId w:val="2"/>
        </w:numPr>
        <w:spacing w:after="120" w:line="340"/>
      </w:pPr>
      <w:r>
        <w:rPr>
          <w:rFonts w:ascii="微軟正黑體" w:cs="微軟正黑體" w:eastAsia="微軟正黑體" w:hAnsi="微軟正黑體"/>
          <w:sz w:val="22"/>
          <w:szCs w:val="22"/>
        </w:rPr>
        <w:t xml:space="preserve">❌ 跨領域壓力測試之方法論意義說明流於空泛，未能具體說明「邊界條件測試」之測試邏輯。</w:t>
      </w:r>
    </w:p>
    <w:p>
      <w:pPr>
        <w:pStyle w:val="ListParagraph"/>
        <w:numPr>
          <w:ilvl w:val="0"/>
          <w:numId w:val="2"/>
        </w:numPr>
        <w:spacing w:after="120" w:line="340"/>
      </w:pPr>
      <w:r>
        <w:rPr>
          <w:rFonts w:ascii="微軟正黑體" w:cs="微軟正黑體" w:eastAsia="微軟正黑體" w:hAnsi="微軟正黑體"/>
          <w:sz w:val="22"/>
          <w:szCs w:val="22"/>
        </w:rPr>
        <w:t xml:space="preserve">❌ 誤將兩案例之權力移轉類型或治理鏈張冠李戴（如將Amazon案誤判為P1情境建構而非P2裁量判斷）。</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一節與第三節母體教材「跨領域壓力測試的方法論」與「理論承受力測試的方法論」自行設計之模擬命題。本語料庫（107-111年）中，此二方法論之區辨為本書自創之分析架構，尚未查得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「本書於全書方法論深化之末段，先後進行了『跨領域壓力測試』與『理論承受力測試』兩項測試。請說明二者之測試對象與方法論差異，並各舉一例說明其測試結果。（25分）」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方法論比較＋各舉一例題」，考生須依序完成：說明跨領域壓力測試與理論承受力測試之測試對象差異、說明二者之方法論邏輯差異、各舉一例說明測試結果——若僅籠統稱「兩者都在測試AI」而未具體區分測試對象，屬答題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跨領域壓力測試（測試分析工具本身）＋ 理論承受力測試（測試經典理論核心命題）＋ Kuhn典範轉移理論。</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一、前言：測試框架，還是測試理論本身</w:t>
      </w:r>
    </w:p>
    <w:p>
      <w:pPr>
        <w:pStyle w:val="ListParagraph"/>
        <w:numPr>
          <w:ilvl w:val="0"/>
          <w:numId w:val="2"/>
        </w:numPr>
        <w:spacing w:after="120" w:line="340"/>
      </w:pPr>
      <w:r>
        <w:rPr>
          <w:rFonts w:ascii="微軟正黑體" w:cs="微軟正黑體" w:eastAsia="微軟正黑體" w:hAnsi="微軟正黑體"/>
          <w:sz w:val="22"/>
          <w:szCs w:val="22"/>
        </w:rPr>
        <w:t xml:space="preserve">二、跨領域壓力測試與理論承受力測試之測試對象與方法論差異</w:t>
      </w:r>
    </w:p>
    <w:p>
      <w:pPr>
        <w:pStyle w:val="ListParagraph"/>
        <w:numPr>
          <w:ilvl w:val="0"/>
          <w:numId w:val="2"/>
        </w:numPr>
        <w:spacing w:after="120" w:line="340"/>
      </w:pPr>
      <w:r>
        <w:rPr>
          <w:rFonts w:ascii="微軟正黑體" w:cs="微軟正黑體" w:eastAsia="微軟正黑體" w:hAnsi="微軟正黑體"/>
          <w:sz w:val="22"/>
          <w:szCs w:val="22"/>
        </w:rPr>
        <w:t xml:space="preserve">三、各舉一例說明測試結果</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同樣叫「壓力測試」，測試的東西卻完全不同：一個是問「我們自己發明的分析工具好不好用」，一個是問「行政學這門學科賴以立足的百年理論還站不站得住腳」，把這兩層測試分清楚，才能理解本書方法論深化章節的完整邏輯。</w:t>
      </w:r>
    </w:p>
    <w:p>
      <w:pPr>
        <w:spacing w:after="200" w:line="360"/>
        <w:ind w:firstLine="431"/>
        <w:jc w:val="both"/>
      </w:pPr>
      <w:r>
        <w:rPr>
          <w:rFonts w:ascii="微軟正黑體" w:cs="微軟正黑體" w:eastAsia="微軟正黑體" w:hAnsi="微軟正黑體"/>
          <w:sz w:val="22"/>
          <w:szCs w:val="22"/>
        </w:rPr>
        <w:t xml:space="preserve">二、跨領域壓力測試與理論承受力測試之測試對象與方法論差異</w:t>
      </w:r>
    </w:p>
    <w:p>
      <w:pPr>
        <w:spacing w:after="200" w:line="360"/>
        <w:ind w:firstLine="431"/>
        <w:jc w:val="both"/>
      </w:pPr>
      <w:r>
        <w:rPr>
          <w:rFonts w:ascii="微軟正黑體" w:cs="微軟正黑體" w:eastAsia="微軟正黑體" w:hAnsi="微軟正黑體"/>
          <w:sz w:val="22"/>
          <w:szCs w:val="22"/>
        </w:rPr>
        <w:t xml:space="preserve">跨領域壓力測試，問的是「25-3-3-4-7框架能否解釋警政、人事、海關等結構迥異的場域」，測試對象是分析工具本身；其方法論邏輯是橫向鋪開至少八個結構迥異之場域，逐一辨識主導權力移轉與最脆弱治理鏈，再綜合尋找跨案例反覆出現之系統性模式，類似工程領域之「邊界條件測試」。理論承受力測試，問的是更根本的問題「行政學賴以建立學科認同的經典理論，在AI鑲嵌的條件下，其核心命題是否依然成立」，測試對象是被分析對象所依附之理論基礎本身；其方法論邏輯借用Kuhn（1962）典範轉移理論作為後設架構——一個學科之常態科學建立在共享典範之上，當既有典範無法解釋累積之異例時便進入危機階段，本測試逐一檢視構成行政學核心典範之理論支柱，是否已出現無法被既有理論完整解釋之異例，並追問這是可透過局部修正吸收之異例，還是需要典範層次之重構。二者之根本差異在於：前者測試「我們自己發明的工具」，後者測試「這門學科百年累積的理論根基」，後者之嚴肅性更高，因為理論一旦被證明徹底失靈，學科之根基便隨之動搖。</w:t>
      </w:r>
    </w:p>
    <w:p>
      <w:pPr>
        <w:spacing w:after="200" w:line="360"/>
        <w:ind w:firstLine="431"/>
        <w:jc w:val="both"/>
      </w:pPr>
      <w:r>
        <w:rPr>
          <w:rFonts w:ascii="微軟正黑體" w:cs="微軟正黑體" w:eastAsia="微軟正黑體" w:hAnsi="微軟正黑體"/>
          <w:sz w:val="22"/>
          <w:szCs w:val="22"/>
        </w:rPr>
        <w:t xml:space="preserve">三、各舉一例說明測試結果</w:t>
      </w:r>
    </w:p>
    <w:p>
      <w:pPr>
        <w:spacing w:after="200" w:line="360"/>
        <w:ind w:firstLine="431"/>
        <w:jc w:val="both"/>
      </w:pPr>
      <w:r>
        <w:rPr>
          <w:rFonts w:ascii="微軟正黑體" w:cs="微軟正黑體" w:eastAsia="微軟正黑體" w:hAnsi="微軟正黑體"/>
          <w:sz w:val="22"/>
          <w:szCs w:val="22"/>
        </w:rPr>
        <w:t xml:space="preserve">以跨領域壓力測試為例：本書橫向鋪開社會福利、警政、人事、財務、司法、教育、資安與選舉誠信、國際貿易海關八個場域，發現每一場域皆能被清楚定位於某一主導之權力移轉類型與最脆弱之治理鏈，沒有任何一個場域「無法被框架描述」，此為框架具有跨場域一般性解釋力之有力證據，測試結果是框架「通過測試」。以理論承受力測試為例：本書逐一檢驗Wilson政治行政二分、Weber官僚體制、Simon有限理性、Ostrom多中心治理、Frederickson新公共行政五個理論，發現沒有任何一個理論被徹底推翻，但每一個理論都出現了無法被原始命題完整解釋之異例，並各自對應出具體可檢驗之修正命題（如Weber之「依法與依審計行政」），測試結果是理論「承受住測試但接受修正」，而非發生Kuhn意義下之徹底典範轉移。</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跨領域壓力測試證實了本書自創框架之一般性，理論承受力測試則證實了行政學經典理論在AI時代依然承受得住考驗、只是需要局部修正——兩項測試合而觀之，共同支撐起全書「傳統理論為體、AI框架為用」之核心方法論立場。</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須清楚說明測試對象之根本差異：跨領域壓力測試測試分析工具本身之一般性，理論承受力測試測試行政學經典理論之核心命題是否成立，不可將二者混為同義詞。</w:t>
      </w:r>
    </w:p>
    <w:p>
      <w:pPr>
        <w:pStyle w:val="ListParagraph"/>
        <w:numPr>
          <w:ilvl w:val="0"/>
          <w:numId w:val="2"/>
        </w:numPr>
        <w:spacing w:after="120" w:line="340"/>
      </w:pPr>
      <w:r>
        <w:rPr>
          <w:rFonts w:ascii="微軟正黑體" w:cs="微軟正黑體" w:eastAsia="微軟正黑體" w:hAnsi="微軟正黑體"/>
          <w:sz w:val="22"/>
          <w:szCs w:val="22"/>
        </w:rPr>
        <w:t xml:space="preserve">須各舉具體案例說明測試結果（跨領域壓力測試：八場域皆能被框架描述；理論承受力測試：五理論皆承受住測試但接受修正），不可僅比較方法論而無具體結果佐證。</w:t>
      </w:r>
    </w:p>
    <w:p>
      <w:pPr>
        <w:pStyle w:val="ListParagraph"/>
        <w:numPr>
          <w:ilvl w:val="0"/>
          <w:numId w:val="2"/>
        </w:numPr>
        <w:spacing w:after="120" w:line="340"/>
      </w:pPr>
      <w:r>
        <w:rPr>
          <w:rFonts w:ascii="微軟正黑體" w:cs="微軟正黑體" w:eastAsia="微軟正黑體" w:hAnsi="微軟正黑體"/>
          <w:sz w:val="22"/>
          <w:szCs w:val="22"/>
        </w:rPr>
        <w:t xml:space="preserve">宜點出理論承受力測試借用Kuhn典範轉移理論作為方法論後設架構，而跨領域壓力測試則類比工程領域之「邊界條件測試」，展現對二者方法論根源之精確掌握。</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將跨領域壓力測試與理論承受力測試混為同一件事，未能說明測試對象之根本差異。</w:t>
      </w:r>
    </w:p>
    <w:p>
      <w:pPr>
        <w:pStyle w:val="ListParagraph"/>
        <w:numPr>
          <w:ilvl w:val="0"/>
          <w:numId w:val="2"/>
        </w:numPr>
        <w:spacing w:after="120" w:line="340"/>
      </w:pPr>
      <w:r>
        <w:rPr>
          <w:rFonts w:ascii="微軟正黑體" w:cs="微軟正黑體" w:eastAsia="微軟正黑體" w:hAnsi="微軟正黑體"/>
          <w:sz w:val="22"/>
          <w:szCs w:val="22"/>
        </w:rPr>
        <w:t xml:space="preserve">❌ 僅說明方法論差異而未各舉具體例子說明測試結果，論述流於抽象。</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說明二者之邏輯先後順序：本書先進行跨領域壓力測試（確立分析工具本身之一般性），再進行理論承受力測試（把測試對象轉向經典理論），此一先後順序本身即具方法論意義——唯有先確立自創框架具一般性，才有資格作為檢驗百年經典理論之分析工具。</w:t>
      </w:r>
    </w:p>
    <w:p>
      <w:pPr>
        <w:pStyle w:val="ListParagraph"/>
        <w:numPr>
          <w:ilvl w:val="0"/>
          <w:numId w:val="2"/>
        </w:numPr>
        <w:spacing w:after="120" w:line="340"/>
      </w:pPr>
      <w:r>
        <w:rPr>
          <w:rFonts w:ascii="微軟正黑體" w:cs="微軟正黑體" w:eastAsia="微軟正黑體" w:hAnsi="微軟正黑體"/>
          <w:sz w:val="22"/>
          <w:szCs w:val="22"/>
        </w:rPr>
        <w:t xml:space="preserve">可補充可證偽性（falsifiability）視角：說明理論承受力測試所提出之修正命題（如「依法與依審計行政」），須能被轉化為可檢驗之具體要求（如决策日誌之留存），方能通過真正之理論修正檢驗，否則便有淪為口號之風險，此一判準同樣適用於評估跨領域壓力測試所得系統性模式之嚴謹度。</w:t>
      </w:r>
    </w:p>
    <w:p>
      <w:pPr>
        <w:pStyle w:val="ListParagraph"/>
        <w:numPr>
          <w:ilvl w:val="0"/>
          <w:numId w:val="2"/>
        </w:numPr>
        <w:spacing w:after="120" w:line="340"/>
      </w:pPr>
      <w:r>
        <w:rPr>
          <w:rFonts w:ascii="微軟正黑體" w:cs="微軟正黑體" w:eastAsia="微軟正黑體" w:hAnsi="微軟正黑體"/>
          <w:sz w:val="22"/>
          <w:szCs w:val="22"/>
        </w:rPr>
        <w:t xml:space="preserve">可補充自我指涉之批判視角：說明若Kuhn典範轉移理論本身可信，則本書自創之25-3-3-4-7框架，理論上未來也可能面臨被修正甚至取代之命運，此一自我指涉之誠實態度，正是本章方法論之學術誠實體現。</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四節母體教材「人機共構治理五項實踐原則」自行設計之模擬命題，情境為虛構之全新案例（智慧路口違規辨識系統），本書未曾於前二十六章討論過此一案例，用以測試考生獨立運用全書方法論分析新案例之綜合能力。本語料庫（107-111年）中，五項實踐原則為本書自創之全書總結架構，尚未查得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某直轄市政府擬於轄內主要路口導入AI輔助違規辨識系統，運用影像辨識自動偵測闖紅燈、未依規定變換車道等違規行為，系統偵測結果將自動產生初步舉發建議，由交通隊員警複核後開立罰單。請運用本書人機共構治理之五項實踐原則，設計一套適用於此系統開發到除役全生命週期之審計常態化機制，並說明如何具體落實責任到人原則。（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全新案例綜合應用題」，考生須獨立運用五項實踐原則分析本書未曾討論過之新案例，依序完成：設計全生命週期審計常態化機制、說明如何落實責任到人原則——若僅套用其他案例（如健保AI審查）之既有分析而未針對本案例（智慧路口違規辨識）之特性具體設計，或未能涵蓋系統開發到除役之完整生命週期，均屬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審計常態化原則（開發╱上線╱營運╱除役四階段）＋ 責任到人原則（RACI矩陣具體職位）＋ 全新案例獨立診斷。</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一、前言：紅燈亮起的那一刻，是誰在做判斷</w:t>
      </w:r>
    </w:p>
    <w:p>
      <w:pPr>
        <w:pStyle w:val="ListParagraph"/>
        <w:numPr>
          <w:ilvl w:val="0"/>
          <w:numId w:val="2"/>
        </w:numPr>
        <w:spacing w:after="120" w:line="340"/>
      </w:pPr>
      <w:r>
        <w:rPr>
          <w:rFonts w:ascii="微軟正黑體" w:cs="微軟正黑體" w:eastAsia="微軟正黑體" w:hAnsi="微軟正黑體"/>
          <w:sz w:val="22"/>
          <w:szCs w:val="22"/>
        </w:rPr>
        <w:t xml:space="preserve">二、以審計常態化原則設計全生命週期稽核機制</w:t>
      </w:r>
    </w:p>
    <w:p>
      <w:pPr>
        <w:pStyle w:val="ListParagraph"/>
        <w:numPr>
          <w:ilvl w:val="0"/>
          <w:numId w:val="2"/>
        </w:numPr>
        <w:spacing w:after="120" w:line="340"/>
      </w:pPr>
      <w:r>
        <w:rPr>
          <w:rFonts w:ascii="微軟正黑體" w:cs="微軟正黑體" w:eastAsia="微軟正黑體" w:hAnsi="微軟正黑體"/>
          <w:sz w:val="22"/>
          <w:szCs w:val="22"/>
        </w:rPr>
        <w:t xml:space="preserve">三、以責任到人原則落實具體責任歸屬</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【參考答案·標準版】（約1,400字）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路口的紅燈亮起，AI系統按下判斷鍵，產生一份「疑似闖紅燈」的舉發建議——這個瞬間看似只是交通違規舉發流程的技術升級，但若審計常態化原則與責任到人原則沒有落實，這份舉發建議背後的資料、邏輯與責任，可能比想像中更容易失控。</w:t>
      </w:r>
    </w:p>
    <w:p>
      <w:pPr>
        <w:spacing w:after="200" w:line="360"/>
        <w:ind w:firstLine="431"/>
        <w:jc w:val="both"/>
      </w:pPr>
      <w:r>
        <w:rPr>
          <w:rFonts w:ascii="微軟正黑體" w:cs="微軟正黑體" w:eastAsia="微軟正黑體" w:hAnsi="微軟正黑體"/>
          <w:sz w:val="22"/>
          <w:szCs w:val="22"/>
        </w:rPr>
        <w:t xml:space="preserve">二、以審計常態化原則設計全生命週期稽核機制</w:t>
      </w:r>
    </w:p>
    <w:p>
      <w:pPr>
        <w:spacing w:after="200" w:line="360"/>
        <w:ind w:firstLine="431"/>
        <w:jc w:val="both"/>
      </w:pPr>
      <w:r>
        <w:rPr>
          <w:rFonts w:ascii="微軟正黑體" w:cs="微軟正黑體" w:eastAsia="微軟正黑體" w:hAnsi="微軟正黑體"/>
          <w:sz w:val="22"/>
          <w:szCs w:val="22"/>
        </w:rPr>
        <w:t xml:space="preserve">審計常態化原則主張七項治理審計應納入系統生命週期之每個階段，而非上線前之一次性形式檢查，可依系統開發、上線、營運、除役四階段分別設計：其一，系統開發階段，應進行資料代表性審計（訓練影像資料是否涵蓋不同天候、光線、路口幾何條件，避免特定路況下辨識率系統性偏低）與隱私與資安審計（車牌與人臉影像之蒐集、比對與留存是否符合個資法規範）；其二，系統上線階段，應進行理由說明審計（確認每一筆舉發建議是否能提供對應之影像截圖與判讀依據，而非僅顯示違規代碼）與裁量邊界審計（明確規範交通隊員警複核時之最低審視標準，例如須實際檢視影像後方能開立罰單，不得逕行批次核可）；其三，系統營運階段，應建立定期（如每季）之組織能力審計（複核員警之教育訓練時數與辨識異常之能力）與責任歸屬審計（以RACI矩陣定期盤點各環節當責者是否仍屬具體職位而非抽象名詞）；其四，系統除役或更新階段，應進行民主課責審計（公開系統辨識準確率、申訴案件數與申訴成立比例等年度治理報告，並保留獨立監督機關之調查權限），確保系統汰換或升級過程本身亦受公民監督。</w:t>
      </w:r>
    </w:p>
    <w:p>
      <w:pPr>
        <w:spacing w:after="200" w:line="360"/>
        <w:ind w:firstLine="431"/>
        <w:jc w:val="both"/>
      </w:pPr>
      <w:r>
        <w:rPr>
          <w:rFonts w:ascii="微軟正黑體" w:cs="微軟正黑體" w:eastAsia="微軟正黑體" w:hAnsi="微軟正黑體"/>
          <w:sz w:val="22"/>
          <w:szCs w:val="22"/>
        </w:rPr>
        <w:t xml:space="preserve">三、以責任到人原則落實具體責任歸屬</w:t>
      </w:r>
    </w:p>
    <w:p>
      <w:pPr>
        <w:spacing w:after="200" w:line="360"/>
        <w:ind w:firstLine="431"/>
        <w:jc w:val="both"/>
      </w:pPr>
      <w:r>
        <w:rPr>
          <w:rFonts w:ascii="微軟正黑體" w:cs="微軟正黑體" w:eastAsia="微軟正黑體" w:hAnsi="微軟正黑體"/>
          <w:sz w:val="22"/>
          <w:szCs w:val="22"/>
        </w:rPr>
        <w:t xml:space="preserve">責任到人原則主張RACI矩陣中每個環節之當責者須是具體自然人，不能是機關或系統。就本案例而言，可依RACI矩陣逐一盤點：資料蒐集與模型訓練環節，當責者應為資訊處負責影像辨識系統之科長或處長，而非籠統填寫「委外廠商」；違規辨識結果之初步產生環節，實際執行者為AI系統，惟當責者仍應為交通隊之技術督導人員，負責監控系統辨識準確率是否符合契約約定標準；舉發建議之複核與開立罰單環節，當責者應為實際複核之交通隊員警，須於複核紀錄中留下姓名與複核時間，不得以「系統自動舉發」作為開立罰單之唯一依據；民眾申訴案件之處理環節，當責者應為申訴審議小組之組長，並應明確記載複核依據與最終決定理由。若委外廠商負責系統開發與維護，委外契約中亦應明列廠商方之技術負責人姓名與聯繫方式，作為機關端當責者之對應窗口，避免發生爭議時機關與廠商互相推諉、責任鏈斷裂之情形。</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智慧路口違規辨識系統之導入，本意在提升交通執法效率，惟若僅依賴「上線前測試合格」之一次性審查，而未將審計常態化原則貫穿系統開發到除役之完整生命週期，且未透過責任到人原則具體盤點每一環節之當責自然人，效率提升可能是以犧牲可課責性為代價。唯有讓五項實踐原則落實於每一個治理環節，才能確保「AI可以建議，但簽名蓋章、扛責任的，終究要是人」這句話，在智慧路口違規辨識系統這類全新案例中，同樣能夠被具體實踐，而不僅是停留於抽象的理念宣示。</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須具體設計系統開發、上線、營運、除役四階段各自對應之七項治理審計項目，並扣合本案例（影像辨識、路口執法）之具體特性，不可僅籠統複製其他案例（如健保AI審查）之既有分析內容。</w:t>
      </w:r>
    </w:p>
    <w:p>
      <w:pPr>
        <w:pStyle w:val="ListParagraph"/>
        <w:numPr>
          <w:ilvl w:val="0"/>
          <w:numId w:val="2"/>
        </w:numPr>
        <w:spacing w:after="120" w:line="340"/>
      </w:pPr>
      <w:r>
        <w:rPr>
          <w:rFonts w:ascii="微軟正黑體" w:cs="微軟正黑體" w:eastAsia="微軟正黑體" w:hAnsi="微軟正黑體"/>
          <w:sz w:val="22"/>
          <w:szCs w:val="22"/>
        </w:rPr>
        <w:t xml:space="preserve">須具體運用RACI矩陣邏輯，逐一指出本案例至少三個治理環節之當責者應為何種具體職位（而非籠統稱「機關」或「廠商」），並說明委外情境下當責者對應窗口之設計。</w:t>
      </w:r>
    </w:p>
    <w:p>
      <w:pPr>
        <w:pStyle w:val="ListParagraph"/>
        <w:numPr>
          <w:ilvl w:val="0"/>
          <w:numId w:val="2"/>
        </w:numPr>
        <w:spacing w:after="120" w:line="340"/>
      </w:pPr>
      <w:r>
        <w:rPr>
          <w:rFonts w:ascii="微軟正黑體" w:cs="微軟正黑體" w:eastAsia="微軟正黑體" w:hAnsi="微軟正黑體"/>
          <w:sz w:val="22"/>
          <w:szCs w:val="22"/>
        </w:rPr>
        <w:t xml:space="preserve">宜清楚展現獨立分析新案例之能力，不逕行套用書中其他案例之現成答案，而是針對本案例之具體情境（影像辨識、複核開單、民眾申訴）設計對應機制，此為本題最重要之得分關鍵。</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直接套用健保AI審查或其他書中已討論案例之分析內容，未能針對智慧路口違規辨識系統之具體特性設計對應機制。</w:t>
      </w:r>
    </w:p>
    <w:p>
      <w:pPr>
        <w:pStyle w:val="ListParagraph"/>
        <w:numPr>
          <w:ilvl w:val="0"/>
          <w:numId w:val="2"/>
        </w:numPr>
        <w:spacing w:after="120" w:line="340"/>
      </w:pPr>
      <w:r>
        <w:rPr>
          <w:rFonts w:ascii="微軟正黑體" w:cs="微軟正黑體" w:eastAsia="微軟正黑體" w:hAnsi="微軟正黑體"/>
          <w:sz w:val="22"/>
          <w:szCs w:val="22"/>
        </w:rPr>
        <w:t xml:space="preserve">❌ 審計常態化機制設計未能涵蓋系統開發到除役之完整生命週期，僅籠統稱「應定期稽核」而無具體階段劃分。</w:t>
      </w:r>
    </w:p>
    <w:p>
      <w:pPr>
        <w:pStyle w:val="ListParagraph"/>
        <w:numPr>
          <w:ilvl w:val="0"/>
          <w:numId w:val="2"/>
        </w:numPr>
        <w:spacing w:after="120" w:line="340"/>
      </w:pPr>
      <w:r>
        <w:rPr>
          <w:rFonts w:ascii="微軟正黑體" w:cs="微軟正黑體" w:eastAsia="微軟正黑體" w:hAnsi="微軟正黑體"/>
          <w:sz w:val="22"/>
          <w:szCs w:val="22"/>
        </w:rPr>
        <w:t xml:space="preserve">❌ 責任到人原則之說明流於抽象（如僅稱「應明確責任歸屬」），未具體指出至少三個治理環節之當責職位設計。</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公共性保留原則與裁量可回溯原則之整合應用：說明應於罰單開立文件中明確記載「本舉發經交通隊員警複核確認，AI僅提供影像初步偵測」，並建立標準化裁量日誌，記載模型版本、偵測依據與員警覆寫（撤銷舉發）紀錄，展現五項原則之整合運用能力而非僅回答題目明確要求之兩項原則。</w:t>
      </w:r>
    </w:p>
    <w:p>
      <w:pPr>
        <w:pStyle w:val="ListParagraph"/>
        <w:numPr>
          <w:ilvl w:val="0"/>
          <w:numId w:val="2"/>
        </w:numPr>
        <w:spacing w:after="120" w:line="340"/>
      </w:pPr>
      <w:r>
        <w:rPr>
          <w:rFonts w:ascii="微軟正黑體" w:cs="微軟正黑體" w:eastAsia="微軟正黑體" w:hAnsi="微軟正黑體"/>
          <w:sz w:val="22"/>
          <w:szCs w:val="22"/>
        </w:rPr>
        <w:t xml:space="preserve">可援引第二節自動化偏誤之研究視角：說明應特別留意交通隊員警是否因長期複核而產生自動化偏誤（傾向直接核可AI建議而未實質審視影像），可設計「隨機抽查複核紀錄」機制，檢視員警是否仍保有實質裁量空間，呼應Skitka等人（1999）與Alon-Barkat與Busuioc（2023）之研究發現。</w:t>
      </w:r>
    </w:p>
    <w:p>
      <w:pPr>
        <w:pStyle w:val="ListParagraph"/>
        <w:numPr>
          <w:ilvl w:val="0"/>
          <w:numId w:val="2"/>
        </w:numPr>
        <w:spacing w:after="120" w:line="340"/>
      </w:pPr>
      <w:r>
        <w:rPr>
          <w:rFonts w:ascii="微軟正黑體" w:cs="微軟正黑體" w:eastAsia="微軟正黑體" w:hAnsi="微軟正黑體"/>
          <w:sz w:val="22"/>
          <w:szCs w:val="22"/>
        </w:rPr>
        <w:t xml:space="preserve">可補充民主可課責原則之具體制度設計：援引臺灣人工智慧基本法之國家AI戰略特別委員會精神，建議地方政府比照設立跨局處之AI治理小組，定期公開智慧路口違規辨識系統之年度治理報告，並開放民間團體參與監督，避免民主課責審計淪為本章一再強調之最難通過項目。</w:t>
      </w:r>
    </w:p>
    <w:p>
      <w:pPr>
        <w:pStyle w:val="ListParagraph"/>
        <w:numPr>
          <w:ilvl w:val="0"/>
          <w:numId w:val="2"/>
        </w:numPr>
        <w:spacing w:after="120" w:line="340"/>
      </w:pPr>
      <w:r>
        <w:rPr>
          <w:rFonts w:ascii="微軟正黑體" w:cs="微軟正黑體" w:eastAsia="微軟正黑體" w:hAnsi="微軟正黑體"/>
          <w:sz w:val="22"/>
          <w:szCs w:val="22"/>
        </w:rPr>
        <w:t xml:space="preserve">可補充方法論反思視角：說明本題示範之獨立診斷新案例能力，正是呼應全書終章「能獨立運用25-3-3-4-7框架，分析一個本書未曾討論之全新AI公共行政案例」之學習目標，展現對全書方法論精神之整體掌握，而非僅是個別工具之片段套用。</w:t>
      </w:r>
    </w:p>
    <w:p>
      <w:pPr>
        <w:spacing w:after="30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合併對應大學教科書第28、29、30三章之異質案例壓力測試、理論承受力與典範重構、人機共構治理總結，屬全書方法論深化與全書總結章，並非考選部歷屆試題所依循之標準行政學考點分類。本語料庫涵蓋107-111年5個年度之考選部官方公告試題（行政學╱行政學概要科目），經逐題比對，查無與本章方法論框架（跨領域壓力測試、理論承受力測試、五項實踐原則）直接對應之申論真題，此一情形與本書第三章「行政學的研究」、第十章至第十四章「公共政策」系列、第二十章「策略管理」、第二十五章「AI鑲嵌式公共行政與治理框架導論」、第二十六章「四條治理鏈與七項治理審計的操作化」相同，均屬語料庫年度範圍內尚未查得直接對應真題之章節。惟隨AI治理逐漸成為國家考試命題趨勢之新興領域，建議讀者留意112年以後最新年度考古題中，是否出現要求考生獨立分析全新AI公共行政案例之綜合分析題型，並可援引本章之五項實踐原則與全書25-3-3-4-7方法論作為答題工具，臨場靈活應用於任何未曾見過之AI治理情境題——這正是本書終章欲留給讀者最重要之能力。</w:t>
      </w:r>
    </w:p>
    <w:p>
      <w:pPr>
        <w:spacing w:after="28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跨領域壓力測試與八個異質場域案例總覽</w:t>
            </w:r>
          </w:p>
          <w:p>
            <w:pPr>
              <w:spacing w:line="340"/>
              <w:jc w:val="both"/>
            </w:pPr>
            <w:r>
              <w:rPr>
                <w:rFonts w:ascii="微軟正黑體" w:cs="微軟正黑體" w:eastAsia="微軟正黑體" w:hAnsi="微軟正黑體"/>
                <w:sz w:val="21"/>
                <w:szCs w:val="21"/>
              </w:rPr>
              <w:t xml:space="preserve">邊界條件測試邏輯 → 八場域（社福╱警政╱人事╱財務╱司法╱教育╱資安選舉╱海關）× 主導權力移轉 × 最脆弱治理鏈 → 沒有場域無法被框架描述＝一般性初步證據</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跨案例系統性模式與七項治理審計難易度</w:t>
            </w:r>
          </w:p>
          <w:p>
            <w:pPr>
              <w:spacing w:line="340"/>
              <w:jc w:val="both"/>
            </w:pPr>
            <w:r>
              <w:rPr>
                <w:rFonts w:ascii="微軟正黑體" w:cs="微軟正黑體" w:eastAsia="微軟正黑體" w:hAnsi="微軟正黑體"/>
                <w:sz w:val="21"/>
                <w:szCs w:val="21"/>
              </w:rPr>
              <w:t xml:space="preserve">P1情境建構偏誤／P2自動化偏誤（Skitka；Alon-Barkat &amp; Busuioc）／P3委外課責稀釋 → 審計難易度：易（組織能力）到最難（民主課責）→ 跨格移動／邊界消解／權威重構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五個經典理論的AI壓力測試與典範重構</w:t>
            </w:r>
          </w:p>
          <w:p>
            <w:pPr>
              <w:spacing w:line="340"/>
              <w:jc w:val="both"/>
            </w:pPr>
            <w:r>
              <w:rPr>
                <w:rFonts w:ascii="微軟正黑體" w:cs="微軟正黑體" w:eastAsia="微軟正黑體" w:hAnsi="微軟正黑體"/>
                <w:sz w:val="21"/>
                <w:szCs w:val="21"/>
              </w:rPr>
              <w:t xml:space="preserve">Kuhn典範轉移（典範異例危機轉移）→ Wilson／Weber／Simon／Ostrom／Frederickson五理論皆承受住測試但接受修正 → 演算法官僚（Bovens &amp; Zouridis系統層級官僚）→ 可證偽性判準</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臺灣人工智慧基本法與人機共構治理五項實踐原則</w:t>
            </w:r>
          </w:p>
          <w:p>
            <w:pPr>
              <w:spacing w:line="340"/>
              <w:jc w:val="both"/>
            </w:pPr>
            <w:r>
              <w:rPr>
                <w:rFonts w:ascii="微軟正黑體" w:cs="微軟正黑體" w:eastAsia="微軟正黑體" w:hAnsi="微軟正黑體"/>
                <w:sz w:val="21"/>
                <w:szCs w:val="21"/>
              </w:rPr>
              <w:t xml:space="preserve">臺灣AI基本法（2026年1月14日施行）七大原則與國家AI戰略特別委員會 → 五項實踐原則：公共性保留／裁量可回溯／責任到人／審計常態化／民主可課責 → 制度化第一步而非終點</w:t>
            </w:r>
          </w:p>
        </w:tc>
      </w:tr>
    </w:tbl>
    <w:p>
      <w:pPr>
        <w:spacing w:after="1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申論核心句（可直接用於破題或結論，亦為全書總結句）</w:t>
            </w:r>
          </w:p>
          <w:p>
            <w:pPr>
              <w:spacing w:line="340"/>
              <w:jc w:val="both"/>
            </w:pPr>
            <w:r>
              <w:rPr>
                <w:rFonts w:ascii="微軟正黑體" w:cs="微軟正黑體" w:eastAsia="微軟正黑體" w:hAnsi="微軟正黑體"/>
                <w:sz w:val="21"/>
                <w:szCs w:val="21"/>
              </w:rPr>
              <w:t xml:space="preserve">AI可以建議，但簽名蓋章、扛責任的，終究要是人——士不可以不弘毅，任重而道遠，這條路，從闔上這本書的此刻，才真正開始。</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2026-09-03T05:47:38.836Z</dcterms:created>
  <dcterms:modified xsi:type="dcterms:W3CDTF">2026-09-03T05:47:38.837Z</dcterms:modified>
</cp:coreProperties>
</file>

<file path=docProps/custom.xml><?xml version="1.0" encoding="utf-8"?>
<Properties xmlns="http://schemas.openxmlformats.org/officeDocument/2006/custom-properties" xmlns:vt="http://schemas.openxmlformats.org/officeDocument/2006/docPropsVTypes"/>
</file>