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0"/>
          <w:szCs w:val="40"/>
        </w:rPr>
        <w:t xml:space="preserve">國家考試行政學：從行政學理論到申論實戰</w:t>
      </w:r>
    </w:p>
    <w:p>
      <w:pPr>
        <w:spacing w:after="60"/>
        <w:jc w:val="center"/>
      </w:pPr>
      <w:r>
        <w:rPr>
          <w:rFonts w:ascii="微軟正黑體" w:cs="微軟正黑體" w:eastAsia="微軟正黑體" w:hAnsi="微軟正黑體"/>
          <w:b/>
          <w:bCs/>
          <w:color w:val="444444"/>
          <w:sz w:val="28"/>
          <w:szCs w:val="28"/>
        </w:rPr>
        <w:t xml:space="preserve">第二十六章　四條治理鏈與七項治理審計的操作化</w:t>
      </w:r>
    </w:p>
    <w:p>
      <w:pPr>
        <w:spacing w:after="400"/>
        <w:jc w:val="center"/>
      </w:pPr>
      <w:r>
        <w:rPr>
          <w:rFonts w:ascii="微軟正黑體" w:cs="微軟正黑體" w:eastAsia="微軟正黑體" w:hAnsi="微軟正黑體"/>
          <w:i/>
          <w:iCs/>
          <w:color w:val="777777"/>
          <w:sz w:val="22"/>
          <w:szCs w:val="22"/>
        </w:rPr>
        <w:t xml:space="preserve">適用：高考三級／普考　一般行政類科　行政學</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本章定位</w:t>
            </w:r>
          </w:p>
          <w:p>
            <w:pPr>
              <w:spacing w:line="340"/>
              <w:jc w:val="both"/>
            </w:pPr>
            <w:r>
              <w:rPr>
                <w:rFonts w:ascii="微軟正黑體" w:cs="微軟正黑體" w:eastAsia="微軟正黑體" w:hAnsi="微軟正黑體"/>
                <w:sz w:val="21"/>
                <w:szCs w:val="21"/>
              </w:rPr>
              <w:t xml:space="preserve">本章合併對應大學教科書《行政學》第二十六章「四條治理鏈方法論深化：以健保AI審查為例」與第二十七章「七項治理審計的操作化與制度化」，延續第25章所建立之25座標、三種權力移轉與三項結構效應之分析架構，進一步將「四條治理鏈」與「七項治理審計」兩項操作化工具做深度回顧與整合示範。內容取材自兩章共五節母體教材（第26章：四條治理鏈的深度回顧、AI治理專節四鏈修補方案與工具箱，並以我國健保AI審查與美國UnitedHealth的nH Predict演算法爭議為案例；第27章：七項治理審計的定義與操作化指標、七審與四鏈的關係以RACI矩陣示範責任歸屬審計、AI治理專節從清單到制度之臺灣與加拿大比較），依國考「考點化、模組化、背誦＋應用」邏輯重新壓縮改寫為四節：第一節整合原第26章第一節（四條治理鏈之核心提問、典型斷裂點與權威鏈授權層級遞減）；第二節整合原第27章第一節（七項治理審計之逐一定義與操作化指標，及其彼此不互斥之特性）；第三節整合原第26章第二節與第27章第二節（RACI矩陣操作化責任歸屬審計，以及可課責演算法框架、GDPR解釋權爭議、正當程序尊嚴價值等四鏈修補方案工具箱）；第四節整合原第26章與第27章之AI治理專節（以美國nH Predict演算法爭議為國際案例，比較我國臺北市政府AI作業指引與加拿大聯邦政府自動化決策指令之制度化路徑）。本章屬全書方法論深化章之延續，經以本語料庫（107-111年）逐一比對，第26、27兩章母體教材所對應之範圍內查無直接對應之申論真題，爰依全書體例，三題全數採模擬命題設計，並於各題【考題出處】明確標示，避免與真實歷屆試題混淆。三題之設計原則為：以四鏈七審方法論為答題工具，並援引母體教材中翔實記載之真實案例（健保AI審查、nH Predict演算法爭議、臺北市政府AI作業指引、加拿大演算法影響評估）作為情境素材，訓練讀者將方法論轉化為案例診斷與制度比較之能力。依全書格式定版說明，題目一（A級）維持三種完整答案版本，題目二（B級）與題目三（C級）改為標準版參考答案＋【高分加分點】；AI鑲嵌內容全章集中呈現，於第四節與題目三C級綜合題再深化應用。</w:t>
            </w:r>
          </w:p>
        </w:tc>
      </w:tr>
    </w:tbl>
    <w:p>
      <w:pPr>
        <w:spacing w:after="200"/>
      </w:pPr>
    </w:p>
    <w:p>
      <w:pPr>
        <w:spacing w:after="180" w:before="360"/>
      </w:pPr>
      <w:r>
        <w:rPr>
          <w:rFonts w:ascii="微軟正黑體" w:cs="微軟正黑體" w:eastAsia="微軟正黑體" w:hAnsi="微軟正黑體"/>
          <w:b/>
          <w:bCs/>
          <w:color w:val="1F4E79"/>
          <w:sz w:val="26"/>
          <w:szCs w:val="26"/>
        </w:rPr>
        <w:t xml:space="preserve">第一節　四條治理鏈的深度回顧</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四條治理鏈是第25章方法論在具體個案中之操作工具，用以追問AI系統從資料輸入到最終決定的因果鏈條中，究竟在哪一環節可能發生「斷裂」而喪失正當性。四鏈依序為情境建構鏈、權威鏈、理由鏈、責任鏈，其中情境建構鏈居邏輯前置地位——若最初被界定為「事實」的資料本身已存在偏誤，後續三鏈即便形式完備，仍建立在有缺陷的基礎之上；但情境建構鏈透明化並不能取代對其餘三鏈之監督，此一提醒延續自第25章之核心命題。</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情境建構鏈追問誰決定哪些資料、變項與問題被納入或排除，典型斷裂點在於資料代表性不足（訓練樣本未涵蓋全體受影響人口）與過度去識別化（為保護隱私過度移除關鍵脈絡資訊，反而使模型無法辨識特殊個案之特殊性，例如將弱勢家庭的特殊處境一併去除）。</w:t>
      </w:r>
    </w:p>
    <w:p>
      <w:pPr>
        <w:pStyle w:val="ListParagraph"/>
        <w:numPr>
          <w:ilvl w:val="0"/>
          <w:numId w:val="2"/>
        </w:numPr>
        <w:spacing w:after="120" w:line="340"/>
      </w:pPr>
      <w:r>
        <w:rPr>
          <w:rFonts w:ascii="微軟正黑體" w:cs="微軟正黑體" w:eastAsia="微軟正黑體" w:hAnsi="微軟正黑體"/>
          <w:sz w:val="22"/>
          <w:szCs w:val="22"/>
        </w:rPr>
        <w:t xml:space="preserve">權威鏈追問決策之正當性究竟來自明確之法律授權、機關裁量抑或演算法本身之技術權威，其授權基礎呈現遞減之課責結構：由法律明確授權，到法規命令概括授權，到機關內部行政規則，到委外廠商系統邏輯，再到第三方開源或商用模型，課責稀釋程度依此順序遞增——愈往後端，愈難將決策正當性追溯回明確之法定授權。</w:t>
      </w:r>
    </w:p>
    <w:p>
      <w:pPr>
        <w:pStyle w:val="ListParagraph"/>
        <w:numPr>
          <w:ilvl w:val="0"/>
          <w:numId w:val="2"/>
        </w:numPr>
        <w:spacing w:after="120" w:line="340"/>
      </w:pPr>
      <w:r>
        <w:rPr>
          <w:rFonts w:ascii="微軟正黑體" w:cs="微軟正黑體" w:eastAsia="微軟正黑體" w:hAnsi="微軟正黑體"/>
          <w:sz w:val="22"/>
          <w:szCs w:val="22"/>
        </w:rPr>
        <w:t xml:space="preserve">理由鏈追問決策理由能否被追溯與具體說明，我國《行政程序法》第96條規定書面行政處分應記載主旨、事實、理由及其法令依據，此一規範性要求延伸至AI輔助決策情境，即形成Citron（2008）所稱之「技術性正當程序」（Technological Due Process）——當決策邏輯內嵌於演算法模型而非人類可直接閱讀之文字說明時，如何確保受影響人民仍能取得「事實、理由及法令依據」，成為理由鏈能否成立之關鍵挑戰。</w:t>
      </w:r>
    </w:p>
    <w:p>
      <w:pPr>
        <w:pStyle w:val="ListParagraph"/>
        <w:numPr>
          <w:ilvl w:val="0"/>
          <w:numId w:val="2"/>
        </w:numPr>
        <w:spacing w:after="120" w:line="340"/>
      </w:pPr>
      <w:r>
        <w:rPr>
          <w:rFonts w:ascii="微軟正黑體" w:cs="微軟正黑體" w:eastAsia="微軟正黑體" w:hAnsi="微軟正黑體"/>
          <w:sz w:val="22"/>
          <w:szCs w:val="22"/>
        </w:rPr>
        <w:t xml:space="preserve">責任鏈追問當錯誤或損害發生時，責任應歸屬何處，其核心原則為責任終點必須回歸某一自然人，而非法人組織或系統本身——「系統出錯」或「廠商的問題」不能作為最終責任歸屬之答案。Bovens（2007）提出之課責概念性框架指出，課責須同時具備說明義務（an obligation to explain and justify conduct）與制裁可能性（the possibility of consequences）兩項要素，缺一不可——若一個環節僅要求「說明」而不存在任何後果之可能性，該環節之課責仍屬空洞。</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813"/>
        <w:gridCol w:w="3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核心提問</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典型斷裂點</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情境建構鏈</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誰決定哪些資料、變項與問題被納入或排除</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資料代表性不足；過度去識別化</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權威鏈</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決策正當性來自法律授權、機關裁量或演算法技術權威</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授權層級遞減，課責稀釋於委外或第三方模型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理由鏈</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決策理由能否被追溯與具體說明</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技術性正當程序缺位，演算法邏輯無法轉譯為可閱讀理由</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責任鏈</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錯誤或損害發生時責任歸屬何處</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責任終點停留於「系統」或「廠商」，未回歸具體自然人</w:t>
            </w:r>
          </w:p>
        </w:tc>
      </w:tr>
    </w:tbl>
    <w:p>
      <w:pPr>
        <w:spacing w:after="280" w:before="120"/>
        <w:jc w:val="center"/>
      </w:pPr>
      <w:r>
        <w:rPr>
          <w:rFonts w:ascii="微軟正黑體" w:cs="微軟正黑體" w:eastAsia="微軟正黑體" w:hAnsi="微軟正黑體"/>
          <w:i/>
          <w:iCs/>
          <w:color w:val="555555"/>
          <w:sz w:val="18"/>
          <w:szCs w:val="18"/>
        </w:rPr>
        <w:t xml:space="preserve">表26-1　四條治理鏈之核心提問與典型斷裂點</w:t>
      </w:r>
    </w:p>
    <w:p>
      <w:pPr>
        <w:spacing w:after="140" w:before="260"/>
      </w:pPr>
      <w:r>
        <w:rPr>
          <w:rFonts w:ascii="微軟正黑體" w:cs="微軟正黑體" w:eastAsia="微軟正黑體" w:hAnsi="微軟正黑體"/>
          <w:b/>
          <w:bCs/>
          <w:color w:val="2E5C8A"/>
          <w:sz w:val="23"/>
          <w:szCs w:val="23"/>
        </w:rPr>
        <w:t xml:space="preserve">四、核心命題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4413"/>
        <w:gridCol w:w="2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授權層級</w:t>
            </w:r>
          </w:p>
        </w:tc>
        <w:tc>
          <w:tcPr>
            <w:tcW w:type="dxa" w:w="4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內涵</w:t>
            </w:r>
          </w:p>
        </w:tc>
        <w:tc>
          <w:tcPr>
            <w:tcW w:type="dxa" w:w="2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課責程度</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法律明確授權</w:t>
            </w:r>
          </w:p>
        </w:tc>
        <w:tc>
          <w:tcPr>
            <w:tcW w:type="dxa" w:w="4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國會立法明確規範AI系統之使用範圍與程序</w:t>
            </w:r>
          </w:p>
        </w:tc>
        <w:tc>
          <w:tcPr>
            <w:tcW w:type="dxa" w:w="2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最高</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法規命令概括授權</w:t>
            </w:r>
          </w:p>
        </w:tc>
        <w:tc>
          <w:tcPr>
            <w:tcW w:type="dxa" w:w="4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行政機關依法律概括授權訂定子法規範細節</w:t>
            </w:r>
          </w:p>
        </w:tc>
        <w:tc>
          <w:tcPr>
            <w:tcW w:type="dxa" w:w="2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高</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機關內部行政規則</w:t>
            </w:r>
          </w:p>
        </w:tc>
        <w:tc>
          <w:tcPr>
            <w:tcW w:type="dxa" w:w="4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機關自訂作業規範，未經外部立法或審查程序</w:t>
            </w:r>
          </w:p>
        </w:tc>
        <w:tc>
          <w:tcPr>
            <w:tcW w:type="dxa" w:w="2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中</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委外廠商系統邏輯</w:t>
            </w:r>
          </w:p>
        </w:tc>
        <w:tc>
          <w:tcPr>
            <w:tcW w:type="dxa" w:w="4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決策邏輯內嵌於採購契約與廠商系統設計</w:t>
            </w:r>
          </w:p>
        </w:tc>
        <w:tc>
          <w:tcPr>
            <w:tcW w:type="dxa" w:w="2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低</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第三方開源或商用模型</w:t>
            </w:r>
          </w:p>
        </w:tc>
        <w:tc>
          <w:tcPr>
            <w:tcW w:type="dxa" w:w="4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決策邏輯來自機關以外之技術社群或商業模型</w:t>
            </w:r>
          </w:p>
        </w:tc>
        <w:tc>
          <w:tcPr>
            <w:tcW w:type="dxa" w:w="2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最低</w:t>
            </w:r>
          </w:p>
        </w:tc>
      </w:tr>
    </w:tbl>
    <w:p>
      <w:pPr>
        <w:spacing w:after="280" w:before="120"/>
        <w:jc w:val="center"/>
      </w:pPr>
      <w:r>
        <w:rPr>
          <w:rFonts w:ascii="微軟正黑體" w:cs="微軟正黑體" w:eastAsia="微軟正黑體" w:hAnsi="微軟正黑體"/>
          <w:i/>
          <w:iCs/>
          <w:color w:val="555555"/>
          <w:sz w:val="18"/>
          <w:szCs w:val="18"/>
        </w:rPr>
        <w:t xml:space="preserve">表26-2　權威鏈之授權層級遞減示意</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四條治理鏈之貢獻在於，將原本抽象的「AI治理是否正當」提問，拆解為四個可個別診斷之環節，避免落入「只要有法律依據就沒問題」或「只要能解釋就沒問題」之片面判斷；惟其限制在於，四鏈之間並非互斥獨立，同一斷裂點經常同時觸犯兩條以上治理鏈（此一特性將於第二節七項治理審計中進一步說明），因此逐鏈檢視雖有助於系統性思考，仍須輔以整合性之審計工具，方能避免掛一漏萬。</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四條治理鏈之修補方案與具體工具箱（可課責演算法框架、GDPR解釋權爭議、正當程序理論之尊嚴價值），留待第三節深入闡述。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中央健康保險署自2019年起運用自然語言處理模型輔助分析放射科影像報告（如頭部電腦斷層報告，模型於10小時內完成相當於960位專家人力之分析工作），並於2021年與臺大醫院簽署合作備忘錄，共同開發心臟疾病AI模組，運用逾700億筆結構化醫療紀錄與逾30億筆醫療影像資料。就目前公開資訊而言，此一智慧審查工具之定位為效率提升與風險資訊揭露之輔助角色，並未直接用於不利給付處分之核定，顯示其權威鏈設計上有意識地保留人類最終決定權，此一審慎設計本身即為權威鏈實務操作之正面示範，惟此一效率提升與後續申覆機制之關聯，仍值得以四鏈七審持續追蹤觀察（詳見第四節）。</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四條治理鏈（情境建構╱權威╱理由╱責任）之核心提問與典型斷裂點，情境建構鏈具邏輯前置地位但不能取代其餘三鏈之監督。</w:t>
            </w:r>
          </w:p>
          <w:p>
            <w:pPr>
              <w:spacing w:after="80" w:line="320"/>
            </w:pPr>
            <w:r>
              <w:rPr>
                <w:rFonts w:ascii="微軟正黑體" w:cs="微軟正黑體" w:eastAsia="微軟正黑體" w:hAnsi="微軟正黑體"/>
                <w:sz w:val="21"/>
                <w:szCs w:val="21"/>
              </w:rPr>
              <w:t xml:space="preserve">•　權威鏈之授權層級遞減：法律明確授權→法規命令概括授權→機關內部行政規則→委外廠商系統邏輯→第三方開源或商用模型，課責稀釋程度依序遞增。</w:t>
            </w:r>
          </w:p>
          <w:p>
            <w:pPr>
              <w:spacing w:after="0" w:line="320"/>
            </w:pPr>
            <w:r>
              <w:rPr>
                <w:rFonts w:ascii="微軟正黑體" w:cs="微軟正黑體" w:eastAsia="微軟正黑體" w:hAnsi="微軟正黑體"/>
                <w:sz w:val="21"/>
                <w:szCs w:val="21"/>
              </w:rPr>
              <w:t xml:space="preserve">•　理由鏈與《行政程序法》第96條之連結，以及Citron（2008）技術性正當程序之概念；責任鏈與Bovens（2007）課責概念性框架（說明義務＋制裁可能性）。</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四鏈口訣：情境建構問「誰決定看什麼」、權威鏈問「誰說了算」、理由鏈問「能不能說清楚」、責任鏈問「出事找誰」。</w:t>
            </w:r>
          </w:p>
          <w:p>
            <w:pPr>
              <w:spacing w:after="0" w:line="320"/>
            </w:pPr>
            <w:r>
              <w:rPr>
                <w:rFonts w:ascii="微軟正黑體" w:cs="微軟正黑體" w:eastAsia="微軟正黑體" w:hAnsi="微軟正黑體"/>
                <w:sz w:val="21"/>
                <w:szCs w:val="21"/>
              </w:rPr>
              <w:t xml:space="preserve">•　授權層級遞減口訣：法律→法規命令→行政規則→委外廠商→第三方模型，愈往後端課責愈稀薄。</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「權威鏈」與「責任鏈」不同——權威鏈問的是「這個決定的正當性基礎是什麼」（事前的授權來源），責任鏈問的是「出了問題該找誰負責」（事後的歸咎對象），二者時間點與功能皆不同，不可互換。</w:t>
            </w:r>
          </w:p>
          <w:p>
            <w:pPr>
              <w:spacing w:after="0" w:line="320"/>
            </w:pPr>
            <w:r>
              <w:rPr>
                <w:rFonts w:ascii="微軟正黑體" w:cs="微軟正黑體" w:eastAsia="微軟正黑體" w:hAnsi="微軟正黑體"/>
                <w:sz w:val="21"/>
                <w:szCs w:val="21"/>
              </w:rPr>
              <w:t xml:space="preserve">•　「理由鏈斷裂」不等於「完全沒有說明」——即使機關提供了說明文字，若該說明僅是演算法輸出分數之複述而未能對應具體事實與法令依據，仍屬理由鏈斷裂，此為Citron技術性正當程序理論之核心提醒。</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第二節　七項治理審計的定義與操作化指標</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七項治理審計是用以查核四條治理鏈各環節所需證據之操作化工具，分別為資料代表性審計、理由說明審計、責任歸屬審計、隱私與資安審計、裁量邊界審計、組織能力審計、民主課責審計。七審彼此並不互斥，同一斷裂點經常同時觸犯兩項以上審計，因此七審之設計目的並非提供七個各自獨立的檢查盒，而是提供七種互補的提問角度。</w:t>
      </w:r>
    </w:p>
    <w:p>
      <w:pPr>
        <w:spacing w:after="140" w:before="260"/>
      </w:pPr>
      <w:r>
        <w:rPr>
          <w:rFonts w:ascii="微軟正黑體" w:cs="微軟正黑體" w:eastAsia="微軟正黑體" w:hAnsi="微軟正黑體"/>
          <w:b/>
          <w:bCs/>
          <w:color w:val="2E5C8A"/>
          <w:sz w:val="23"/>
          <w:szCs w:val="23"/>
        </w:rPr>
        <w:t xml:space="preserve">二、理論發展</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治理審計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核心提問</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操作化指標範例</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資料代表性審計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訓練與測試資料是否涵蓋所有受影響之次群體</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次群體資料占比╱資料缺漏部位盤點</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理由說明審計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決策理由是否可追溯並對應具體事實與法令依據</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書面理由完整率╱理由可讀性審查</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責任歸屬審計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每一治理環節是否有明確之當責者（非系統或廠商）</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RACI矩陣完整度╱當責者職位是否具體</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隱私與資安審計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資料蒐集、比對與留存是否符合個資法規範</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個資保護影響評估完成情形╱資安稽核紀錄</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裁量邊界審計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人類裁量與演算法建議之分工邊界是否明確</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裁量日誌完整性╱覆寫理由書面化程度</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組織能力審計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機關是否具備足夠專業能力監督與檢核系統</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專責人力配置╱教育訓練時數</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民主課責審計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外部利害關係人是否有參與、監督或申覆之管道</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公開諮詢紀錄╱外部救濟管道使用率</w:t>
            </w:r>
          </w:p>
        </w:tc>
      </w:tr>
    </w:tbl>
    <w:p>
      <w:pPr>
        <w:spacing w:after="280" w:before="120"/>
        <w:jc w:val="center"/>
      </w:pPr>
      <w:r>
        <w:rPr>
          <w:rFonts w:ascii="微軟正黑體" w:cs="微軟正黑體" w:eastAsia="微軟正黑體" w:hAnsi="微軟正黑體"/>
          <w:i/>
          <w:iCs/>
          <w:color w:val="555555"/>
          <w:sz w:val="18"/>
          <w:szCs w:val="18"/>
        </w:rPr>
        <w:t xml:space="preserve">表26-3　七項治理審計定義與操作化指標一覽</w:t>
      </w:r>
    </w:p>
    <w:p>
      <w:pPr>
        <w:spacing w:after="200" w:line="360"/>
        <w:ind w:firstLine="431"/>
        <w:jc w:val="both"/>
      </w:pPr>
      <w:r>
        <w:rPr>
          <w:rFonts w:ascii="微軟正黑體" w:cs="微軟正黑體" w:eastAsia="微軟正黑體" w:hAnsi="微軟正黑體"/>
          <w:sz w:val="22"/>
          <w:szCs w:val="22"/>
        </w:rPr>
        <w:t xml:space="preserve">以健保AI審查為例說明「不互斥」特性：若訓練資料所涵蓋之病患群體集中於特定醫學中心之就診人口，此一斷裂點固然應由資料代表性審計檢視，惟同時亦觸犯理由說明審計（若少數群體之審查結果無法提供對應理由）與民主課責審計（若少數群體缺乏參與資料蒐集規劃之管道）——顯示同一斷裂點經常同時觸犯兩項以上審計，逐項審查僅是起點，機關仍須整合檢視斷裂點之全貌。</w:t>
      </w:r>
    </w:p>
    <w:p>
      <w:pPr>
        <w:spacing w:after="140" w:before="260"/>
      </w:pPr>
      <w:r>
        <w:rPr>
          <w:rFonts w:ascii="微軟正黑體" w:cs="微軟正黑體" w:eastAsia="微軟正黑體" w:hAnsi="微軟正黑體"/>
          <w:b/>
          <w:bCs/>
          <w:color w:val="2E5C8A"/>
          <w:sz w:val="23"/>
          <w:szCs w:val="23"/>
        </w:rPr>
        <w:t xml:space="preserve">三、主要學者</w:t>
      </w:r>
    </w:p>
    <w:p>
      <w:pPr>
        <w:spacing w:after="200" w:line="360"/>
        <w:ind w:firstLine="431"/>
        <w:jc w:val="both"/>
      </w:pPr>
      <w:r>
        <w:rPr>
          <w:rFonts w:ascii="微軟正黑體" w:cs="微軟正黑體" w:eastAsia="微軟正黑體" w:hAnsi="微軟正黑體"/>
          <w:sz w:val="22"/>
          <w:szCs w:val="22"/>
        </w:rPr>
        <w:t xml:space="preserve">七項治理審計之設計理念，呼應Mashaw（1985）正當程序理論所強調之尊嚴價值（dignitary value）——正當程序之意義不僅在於程序是否合法，更在於受影響者是否被以尊嚴相待、是否有機會被聽見；此一價值取向說明了為何七審中特別納入「民主課責審計」，而非僅止於技術性之資料與模型查核。</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七項治理審計之核心命題在於「不互斥、不逐項對應計分」——若機關僅將七審視為七張各自獨立勾選的檢查表，逐項打勾後即宣稱合規，反而可能落入「打勾的誘惑」（詳見第四節），使檢查表本身異化為目的，而非確保實質正當性之手段。</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七審之貢獻在於提供比四鏈更細緻、可操作化之查核維度，便於機關轉化為具體之稽核作業程序；惟其限制在於，七審之間之重疊性使其不易單純加總計分，機關仍須具備整合性之判斷能力，方能避免「逐項合規、整體仍然斷裂」之弔詭情形。</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七審與四鏈之整合對照關係，以及以RACI矩陣具體操作化責任歸屬審計之方法，留待第三節深入闡述。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臺北市政府於2024年9月9日發布全國地方政府首份《使用人工智慧作業指引》（府資創字第11330102301號），其六大構面——課責制、安全性、透明性、公平性、隱私、個資保護——與本章七項治理審計高度呼應，顯示地方政府已開始嘗試將抽象審計概念轉化為機關可直接使用之檢核表工具，相關制度化歷程留待第四節深入比較。</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七項治理審計之名稱與各自核心提問：資料代表性╱理由說明╱責任歸屬╱隱私與資安╱裁量邊界╱組織能力╱民主課責審計。</w:t>
            </w:r>
          </w:p>
          <w:p>
            <w:pPr>
              <w:spacing w:after="80" w:line="320"/>
            </w:pPr>
            <w:r>
              <w:rPr>
                <w:rFonts w:ascii="微軟正黑體" w:cs="微軟正黑體" w:eastAsia="微軟正黑體" w:hAnsi="微軟正黑體"/>
                <w:sz w:val="21"/>
                <w:szCs w:val="21"/>
              </w:rPr>
              <w:t xml:space="preserve">•　七審「彼此不互斥、同一斷裂點常同時觸犯兩項以上審計」之設計特性，不宜逐項對應計分。</w:t>
            </w:r>
          </w:p>
          <w:p>
            <w:pPr>
              <w:spacing w:after="0" w:line="320"/>
            </w:pPr>
            <w:r>
              <w:rPr>
                <w:rFonts w:ascii="微軟正黑體" w:cs="微軟正黑體" w:eastAsia="微軟正黑體" w:hAnsi="微軟正黑體"/>
                <w:sz w:val="21"/>
                <w:szCs w:val="21"/>
              </w:rPr>
              <w:t xml:space="preserve">•　七審之規範性根源可援引Mashaw（1985）正當程序理論之尊嚴價值——程序正當不僅是合法，更是受影響者被尊嚴對待、被聽見。</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七審口訣：資料看代表性、理由看說得清不清楚、責任看有沒有人扛、隱私資安看合不合規、裁量看邊界、組織看能力、民主看能不能申訴。</w:t>
            </w:r>
          </w:p>
          <w:p>
            <w:pPr>
              <w:spacing w:after="0" w:line="320"/>
            </w:pPr>
            <w:r>
              <w:rPr>
                <w:rFonts w:ascii="微軟正黑體" w:cs="微軟正黑體" w:eastAsia="微軟正黑體" w:hAnsi="微軟正黑體"/>
                <w:sz w:val="21"/>
                <w:szCs w:val="21"/>
              </w:rPr>
              <w:t xml:space="preserve">•　七審不是七張獨立勾選表——同一斷裂點常常同時觸犯兩項以上，逐項打勾不等於整體合規。</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隱私與資安審計」與「資料代表性審計」不同——前者關心資料蒐集比對留存是否合法（個資法面向），後者關心資料是否涵蓋所有受影響次群體（公平代表性面向），二者可能同時涉及同一筆資料卻檢視不同問題。</w:t>
            </w:r>
          </w:p>
          <w:p>
            <w:pPr>
              <w:spacing w:after="0" w:line="320"/>
            </w:pPr>
            <w:r>
              <w:rPr>
                <w:rFonts w:ascii="微軟正黑體" w:cs="微軟正黑體" w:eastAsia="微軟正黑體" w:hAnsi="微軟正黑體"/>
                <w:sz w:val="21"/>
                <w:szCs w:val="21"/>
              </w:rPr>
              <w:t xml:space="preserve">•　「裁量邊界審計」與「組織能力審計」不同——前者檢視人類與演算法之分工邊界是否明確（分工設計面向），後者檢視機關是否具備監督能力（人力與專業素質面向），前者設計不良即使機關能力再強也無法補救，二者須分別檢視。</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第三節　RACI矩陣與責任歸屬審計操作化、四鏈修補方案工具箱</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責任歸屬審計最具體的操作化工具是RACI矩陣，用以逐一盤點AI系統從資料選取到上線監控之各治理環節，究竟由誰負責實際執行（Responsible）、誰是最終當責者（Accountable，通常僅一人）、誰須被諮詢（Consulted）、誰須被告知（Informed）。核心洞見在於：若某一治理環節找不到明確的A（當責者），或A被填為「系統」「廠商」而非具體職位，即為責任鏈斷裂之明確警訊。</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以健保AI審查為例，可將其拆解為五個治理環節逐一填寫R/A/C/I角色：資料選取與情境建構、模型開發與訓練、審查結果之核定、申覆案件之處理、系統上線後之監控——每一環節皆須明確指出當責者為具體職位（如審查科科長、資訊處處長），而非籠統填寫「健保署」或「系統廠商」，此為RACI矩陣運用於責任歸屬審計之操作要領。</w:t>
      </w:r>
    </w:p>
    <w:p>
      <w:pPr>
        <w:pStyle w:val="ListParagraph"/>
        <w:numPr>
          <w:ilvl w:val="0"/>
          <w:numId w:val="2"/>
        </w:numPr>
        <w:spacing w:after="120" w:line="340"/>
      </w:pPr>
      <w:r>
        <w:rPr>
          <w:rFonts w:ascii="微軟正黑體" w:cs="微軟正黑體" w:eastAsia="微軟正黑體" w:hAnsi="微軟正黑體"/>
          <w:sz w:val="22"/>
          <w:szCs w:val="22"/>
        </w:rPr>
        <w:t xml:space="preserve">四鏈修補方案工具箱方面，Kroll等人（2017）提出之可課責演算法框架（Accountable Algorithms）主張應於系統設計階段即嵌入可稽核性（auditability by design），而非於系統上線後才事後補救，此一主張直接回應情境建構鏈與理由鏈之修補需求；Wachter等人（2017）就《歐盟一般資料保護規則》（GDPR）是否賦予當事人「解釋權」（right to explanation）提出爭議，指出法條文字本身未必明確賦予個人請求具體演算法解釋之權利，此一爭議凸顯理由鏈修補在實務上面臨之法制模糊地帶。</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18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治理環節</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R負責執行</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A當責者</w:t>
            </w:r>
          </w:p>
        </w:tc>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C被諮詢</w:t>
            </w:r>
          </w:p>
        </w:tc>
        <w:tc>
          <w:tcPr>
            <w:tcW w:type="dxa" w:w="18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I被告知</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資料選取與情境建構</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資料分析人員</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審查科科長</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臨床醫學顧問</w:t>
            </w:r>
          </w:p>
        </w:tc>
        <w:tc>
          <w:tcPr>
            <w:tcW w:type="dxa" w:w="1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健保署署長</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模型開發與訓練</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資訊處工程團隊</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資訊處處長</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外部醫學專家</w:t>
            </w:r>
          </w:p>
        </w:tc>
        <w:tc>
          <w:tcPr>
            <w:tcW w:type="dxa" w:w="1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審查科科長</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審查結果之核定</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AI系統初審＋審查醫師複核</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審查科科長</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醫療專業顧問</w:t>
            </w:r>
          </w:p>
        </w:tc>
        <w:tc>
          <w:tcPr>
            <w:tcW w:type="dxa" w:w="1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申請人╱醫療院所</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申覆案件之處理</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申覆審議小組</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審查組組長</w:t>
            </w:r>
          </w:p>
        </w:tc>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原審查醫師</w:t>
            </w:r>
          </w:p>
        </w:tc>
        <w:tc>
          <w:tcPr>
            <w:tcW w:type="dxa" w:w="18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申請人</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系統上線後之監控</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資安與品保人員</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資訊處處長</w:t>
            </w:r>
          </w:p>
        </w:tc>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審查科科長</w:t>
            </w:r>
          </w:p>
        </w:tc>
        <w:tc>
          <w:tcPr>
            <w:tcW w:type="dxa" w:w="18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健保署管理階層</w:t>
            </w:r>
          </w:p>
        </w:tc>
      </w:tr>
    </w:tbl>
    <w:p>
      <w:pPr>
        <w:spacing w:after="280" w:before="120"/>
        <w:jc w:val="center"/>
      </w:pPr>
      <w:r>
        <w:rPr>
          <w:rFonts w:ascii="微軟正黑體" w:cs="微軟正黑體" w:eastAsia="微軟正黑體" w:hAnsi="微軟正黑體"/>
          <w:i/>
          <w:iCs/>
          <w:color w:val="555555"/>
          <w:sz w:val="18"/>
          <w:szCs w:val="18"/>
        </w:rPr>
        <w:t xml:space="preserve">表26-4　RACI矩陣操作化責任歸屬審計示例（以健保AI審查為例）</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RACI矩陣運用於責任歸屬審計之核心命題為：Accountable（當責）欄位原則上僅能填入一人或一個明確職位，若同一環節出現多個A、或A完全空缺、或A被填為抽象名詞（如「系統」「廠商」），即代表該環節之責任鏈存在斷裂風險，此一診斷邏輯簡單卻極具操作力，是責任歸屬審計最具體之落地工具。</w:t>
      </w:r>
    </w:p>
    <w:p>
      <w:pPr>
        <w:spacing w:after="140" w:before="260"/>
      </w:pPr>
      <w:r>
        <w:rPr>
          <w:rFonts w:ascii="微軟正黑體" w:cs="微軟正黑體" w:eastAsia="微軟正黑體" w:hAnsi="微軟正黑體"/>
          <w:b/>
          <w:bCs/>
          <w:color w:val="2E5C8A"/>
          <w:sz w:val="23"/>
          <w:szCs w:val="23"/>
        </w:rPr>
        <w:t xml:space="preserve">五、優點與限制</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200"/>
        <w:gridCol w:w="3413"/>
        <w:gridCol w:w="3413"/>
      </w:tblGrid>
      <w:tr>
        <w:trPr>
          <w:tblHeader/>
        </w:trPr>
        <w:tc>
          <w:tcPr>
            <w:tcW w:type="dxa" w:w="2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修補方案</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核心主張</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情境建構鏈／理由鏈</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可課責演算法框架（Kroll et al., 2017）</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應於系統設計階段即嵌入可稽核性，而非事後補救</w:t>
            </w:r>
          </w:p>
        </w:tc>
      </w:tr>
      <w:tr>
        <w:tc>
          <w:tcPr>
            <w:tcW w:type="dxa" w:w="2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理由鏈</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GDPR解釋權爭議（Wachter et al., 2017）</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法條文字未必明確賦予個人請求演算法解釋之權利，理由鏈修補面臨法制模糊地帶</w:t>
            </w:r>
          </w:p>
        </w:tc>
      </w:tr>
      <w:tr>
        <w:tc>
          <w:tcPr>
            <w:tcW w:type="dxa" w:w="2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權威鏈／責任鏈</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正當程序理論之尊嚴價值（Mashaw, 1985）</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課責之目的不僅在程序合法，更在受影響者被尊嚴對待、被聽見之機會</w:t>
            </w:r>
          </w:p>
        </w:tc>
      </w:tr>
    </w:tbl>
    <w:p>
      <w:pPr>
        <w:spacing w:after="280" w:before="120"/>
        <w:jc w:val="center"/>
      </w:pPr>
      <w:r>
        <w:rPr>
          <w:rFonts w:ascii="微軟正黑體" w:cs="微軟正黑體" w:eastAsia="微軟正黑體" w:hAnsi="微軟正黑體"/>
          <w:i/>
          <w:iCs/>
          <w:color w:val="555555"/>
          <w:sz w:val="18"/>
          <w:szCs w:val="18"/>
        </w:rPr>
        <w:t xml:space="preserve">表26-5　四鏈修補方案工具箱</w:t>
      </w:r>
    </w:p>
    <w:p>
      <w:pPr>
        <w:spacing w:after="200" w:line="360"/>
        <w:ind w:firstLine="431"/>
        <w:jc w:val="both"/>
      </w:pPr>
      <w:r>
        <w:rPr>
          <w:rFonts w:ascii="微軟正黑體" w:cs="微軟正黑體" w:eastAsia="微軟正黑體" w:hAnsi="微軟正黑體"/>
          <w:sz w:val="22"/>
          <w:szCs w:val="22"/>
        </w:rPr>
        <w:t xml:space="preserve">RACI矩陣之貢獻在於提供極具操作性、可直接落實於機關內部作業規範之責任盤點工具；惟其限制在於，RACI矩陣本身僅能診斷「有沒有當責者」，無法診斷「當責者是否具備足夠之專業能力與資源承擔該責任」，此一能力面向須留待組織能力審計進一步檢視，二者須搭配使用。</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四鏈修補方案工具箱與RACI矩陣之具體制度化實踐，包括我國臺北市政府與加拿大聯邦政府之比較案例，留待第四節深入闡述。</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健保署與臺大醫院之心臟疾病AI模組合作備忘錄，若運用RACI矩陣檢視，「模型開發與訓練」環節之當責者究竟是健保署抑或臺大醫院研究團隊，是此一跨機關合作案例中值得進一步釐清之責任歸屬問題，亦是RACI矩陣運用於實務時最常遭遇之跨機關協作挑戰。</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RACI矩陣四項角色定義：R負責實際執行、A當責（通常僅一人）、C被諮詢、I被告知。</w:t>
            </w:r>
          </w:p>
          <w:p>
            <w:pPr>
              <w:spacing w:after="80" w:line="320"/>
            </w:pPr>
            <w:r>
              <w:rPr>
                <w:rFonts w:ascii="微軟正黑體" w:cs="微軟正黑體" w:eastAsia="微軟正黑體" w:hAnsi="微軟正黑體"/>
                <w:sz w:val="21"/>
                <w:szCs w:val="21"/>
              </w:rPr>
              <w:t xml:space="preserve">•　責任鏈斷裂警訊之判準：某一治理環節找不到明確A，或A被填為「系統」「廠商」而非具體職位。</w:t>
            </w:r>
          </w:p>
          <w:p>
            <w:pPr>
              <w:spacing w:after="0" w:line="320"/>
            </w:pPr>
            <w:r>
              <w:rPr>
                <w:rFonts w:ascii="微軟正黑體" w:cs="微軟正黑體" w:eastAsia="微軟正黑體" w:hAnsi="微軟正黑體"/>
                <w:sz w:val="21"/>
                <w:szCs w:val="21"/>
              </w:rPr>
              <w:t xml:space="preserve">•　四鏈修補方案工具箱三項核心主張：可課責演算法框架（Kroll et al., 2017）強調設計階段嵌入可稽核性；GDPR解釋權爭議（Wachter et al., 2017）點出理由鏈修補之法制模糊地帶；正當程序尊嚴價值（Mashaw, 1985）強調受影響者被尊嚴對待之重要性。</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RACI口訣：R做事、A扛責（只能一人）、C被問過、I被告知——A最關鍵，找不到A就是責任鏈斷裂警訊。</w:t>
            </w:r>
          </w:p>
          <w:p>
            <w:pPr>
              <w:spacing w:after="0" w:line="320"/>
            </w:pPr>
            <w:r>
              <w:rPr>
                <w:rFonts w:ascii="微軟正黑體" w:cs="微軟正黑體" w:eastAsia="微軟正黑體" w:hAnsi="微軟正黑體"/>
                <w:sz w:val="21"/>
                <w:szCs w:val="21"/>
              </w:rPr>
              <w:t xml:space="preserve">•　三項修補工具口訣：Kroll管「設計要能查」、Wachter管「解釋權有爭議」、Mashaw管「要讓人被尊重地聽見」。</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「Responsible」與「Accountable」不同——R是實際動手做事的人（可以多人），A是最終為結果負責的人（原則上僅一人），二者常被混用，但RACI矩陣之設計正是為了區分「誰做事」與「誰負責」並非同一件事。</w:t>
            </w:r>
          </w:p>
          <w:p>
            <w:pPr>
              <w:spacing w:after="0" w:line="320"/>
            </w:pPr>
            <w:r>
              <w:rPr>
                <w:rFonts w:ascii="微軟正黑體" w:cs="微軟正黑體" w:eastAsia="微軟正黑體" w:hAnsi="微軟正黑體"/>
                <w:sz w:val="21"/>
                <w:szCs w:val="21"/>
              </w:rPr>
              <w:t xml:space="preserve">•　「可課責演算法框架」（Kroll et al., 2017）與「GDPR解釋權」（Wachter et al., 2017）處理的是不同層次問題——前者是技術設計層次之事前預防（設計階段嵌入可稽核性），後者是法律權利層次之事後爭議（當事人能否請求解釋），不宜混為一談。</w:t>
            </w:r>
          </w:p>
        </w:tc>
      </w:tr>
    </w:tbl>
    <w:p>
      <w:pPr>
        <w:spacing w:after="280"/>
      </w:pPr>
    </w:p>
    <w:p>
      <w:pPr>
        <w:spacing w:after="180" w:before="360"/>
      </w:pPr>
      <w:r>
        <w:rPr>
          <w:rFonts w:ascii="微軟正黑體" w:cs="微軟正黑體" w:eastAsia="微軟正黑體" w:hAnsi="微軟正黑體"/>
          <w:b/>
          <w:bCs/>
          <w:color w:val="1F4E79"/>
          <w:sz w:val="26"/>
          <w:szCs w:val="26"/>
        </w:rPr>
        <w:t xml:space="preserve">第四節　AI治理專節：從清單到制度——案例與跨國比較</w:t>
      </w:r>
    </w:p>
    <w:p>
      <w:pPr>
        <w:spacing w:after="140" w:before="260"/>
      </w:pPr>
      <w:r>
        <w:rPr>
          <w:rFonts w:ascii="微軟正黑體" w:cs="微軟正黑體" w:eastAsia="微軟正黑體" w:hAnsi="微軟正黑體"/>
          <w:b/>
          <w:bCs/>
          <w:color w:val="2E5C8A"/>
          <w:sz w:val="23"/>
          <w:szCs w:val="23"/>
        </w:rPr>
        <w:t xml:space="preserve">一、核心概念</w:t>
      </w:r>
    </w:p>
    <w:p>
      <w:pPr>
        <w:spacing w:after="200" w:line="360"/>
        <w:ind w:firstLine="431"/>
        <w:jc w:val="both"/>
      </w:pPr>
      <w:r>
        <w:rPr>
          <w:rFonts w:ascii="微軟正黑體" w:cs="微軟正黑體" w:eastAsia="微軟正黑體" w:hAnsi="微軟正黑體"/>
          <w:sz w:val="22"/>
          <w:szCs w:val="22"/>
        </w:rPr>
        <w:t xml:space="preserve">本節整合國內外兩項代表性案例，示範四鏈七審方法論之實際應用：其一為美國UnitedHealth的nH Predict演算法爭議，其二為我國臺北市政府與加拿大聯邦政府之AI治理制度化路徑比較，藉以說明治理工具如何從抽象清單走向可問責之制度設計。</w:t>
      </w:r>
    </w:p>
    <w:p>
      <w:pPr>
        <w:spacing w:after="140" w:before="260"/>
      </w:pPr>
      <w:r>
        <w:rPr>
          <w:rFonts w:ascii="微軟正黑體" w:cs="微軟正黑體" w:eastAsia="微軟正黑體" w:hAnsi="微軟正黑體"/>
          <w:b/>
          <w:bCs/>
          <w:color w:val="2E5C8A"/>
          <w:sz w:val="23"/>
          <w:szCs w:val="23"/>
        </w:rPr>
        <w:t xml:space="preserve">二、理論發展</w:t>
      </w:r>
    </w:p>
    <w:p>
      <w:pPr>
        <w:pStyle w:val="ListParagraph"/>
        <w:numPr>
          <w:ilvl w:val="0"/>
          <w:numId w:val="2"/>
        </w:numPr>
        <w:spacing w:after="120" w:line="340"/>
      </w:pPr>
      <w:r>
        <w:rPr>
          <w:rFonts w:ascii="微軟正黑體" w:cs="微軟正黑體" w:eastAsia="微軟正黑體" w:hAnsi="微軟正黑體"/>
          <w:sz w:val="22"/>
          <w:szCs w:val="22"/>
        </w:rPr>
        <w:t xml:space="preserve">美國聯合健康保險集團（UnitedHealth）旗下NaviHealth開發之nH Predict演算法，用於預測聯邦醫療保險優勢計畫（Medicare Advantage）受益人所需之照護與復健天數。2023年一起集體訴訟（Lokken v. UnitedHealth Group）指控該演算法之錯誤率高達九成；根據2026年相關報導，約九成遭該演算法拒絕給付之案件，經聯邦行政法官覆核後遭到推翻，然而僅約0.2%之受益人實際提出申覆程序。</w:t>
      </w:r>
    </w:p>
    <w:p>
      <w:pPr>
        <w:pStyle w:val="ListParagraph"/>
        <w:numPr>
          <w:ilvl w:val="0"/>
          <w:numId w:val="2"/>
        </w:numPr>
        <w:spacing w:after="120" w:line="340"/>
      </w:pPr>
      <w:r>
        <w:rPr>
          <w:rFonts w:ascii="微軟正黑體" w:cs="微軟正黑體" w:eastAsia="微軟正黑體" w:hAnsi="微軟正黑體"/>
          <w:sz w:val="22"/>
          <w:szCs w:val="22"/>
        </w:rPr>
        <w:t xml:space="preserve">2026年3月，聯邦法官下令UnitedHealth揭露nH Predict之技術規格；同年8月，另有股東衍生訴訟指控該公司高階主管明知演算法錯誤率偏高仍持續使用。此一案例完整示範了四鏈同時斷裂之情形：情境建構鏈（訓練資料是否充分反映真實照護需求之個案差異）、權威鏈（演算法決定近似直接觸發給付縮減，卻缺乏對應之外部法定授權審查）、理由鏈（受益人難以取得具體、可追溯之拒絕理由）、責任鏈（錯誤率長期偏高卻遲未有具體自然人被追究責任）。</w:t>
      </w:r>
    </w:p>
    <w:p>
      <w:pPr>
        <w:spacing w:after="140" w:before="260"/>
      </w:pPr>
      <w:r>
        <w:rPr>
          <w:rFonts w:ascii="微軟正黑體" w:cs="微軟正黑體" w:eastAsia="微軟正黑體" w:hAnsi="微軟正黑體"/>
          <w:b/>
          <w:bCs/>
          <w:color w:val="2E5C8A"/>
          <w:sz w:val="23"/>
          <w:szCs w:val="23"/>
        </w:rPr>
        <w:t xml:space="preserve">三、主要學者</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813"/>
        <w:gridCol w:w="36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斷裂表現</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關鍵事實</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情境建構鏈</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訓練資料是否充分反映個案照護需求差異</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演算法錯誤率高達九成，顯示資料與模型未能捕捉真實照護複雜性</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權威鏈</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決策近似直接觸發給付縮減，外部審查機制薄弱</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僅約0.2%受益人實際提出申覆，顯示外部救濟管道形同虛設</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理由鏈</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受益人難以取得具體可追溯之拒絕理由</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2026年3月聯邦法官始下令揭露技術規格，顯示理由長期不透明</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責任鏈</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高錯誤率長期未見具體自然人被追究責任</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2026年8月股東訴訟指控高階主管明知仍持續使用，責任歸屬經司法程序方逐漸釐清</w:t>
            </w:r>
          </w:p>
        </w:tc>
      </w:tr>
    </w:tbl>
    <w:p>
      <w:pPr>
        <w:spacing w:after="280" w:before="120"/>
        <w:jc w:val="center"/>
      </w:pPr>
      <w:r>
        <w:rPr>
          <w:rFonts w:ascii="微軟正黑體" w:cs="微軟正黑體" w:eastAsia="微軟正黑體" w:hAnsi="微軟正黑體"/>
          <w:i/>
          <w:iCs/>
          <w:color w:val="555555"/>
          <w:sz w:val="18"/>
          <w:szCs w:val="18"/>
        </w:rPr>
        <w:t xml:space="preserve">表26-6　nH Predict演算法爭議之四鏈斷裂對應分析</w:t>
      </w:r>
    </w:p>
    <w:p>
      <w:pPr>
        <w:spacing w:after="140" w:before="260"/>
      </w:pPr>
      <w:r>
        <w:rPr>
          <w:rFonts w:ascii="微軟正黑體" w:cs="微軟正黑體" w:eastAsia="微軟正黑體" w:hAnsi="微軟正黑體"/>
          <w:b/>
          <w:bCs/>
          <w:color w:val="2E5C8A"/>
          <w:sz w:val="23"/>
          <w:szCs w:val="23"/>
        </w:rPr>
        <w:t xml:space="preserve">四、核心命題</w:t>
      </w:r>
    </w:p>
    <w:p>
      <w:pPr>
        <w:spacing w:after="200" w:line="360"/>
        <w:ind w:firstLine="431"/>
        <w:jc w:val="both"/>
      </w:pPr>
      <w:r>
        <w:rPr>
          <w:rFonts w:ascii="微軟正黑體" w:cs="微軟正黑體" w:eastAsia="微軟正黑體" w:hAnsi="微軟正黑體"/>
          <w:sz w:val="22"/>
          <w:szCs w:val="22"/>
        </w:rPr>
        <w:t xml:space="preserve">nH Predict案例揭示「效率的陷阱」——健保審查效率之提升（如第一節提及960位專家工作量之案例）與極低申覆率（0.2%）若並置觀察，究竟代表演算法判斷精準無誤，抑或代表受影響者根本不知如何或無力申覆，是四鏈七審方法論用以提醒治理者保持警覺之核心命題：低申覆率不必然等於高滿意度，也可能是救濟管道形同虛設之訊號。</w:t>
      </w:r>
    </w:p>
    <w:p>
      <w:pPr>
        <w:spacing w:after="140" w:before="260"/>
      </w:pPr>
      <w:r>
        <w:rPr>
          <w:rFonts w:ascii="微軟正黑體" w:cs="微軟正黑體" w:eastAsia="微軟正黑體" w:hAnsi="微軟正黑體"/>
          <w:b/>
          <w:bCs/>
          <w:color w:val="2E5C8A"/>
          <w:sz w:val="23"/>
          <w:szCs w:val="23"/>
        </w:rPr>
        <w:t xml:space="preserve">五、優點與限制</w:t>
      </w:r>
    </w:p>
    <w:p>
      <w:pPr>
        <w:spacing w:after="200" w:line="360"/>
        <w:ind w:firstLine="431"/>
        <w:jc w:val="both"/>
      </w:pPr>
      <w:r>
        <w:rPr>
          <w:rFonts w:ascii="微軟正黑體" w:cs="微軟正黑體" w:eastAsia="微軟正黑體" w:hAnsi="微軟正黑體"/>
          <w:sz w:val="22"/>
          <w:szCs w:val="22"/>
        </w:rPr>
        <w:t xml:space="preserve">我國與加拿大在AI治理制度化路徑上，呈現「指引式」與「評分式」兩種不同取向，二者各有優點與限制，比較如下。</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臺灣（臺北市政府為例）</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加拿大聯邦政府</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發布時間與依據</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2024年9月9日《使用人工智慧作業指引》（府資創字第11330102301號），為全國地方政府首份</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2019年4月1日施行《自動化決策指令》，2023年4月25日重大修正</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風險分類方式</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歐盟式四級風險分類：絕對禁止╱高度風險╱中度風險╱低度風險</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以演算法影響評估（AIA）量化評分，依百分比換算第一至第四級影響等級</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核心構面</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六大構面：課責制、安全性、透明性、公平性、隱私、個資保護</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AIA共106題問卷（65題風險評估＋41題緩解措施），六構面加總上限169分</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制度化工具</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《使用人工智慧檢核表》（附件七）</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3"/>
                <w:szCs w:val="13"/>
              </w:rPr>
              <w:t xml:space="preserve">原始衝擊分數＋緩解分數（緩解達80%以上可扣減原始分15%）</w:t>
            </w:r>
          </w:p>
        </w:tc>
      </w:tr>
    </w:tbl>
    <w:p>
      <w:pPr>
        <w:spacing w:after="280" w:before="120"/>
        <w:jc w:val="center"/>
      </w:pPr>
      <w:r>
        <w:rPr>
          <w:rFonts w:ascii="微軟正黑體" w:cs="微軟正黑體" w:eastAsia="微軟正黑體" w:hAnsi="微軟正黑體"/>
          <w:i/>
          <w:iCs/>
          <w:color w:val="555555"/>
          <w:sz w:val="18"/>
          <w:szCs w:val="18"/>
        </w:rPr>
        <w:t xml:space="preserve">表26-7　臺灣與加拿大AI治理審計制度化路徑比較</w:t>
      </w:r>
    </w:p>
    <w:p>
      <w:pPr>
        <w:spacing w:after="140" w:before="260"/>
      </w:pPr>
      <w:r>
        <w:rPr>
          <w:rFonts w:ascii="微軟正黑體" w:cs="微軟正黑體" w:eastAsia="微軟正黑體" w:hAnsi="微軟正黑體"/>
          <w:b/>
          <w:bCs/>
          <w:color w:val="2E5C8A"/>
          <w:sz w:val="23"/>
          <w:szCs w:val="23"/>
        </w:rPr>
        <w:t xml:space="preserve">六、當代發展</w:t>
      </w:r>
    </w:p>
    <w:p>
      <w:pPr>
        <w:spacing w:after="200" w:line="360"/>
        <w:ind w:firstLine="431"/>
        <w:jc w:val="both"/>
      </w:pPr>
      <w:r>
        <w:rPr>
          <w:rFonts w:ascii="微軟正黑體" w:cs="微軟正黑體" w:eastAsia="微軟正黑體" w:hAnsi="微軟正黑體"/>
          <w:sz w:val="22"/>
          <w:szCs w:val="22"/>
        </w:rPr>
        <w:t xml:space="preserve">Brandusescu與Sieber（2025）針對加拿大已公開之22份演算法影響評估報告進行研究，發現存在「設計與現實落差」（design-reality gap）——機關普遍以效率創新敘事，將AI系統可能造成之負面衝擊重新框架為中性甚至正面之描述，且評估過程普遍缺乏公民社會之實質參與。此一發現提醒，即便是相對制度化、量化程度較高之加拿大AIA機制，仍可能落入「打勾的誘惑」——當檢查表本身異化為證明合規的目的，而非確保實質正當性之手段時，再精密的評分制度也可能徒具形式。</w:t>
      </w:r>
    </w:p>
    <w:p>
      <w:pPr>
        <w:spacing w:after="140" w:before="260"/>
      </w:pPr>
      <w:r>
        <w:rPr>
          <w:rFonts w:ascii="微軟正黑體" w:cs="微軟正黑體" w:eastAsia="微軟正黑體" w:hAnsi="微軟正黑體"/>
          <w:b/>
          <w:bCs/>
          <w:color w:val="2E5C8A"/>
          <w:sz w:val="23"/>
          <w:szCs w:val="23"/>
        </w:rPr>
        <w:t xml:space="preserve">七、臺灣行政實務</w:t>
      </w:r>
    </w:p>
    <w:p>
      <w:pPr>
        <w:spacing w:after="200" w:line="360"/>
        <w:ind w:firstLine="431"/>
        <w:jc w:val="both"/>
      </w:pPr>
      <w:r>
        <w:rPr>
          <w:rFonts w:ascii="微軟正黑體" w:cs="微軟正黑體" w:eastAsia="微軟正黑體" w:hAnsi="微軟正黑體"/>
          <w:sz w:val="22"/>
          <w:szCs w:val="22"/>
        </w:rPr>
        <w:t xml:space="preserve">新北市政府於2025年8月14日循相同架構發布AI使用指引，顯示地方政府間已出現制度擴散現象；同時，行政院於2023年10月3日發布《生成式AI參考指引》（院台數位字第1120059686號，由國家科學及技術委員會協助研擬），提出十項原則，可視為中央層級之政策框架，與地方政府之具體作業指引形成上下呼應之治理層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【國考考點】</w:t>
            </w:r>
          </w:p>
          <w:p>
            <w:pPr>
              <w:spacing w:after="80" w:line="320"/>
            </w:pPr>
            <w:r>
              <w:rPr>
                <w:rFonts w:ascii="微軟正黑體" w:cs="微軟正黑體" w:eastAsia="微軟正黑體" w:hAnsi="微軟正黑體"/>
                <w:sz w:val="21"/>
                <w:szCs w:val="21"/>
              </w:rPr>
              <w:t xml:space="preserve">•　nH Predict演算法爭議之四鏈斷裂對應：情境建構鏈（資料代表性）、權威鏈（外部審查薄弱）、理由鏈（技術規格不透明）、責任鏈（追責延遲）。</w:t>
            </w:r>
          </w:p>
          <w:p>
            <w:pPr>
              <w:spacing w:after="80" w:line="320"/>
            </w:pPr>
            <w:r>
              <w:rPr>
                <w:rFonts w:ascii="微軟正黑體" w:cs="微軟正黑體" w:eastAsia="微軟正黑體" w:hAnsi="微軟正黑體"/>
                <w:sz w:val="21"/>
                <w:szCs w:val="21"/>
              </w:rPr>
              <w:t xml:space="preserve">•　臺灣（指引式、四級風險分類、六大構面）與加拿大（評分式、AIA量化問卷、169分上限）AI治理制度化路徑之差異比較。</w:t>
            </w:r>
          </w:p>
          <w:p>
            <w:pPr>
              <w:spacing w:after="0" w:line="320"/>
            </w:pPr>
            <w:r>
              <w:rPr>
                <w:rFonts w:ascii="微軟正黑體" w:cs="微軟正黑體" w:eastAsia="微軟正黑體" w:hAnsi="微軟正黑體"/>
                <w:sz w:val="21"/>
                <w:szCs w:val="21"/>
              </w:rPr>
              <w:t xml:space="preserve">•　Brandusescu與Sieber（2025）「設計與現實落差」（design-reality gap）之研究發現：效率創新敘事重新框架負面衝擊、公民社會參與不足。</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【一分鐘記憶】</w:t>
            </w:r>
          </w:p>
          <w:p>
            <w:pPr>
              <w:spacing w:after="80" w:line="320"/>
            </w:pPr>
            <w:r>
              <w:rPr>
                <w:rFonts w:ascii="微軟正黑體" w:cs="微軟正黑體" w:eastAsia="微軟正黑體" w:hAnsi="微軟正黑體"/>
                <w:sz w:val="21"/>
                <w:szCs w:val="21"/>
              </w:rPr>
              <w:t xml:space="preserve">•　效率的陷阱口訣：960位專家的效率 vs 0.2%的申覆率——效率愈高，愈要回頭檢查救濟管道是不是形同虛設。</w:t>
            </w:r>
          </w:p>
          <w:p>
            <w:pPr>
              <w:spacing w:after="0" w:line="320"/>
            </w:pPr>
            <w:r>
              <w:rPr>
                <w:rFonts w:ascii="微軟正黑體" w:cs="微軟正黑體" w:eastAsia="微軟正黑體" w:hAnsi="微軟正黑體"/>
                <w:sz w:val="21"/>
                <w:szCs w:val="21"/>
              </w:rPr>
              <w:t xml:space="preserve">•　臺灣加拿大比較口訣：臺灣「分級式」看類別（絕對禁止到低度風險）、加拿大「計分式」看數字（169分上限換算等級）。</w:t>
            </w:r>
          </w:p>
        </w:tc>
      </w:tr>
    </w:tbl>
    <w:p>
      <w:pPr>
        <w:spacing w:after="12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【容易混淆】</w:t>
            </w:r>
          </w:p>
          <w:p>
            <w:pPr>
              <w:spacing w:after="80" w:line="320"/>
            </w:pPr>
            <w:r>
              <w:rPr>
                <w:rFonts w:ascii="微軟正黑體" w:cs="微軟正黑體" w:eastAsia="微軟正黑體" w:hAnsi="微軟正黑體"/>
                <w:sz w:val="21"/>
                <w:szCs w:val="21"/>
              </w:rPr>
              <w:t xml:space="preserve">•　「錯誤率高達九成」與「申覆後九成遭推翻」不是同一件事——前者是原始訴訟指控之錯誤率數字，後者是指遭拒案件經行政法官覆核後被推翻之比例，兩個「九成」的分母不同，答題時須清楚區分，避免混用造成事實錯誤。</w:t>
            </w:r>
          </w:p>
          <w:p>
            <w:pPr>
              <w:spacing w:after="0" w:line="320"/>
            </w:pPr>
            <w:r>
              <w:rPr>
                <w:rFonts w:ascii="微軟正黑體" w:cs="微軟正黑體" w:eastAsia="微軟正黑體" w:hAnsi="微軟正黑體"/>
                <w:sz w:val="21"/>
                <w:szCs w:val="21"/>
              </w:rPr>
              <w:t xml:space="preserve">•　「設計與現實落差」（design-reality gap）不是指制度「設計不良」，而是指再完善的制度設計，若執行時被效率創新敘事重新框架、又缺乏公民社會參與，仍可能與現實運作產生落差——此為制度化程度與實質正當性未必同步之重要提醒。</w:t>
            </w:r>
          </w:p>
        </w:tc>
      </w:tr>
    </w:tbl>
    <w:p>
      <w:pPr>
        <w:spacing w:after="280"/>
      </w:pPr>
    </w:p>
    <w:p>
      <w:pPr>
        <w:spacing w:after="200" w:before="400"/>
      </w:pPr>
      <w:r>
        <w:rPr>
          <w:rFonts w:ascii="微軟正黑體" w:cs="微軟正黑體" w:eastAsia="微軟正黑體" w:hAnsi="微軟正黑體"/>
          <w:b/>
          <w:bCs/>
          <w:sz w:val="32"/>
          <w:szCs w:val="32"/>
        </w:rPr>
        <w:t xml:space="preserve">【申論解題】</w:t>
      </w:r>
    </w:p>
    <w:p>
      <w:pPr>
        <w:spacing w:after="200" w:line="360"/>
        <w:ind w:firstLine="431"/>
        <w:jc w:val="both"/>
      </w:pPr>
      <w:r>
        <w:rPr>
          <w:rFonts w:ascii="微軟正黑體" w:cs="微軟正黑體" w:eastAsia="微軟正黑體" w:hAnsi="微軟正黑體"/>
          <w:sz w:val="22"/>
          <w:szCs w:val="22"/>
        </w:rPr>
        <w:t xml:space="preserve">本章合併對應大學教科書第26、27兩章之四條治理鏈與七項治理審計方法論，經以本語料庫（107-111年）逐一比對，兩章母體教材所對應之範圍內查無直接對應之申論真題，此一情形與第25章相同。爰依全書體例，三題全數採模擬命題設計，並於各題【考題出處】明確標示，避免與真實歷屆試題混淆。三題之設計原則為：以四鏈七審方法論為答題工具，並援引母體教材中翔實記載之真實案例（健保AI審查、nH Predict演算法爭議、臺北市政府AI作業指引、加拿大演算法影響評估）作為情境素材，訓練讀者將方法論轉化為案例診斷與制度比較之能力。依全書格式定版說明，題目一（A級）提供基本得分版、標準版、高分版三種完整答案；題目二（B級）與題目三（C級）改為標準版參考答案＋【高分加分點】。</w:t>
      </w:r>
    </w:p>
    <w:p>
      <w:pPr>
        <w:spacing w:after="160"/>
      </w:pPr>
    </w:p>
    <w:p>
      <w:pPr>
        <w:spacing w:after="180" w:before="360"/>
      </w:pPr>
      <w:r>
        <w:rPr>
          <w:rFonts w:ascii="微軟正黑體" w:cs="微軟正黑體" w:eastAsia="微軟正黑體" w:hAnsi="微軟正黑體"/>
          <w:b/>
          <w:bCs/>
          <w:color w:val="1F4E79"/>
          <w:sz w:val="26"/>
          <w:szCs w:val="26"/>
        </w:rPr>
        <w:t xml:space="preserve">題目一（A級基本題·模擬命題）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一節母體教材「四條治理鏈的深度回顧」自行設計之模擬命題，情境素材援引母體教材翔實記載之健保署AI輔助審查工具作為教學情境案例。本語料庫（107-111年）中，四條治理鏈方法論為本書自創之分析工具，非考選部歷屆試題之標準考點分類，尚未查得直接對應之申論真題，爰以模擬題形式呈現，並於此明確標示，避免與真實歷屆試題混淆。題目所設定之「若用於給付否准決定」情境屬預防性方法論演練，並非對特定機關現行實務之指控——依公開資訊，健保署智慧審查工具目前之定位為效率提升與風險資訊揭露之輔助角色，並未直接用於不利給付處分之核定。</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近年我國健保署嘗試導入AI輔助審查工具（如運用自然語言處理模型分析醫療影像報告），學者主張分析此類系統應運用『情境建構鏈、權威鏈、理由鏈、責任鏈』四條治理鏈逐一檢視其正當性。請說明四條治理鏈之核心內涵，並以健保AI審查此一教學情境案例（假設未來此類工具進一步用於給付否准之核定，非對特定機關現行實務之指控），逐一診斷可能發生之斷裂點。（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架構內涵說明＋案例逐一診斷題」，考生須依序完成：說明四條治理鏈之核心內涵、以健保AI審查教學情境逐一診斷四鏈可能之斷裂點——若僅背誦四鏈名稱而未能結合案例具體診斷，或未能區辨教學情境推演與現行實務指控之不同，均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四條治理鏈（情境建構╱權威╱理由╱責任）＋ 典型斷裂點 ＋ 健保AI審查教學情境案例逐一診斷。</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一、前言：效率提升的背後，四條鏈條各自撐得住嗎</w:t>
      </w:r>
    </w:p>
    <w:p>
      <w:pPr>
        <w:pStyle w:val="ListParagraph"/>
        <w:numPr>
          <w:ilvl w:val="0"/>
          <w:numId w:val="2"/>
        </w:numPr>
        <w:spacing w:after="120" w:line="340"/>
      </w:pPr>
      <w:r>
        <w:rPr>
          <w:rFonts w:ascii="微軟正黑體" w:cs="微軟正黑體" w:eastAsia="微軟正黑體" w:hAnsi="微軟正黑體"/>
          <w:sz w:val="22"/>
          <w:szCs w:val="22"/>
        </w:rPr>
        <w:t xml:space="preserve">二、四條治理鏈之核心內涵</w:t>
      </w:r>
    </w:p>
    <w:p>
      <w:pPr>
        <w:pStyle w:val="ListParagraph"/>
        <w:numPr>
          <w:ilvl w:val="0"/>
          <w:numId w:val="2"/>
        </w:numPr>
        <w:spacing w:after="120" w:line="340"/>
      </w:pPr>
      <w:r>
        <w:rPr>
          <w:rFonts w:ascii="微軟正黑體" w:cs="微軟正黑體" w:eastAsia="微軟正黑體" w:hAnsi="微軟正黑體"/>
          <w:sz w:val="22"/>
          <w:szCs w:val="22"/>
        </w:rPr>
        <w:t xml:space="preserve">三、以健保AI審查教學情境逐一診斷四鏈可能斷裂點</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【參考答案·基本得分版】（約500-700字，考場時間不夠時至少拿到基本分）</w:t>
      </w:r>
    </w:p>
    <w:p>
      <w:pPr>
        <w:spacing w:after="200" w:line="360"/>
        <w:ind w:firstLine="431"/>
        <w:jc w:val="both"/>
      </w:pPr>
      <w:r>
        <w:rPr>
          <w:rFonts w:ascii="微軟正黑體" w:cs="微軟正黑體" w:eastAsia="微軟正黑體" w:hAnsi="微軟正黑體"/>
          <w:sz w:val="22"/>
          <w:szCs w:val="22"/>
        </w:rPr>
        <w:t xml:space="preserve">分析AI系統之治理正當性，可運用「四條治理鏈」逐一檢視：情境建構鏈追問誰決定哪些資料、變項與問題被納入或排除；權威鏈追問決策正當性來自法律授權、機關裁量或演算法技術權威；理由鏈追問決策理由能否被追溯與具體說明；責任鏈追問錯誤或損害發生時責任歸屬何處，且責任終點須回歸自然人而非系統或廠商。</w:t>
      </w:r>
    </w:p>
    <w:p>
      <w:pPr>
        <w:spacing w:after="200" w:line="360"/>
        <w:ind w:firstLine="431"/>
        <w:jc w:val="both"/>
      </w:pPr>
      <w:r>
        <w:rPr>
          <w:rFonts w:ascii="微軟正黑體" w:cs="微軟正黑體" w:eastAsia="微軟正黑體" w:hAnsi="微軟正黑體"/>
          <w:sz w:val="22"/>
          <w:szCs w:val="22"/>
        </w:rPr>
        <w:t xml:space="preserve">以健保AI審查工具為教學情境逐一診斷：情境建構鏈方面，訓練資料若集中於特定醫學中心之就診人口，可能存在資料代表性不足之斷裂風險；權威鏈方面，若審查結果直接影響給付核定，卻僅依機關內部行政規則授權而未有明確法律依據，即屬權威鏈斷裂；理由鏈方面，若受影響之醫療院所僅收到系統輸出之分數而無法取得具體事實與法令依據之說明，即屬理由鏈斷裂；責任鏈方面，若審查結果出現爭議時，機關僅答覆「系統判定如此」而無法指出具體負責之審查人員，即屬責任鏈斷裂。</w:t>
      </w:r>
    </w:p>
    <w:p>
      <w:pPr>
        <w:spacing w:after="200" w:line="360"/>
        <w:ind w:firstLine="431"/>
        <w:jc w:val="both"/>
      </w:pPr>
      <w:r>
        <w:rPr>
          <w:rFonts w:ascii="微軟正黑體" w:cs="微軟正黑體" w:eastAsia="微軟正黑體" w:hAnsi="微軟正黑體"/>
          <w:sz w:val="22"/>
          <w:szCs w:val="22"/>
        </w:rPr>
        <w:t xml:space="preserve">四條治理鏈之診斷須逐一檢視，不可僅因情境建構鏈（資料來源）透明公開，便推論其餘三鏈亦無疑慮，此為運用本方法論分析任何AI治理案例之基本原則。</w:t>
      </w:r>
    </w:p>
    <w:p>
      <w:pPr>
        <w:spacing w:after="100" w:before="160"/>
      </w:pPr>
      <w:r>
        <w:rPr>
          <w:rFonts w:ascii="微軟正黑體" w:cs="微軟正黑體" w:eastAsia="微軟正黑體" w:hAnsi="微軟正黑體"/>
          <w:b/>
          <w:bCs/>
          <w:color w:val="444444"/>
          <w:sz w:val="21"/>
          <w:szCs w:val="21"/>
        </w:rPr>
        <w:t xml:space="preserve">【參考答案·標準版】（約1,250-1,450字，主要示範答案）</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AI輔助審查效率提升」這句話聽起來令人安心，但效率提升的背後，資料從哪裡來、誰有權核定、理由能不能說清楚、出了問題找誰負責——這四條鏈條，是否每一條都撐得住，才是判斷這套系統是否值得信賴之關鍵。</w:t>
      </w:r>
    </w:p>
    <w:p>
      <w:pPr>
        <w:spacing w:after="200" w:line="360"/>
        <w:ind w:firstLine="431"/>
        <w:jc w:val="both"/>
      </w:pPr>
      <w:r>
        <w:rPr>
          <w:rFonts w:ascii="微軟正黑體" w:cs="微軟正黑體" w:eastAsia="微軟正黑體" w:hAnsi="微軟正黑體"/>
          <w:sz w:val="22"/>
          <w:szCs w:val="22"/>
        </w:rPr>
        <w:t xml:space="preserve">二、四條治理鏈之核心內涵</w:t>
      </w:r>
    </w:p>
    <w:p>
      <w:pPr>
        <w:spacing w:after="200" w:line="360"/>
        <w:ind w:firstLine="431"/>
        <w:jc w:val="both"/>
      </w:pPr>
      <w:r>
        <w:rPr>
          <w:rFonts w:ascii="微軟正黑體" w:cs="微軟正黑體" w:eastAsia="微軟正黑體" w:hAnsi="微軟正黑體"/>
          <w:sz w:val="22"/>
          <w:szCs w:val="22"/>
        </w:rPr>
        <w:t xml:space="preserve">情境建構鏈追問誰決定哪些資料、變項與問題被納入或排除，典型斷裂點在於資料代表性不足與過度去識別化，此鏈具邏輯前置地位——若最初被界定為事實的資料本身已有偏誤，後續三鏈即便形式完備仍建立在有缺陷之基礎上。權威鏈追問決策之正當性來自明確之法律授權、機關裁量或演算法本身之技術權威，其授權基礎呈現遞減之課責結構，由法律明確授權到第三方開源或商用模型，課責稀釋程度依序遞增。理由鏈追問決策理由能否被追溯與具體說明，我國《行政程序法》第96條規定書面行政處分應記載主旨、事實、理由及法令依據，此一要求延伸至AI決策情境即形成Citron（2008）所稱之技術性正當程序。責任鏈追問錯誤或損害發生時責任應歸屬何處，其核心原則為責任終點必須回歸某一自然人而非系統或廠商，Bovens（2007）指出課責須同時具備說明義務與制裁可能性兩要素。</w:t>
      </w:r>
    </w:p>
    <w:p>
      <w:pPr>
        <w:spacing w:after="200" w:line="360"/>
        <w:ind w:firstLine="431"/>
        <w:jc w:val="both"/>
      </w:pPr>
      <w:r>
        <w:rPr>
          <w:rFonts w:ascii="微軟正黑體" w:cs="微軟正黑體" w:eastAsia="微軟正黑體" w:hAnsi="微軟正黑體"/>
          <w:sz w:val="22"/>
          <w:szCs w:val="22"/>
        </w:rPr>
        <w:t xml:space="preserve">三、以健保AI審查教學情境逐一診斷四鏈可能斷裂點</w:t>
      </w:r>
    </w:p>
    <w:p>
      <w:pPr>
        <w:spacing w:after="200" w:line="360"/>
        <w:ind w:firstLine="431"/>
        <w:jc w:val="both"/>
      </w:pPr>
      <w:r>
        <w:rPr>
          <w:rFonts w:ascii="微軟正黑體" w:cs="微軟正黑體" w:eastAsia="微軟正黑體" w:hAnsi="微軟正黑體"/>
          <w:sz w:val="22"/>
          <w:szCs w:val="22"/>
        </w:rPr>
        <w:t xml:space="preserve">以健保署運用自然語言處理模型輔助審查為教學情境（假設未來此類工具進一步用於給付否准之核定），逐一診斷：其一，情境建構鏈，若訓練資料集中於特定醫學中心之就診人口，未能涵蓋偏鄉或特殊科別病患之資料特徵，即可能構成資料代表性不足之斷裂，導致特定群體之審查結果系統性失準；其二，權威鏈，若審查結果直接觸發給付否准，其授權基礎卻僅止於機關內部行政規則，未經法律明確授權或法規命令具體規範，即屬權威鏈斷裂，尤其若審查邏輯部分內嵌於委外廠商系統，課責稀釋之風險將更為顯著；其三，理由鏈，若醫療院所收到之否准通知僅顯示系統輸出之分數或代碼，而未能對應具體之事實認定與法令依據，即違反《行政程序法》第96條之精神，構成理由鏈斷裂；其四，責任鏈，若審查結果發生爭議，機關內部無法指出具體之當責審查人員（例如僅答覆「系統判定如此」），或最終問責僅止於「廠商系統問題」而未有自然人承擔說明義務與後果，即屬責任鏈斷裂。</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四條治理鏈之診斷必須逐一檢視、缺一不可，情境建構鏈之透明化雖具前置重要性，卻不能替代對權威鏈、理由鏈與責任鏈之個別監督。唯有四鏈同時穩固，AI輔助審查工具之效率提升，方能真正建立在可課責、可信賴之制度基礎之上，而非僅是表面上的技術進步。</w:t>
      </w:r>
    </w:p>
    <w:p>
      <w:pPr>
        <w:spacing w:after="100" w:before="160"/>
      </w:pPr>
      <w:r>
        <w:rPr>
          <w:rFonts w:ascii="微軟正黑體" w:cs="微軟正黑體" w:eastAsia="微軟正黑體" w:hAnsi="微軟正黑體"/>
          <w:b/>
          <w:bCs/>
          <w:color w:val="444444"/>
          <w:sz w:val="21"/>
          <w:szCs w:val="21"/>
        </w:rPr>
        <w:t xml:space="preserve">【參考答案·高分版補充】（在標準版基礎上，加入學者、比較、批判、當代案例、AI治理、臺灣實務）</w:t>
      </w:r>
    </w:p>
    <w:p>
      <w:pPr>
        <w:pStyle w:val="ListParagraph"/>
        <w:numPr>
          <w:ilvl w:val="0"/>
          <w:numId w:val="2"/>
        </w:numPr>
        <w:spacing w:after="120" w:line="340"/>
      </w:pPr>
      <w:r>
        <w:rPr>
          <w:rFonts w:ascii="微軟正黑體" w:cs="微軟正黑體" w:eastAsia="微軟正黑體" w:hAnsi="微軟正黑體"/>
          <w:sz w:val="22"/>
          <w:szCs w:val="22"/>
        </w:rPr>
        <w:t xml:space="preserve">補充理論根源視角：可援引Citron（2008）技術性正當程序理論，說明理由鏈斷裂之核心問題並非「機關不願說明」，而是「演算法邏輯本身難以轉譯為人類可理解之文字說明」，此為技術性正當程序理論欲處理之根本挑戰，展現對理論脈絡之精確掌握。</w:t>
      </w:r>
    </w:p>
    <w:p>
      <w:pPr>
        <w:pStyle w:val="ListParagraph"/>
        <w:numPr>
          <w:ilvl w:val="0"/>
          <w:numId w:val="2"/>
        </w:numPr>
        <w:spacing w:after="120" w:line="340"/>
      </w:pPr>
      <w:r>
        <w:rPr>
          <w:rFonts w:ascii="微軟正黑體" w:cs="微軟正黑體" w:eastAsia="微軟正黑體" w:hAnsi="微軟正黑體"/>
          <w:sz w:val="22"/>
          <w:szCs w:val="22"/>
        </w:rPr>
        <w:t xml:space="preserve">補充授權層級遞減視角：可具體說明權威鏈之授權層級遞減結構——由法律明確授權、法規命令概括授權、機關內部行政規則、委外廠商系統邏輯，到第三方開源或商用模型，課責稀釋程度依序遞增，健保AI審查若涉及委外廠商系統邏輯，即應特別留意此一層級之課責風險。</w:t>
      </w:r>
    </w:p>
    <w:p>
      <w:pPr>
        <w:pStyle w:val="ListParagraph"/>
        <w:numPr>
          <w:ilvl w:val="0"/>
          <w:numId w:val="2"/>
        </w:numPr>
        <w:spacing w:after="120" w:line="340"/>
      </w:pPr>
      <w:r>
        <w:rPr>
          <w:rFonts w:ascii="微軟正黑體" w:cs="微軟正黑體" w:eastAsia="微軟正黑體" w:hAnsi="微軟正黑體"/>
          <w:sz w:val="22"/>
          <w:szCs w:val="22"/>
        </w:rPr>
        <w:t xml:space="preserve">補充國際案例對照視角：可援引美國UnitedHealth的nH Predict演算法爭議，說明當AI審查結果近似直接觸發給付縮減、外部救濟管道使用率極低（僅0.2%）時，即是權威鏈與責任鏈同時斷裂之具體實例，藉此凸顯及早以四鏈進行預防性診斷之重要性。</w:t>
      </w:r>
    </w:p>
    <w:p>
      <w:pPr>
        <w:pStyle w:val="ListParagraph"/>
        <w:numPr>
          <w:ilvl w:val="0"/>
          <w:numId w:val="2"/>
        </w:numPr>
        <w:spacing w:after="120" w:line="340"/>
      </w:pPr>
      <w:r>
        <w:rPr>
          <w:rFonts w:ascii="微軟正黑體" w:cs="微軟正黑體" w:eastAsia="微軟正黑體" w:hAnsi="微軟正黑體"/>
          <w:sz w:val="22"/>
          <w:szCs w:val="22"/>
        </w:rPr>
        <w:t xml:space="preserve">補充審慎實務視角：可指出依公開資訊，健保署智慧審查工具目前之定位為效率輔助而非直接核定不利處分，此一設計本身即是權威鏈之審慎示範，惟仍應以七項治理審計持續追蹤監控，避免制度沿革過程中權威鏈邊界悄然位移。</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須完整說明四條治理鏈之核心提問（情境建構問「哪些資料被納入」、權威問「誰說了算」、理由問「能否追溯說明」、責任問「歸屬何處」），不可僅列舉鏈名而無說明內涵。</w:t>
      </w:r>
    </w:p>
    <w:p>
      <w:pPr>
        <w:pStyle w:val="ListParagraph"/>
        <w:numPr>
          <w:ilvl w:val="0"/>
          <w:numId w:val="2"/>
        </w:numPr>
        <w:spacing w:after="120" w:line="340"/>
      </w:pPr>
      <w:r>
        <w:rPr>
          <w:rFonts w:ascii="微軟正黑體" w:cs="微軟正黑體" w:eastAsia="微軟正黑體" w:hAnsi="微軟正黑體"/>
          <w:sz w:val="22"/>
          <w:szCs w:val="22"/>
        </w:rPr>
        <w:t xml:space="preserve">須將四鏈逐一對應健保AI審查教學情境，具體指出各鏈可能之斷裂表現，不可僅抽象複誦理論而無案例對應。</w:t>
      </w:r>
    </w:p>
    <w:p>
      <w:pPr>
        <w:pStyle w:val="ListParagraph"/>
        <w:numPr>
          <w:ilvl w:val="0"/>
          <w:numId w:val="2"/>
        </w:numPr>
        <w:spacing w:after="120" w:line="340"/>
      </w:pPr>
      <w:r>
        <w:rPr>
          <w:rFonts w:ascii="微軟正黑體" w:cs="微軟正黑體" w:eastAsia="微軟正黑體" w:hAnsi="微軟正黑體"/>
          <w:sz w:val="22"/>
          <w:szCs w:val="22"/>
        </w:rPr>
        <w:t xml:space="preserve">宜清楚區辨「教學情境推演」與「對特定機關現行實務之指控」，展現方法論演練之審慎態度，此為本題答題倫理之重要一環。</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僅背誦四條治理鏈之名稱，未能說明各鏈之核心提問內涵。</w:t>
      </w:r>
    </w:p>
    <w:p>
      <w:pPr>
        <w:pStyle w:val="ListParagraph"/>
        <w:numPr>
          <w:ilvl w:val="0"/>
          <w:numId w:val="2"/>
        </w:numPr>
        <w:spacing w:after="120" w:line="340"/>
      </w:pPr>
      <w:r>
        <w:rPr>
          <w:rFonts w:ascii="微軟正黑體" w:cs="微軟正黑體" w:eastAsia="微軟正黑體" w:hAnsi="微軟正黑體"/>
          <w:sz w:val="22"/>
          <w:szCs w:val="22"/>
        </w:rPr>
        <w:t xml:space="preserve">❌ 案例診斷流於籠統，未能具體指出健保AI審查情境中各鏈可能之斷裂表現。</w:t>
      </w:r>
    </w:p>
    <w:p>
      <w:pPr>
        <w:pStyle w:val="ListParagraph"/>
        <w:numPr>
          <w:ilvl w:val="0"/>
          <w:numId w:val="2"/>
        </w:numPr>
        <w:spacing w:after="120" w:line="340"/>
      </w:pPr>
      <w:r>
        <w:rPr>
          <w:rFonts w:ascii="微軟正黑體" w:cs="微軟正黑體" w:eastAsia="微軟正黑體" w:hAnsi="微軟正黑體"/>
          <w:sz w:val="22"/>
          <w:szCs w:val="22"/>
        </w:rPr>
        <w:t xml:space="preserve">❌ 將教學情境案例誤寫為對特定機關現行實務之直接指控，未能區辨方法論演練與事實指控之差異。</w:t>
      </w:r>
    </w:p>
    <w:p>
      <w:pPr>
        <w:spacing w:after="220"/>
      </w:pPr>
    </w:p>
    <w:p>
      <w:pPr>
        <w:spacing w:after="180" w:before="360"/>
      </w:pPr>
      <w:r>
        <w:rPr>
          <w:rFonts w:ascii="微軟正黑體" w:cs="微軟正黑體" w:eastAsia="微軟正黑體" w:hAnsi="微軟正黑體"/>
          <w:b/>
          <w:bCs/>
          <w:color w:val="1F4E79"/>
          <w:sz w:val="26"/>
          <w:szCs w:val="26"/>
        </w:rPr>
        <w:t xml:space="preserve">題目二（B級比較題·模擬命題）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三節母體教材「七審與四鏈的關係：以RACI矩陣示範責任歸屬審計」自行設計之模擬命題。本語料庫（107-111年）中，RACI矩陣運用於AI治理責任歸屬審計為本書自創之操作化方法，尚未查得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有學者主張，運用RACI矩陣（R負責執行、A當責、C被諮詢、I被告知）可具體操作化AI治理中之責任歸屬審計。此一方法與機關傳統之內部簽核層級課責機制有何不同？請說明其差異，並舉一例說明如何運用RACI矩陣診斷責任鏈斷裂之警訊。（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方法比較＋案例應用診斷題」，考生須依序完成：說明RACI矩陣與傳統簽核層級課責機制之差異、舉例說明如何運用RACI矩陣診斷責任鏈斷裂之警訊——若僅單獨介紹RACI矩陣而未與傳統簽核機制比較，或未具體舉例診斷，均屬答題不完整。</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RACI矩陣（R╱A╱C╱I）＋ 傳統簽核層級課責 ＋ 責任鏈斷裂警訊診斷。</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一、前言：當責任跨越機關與廠商的邊界，誰還是「那個負責的人」</w:t>
      </w:r>
    </w:p>
    <w:p>
      <w:pPr>
        <w:pStyle w:val="ListParagraph"/>
        <w:numPr>
          <w:ilvl w:val="0"/>
          <w:numId w:val="2"/>
        </w:numPr>
        <w:spacing w:after="120" w:line="340"/>
      </w:pPr>
      <w:r>
        <w:rPr>
          <w:rFonts w:ascii="微軟正黑體" w:cs="微軟正黑體" w:eastAsia="微軟正黑體" w:hAnsi="微軟正黑體"/>
          <w:sz w:val="22"/>
          <w:szCs w:val="22"/>
        </w:rPr>
        <w:t xml:space="preserve">二、RACI矩陣與傳統簽核層級課責機制之差異</w:t>
      </w:r>
    </w:p>
    <w:p>
      <w:pPr>
        <w:pStyle w:val="ListParagraph"/>
        <w:numPr>
          <w:ilvl w:val="0"/>
          <w:numId w:val="2"/>
        </w:numPr>
        <w:spacing w:after="120" w:line="340"/>
      </w:pPr>
      <w:r>
        <w:rPr>
          <w:rFonts w:ascii="微軟正黑體" w:cs="微軟正黑體" w:eastAsia="微軟正黑體" w:hAnsi="微軟正黑體"/>
          <w:sz w:val="22"/>
          <w:szCs w:val="22"/>
        </w:rPr>
        <w:t xml:space="preserve">三、運用RACI矩陣診斷責任鏈斷裂警訊之舉例</w:t>
      </w:r>
    </w:p>
    <w:p>
      <w:pPr>
        <w:pStyle w:val="ListParagraph"/>
        <w:numPr>
          <w:ilvl w:val="0"/>
          <w:numId w:val="2"/>
        </w:numPr>
        <w:spacing w:after="120" w:line="340"/>
      </w:pPr>
      <w:r>
        <w:rPr>
          <w:rFonts w:ascii="微軟正黑體" w:cs="微軟正黑體" w:eastAsia="微軟正黑體" w:hAnsi="微軟正黑體"/>
          <w:sz w:val="22"/>
          <w:szCs w:val="22"/>
        </w:rPr>
        <w:t xml:space="preserve">四、結論</w:t>
      </w:r>
    </w:p>
    <w:p>
      <w:pPr>
        <w:spacing w:after="100" w:before="160"/>
      </w:pPr>
      <w:r>
        <w:rPr>
          <w:rFonts w:ascii="微軟正黑體" w:cs="微軟正黑體" w:eastAsia="微軟正黑體" w:hAnsi="微軟正黑體"/>
          <w:b/>
          <w:bCs/>
          <w:color w:val="444444"/>
          <w:sz w:val="21"/>
          <w:szCs w:val="21"/>
        </w:rPr>
        <w:t xml:space="preserve">【參考答案·標準版】（約1,300字）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傳統機關內部之簽核層級，假設每一份公文都有明確的承辦、初核、複核與核定層級，責任隨著簽核往上遞送。但當AI系統介入審查流程，責任可能同時分散在機關承辦人員、系統開發廠商與演算法邏輯設計者之間，這時候，「誰是那個負責的人」反而變得模糊，這正是RACI矩陣被引入責任歸屬審計之原因。</w:t>
      </w:r>
    </w:p>
    <w:p>
      <w:pPr>
        <w:spacing w:after="200" w:line="360"/>
        <w:ind w:firstLine="431"/>
        <w:jc w:val="both"/>
      </w:pPr>
      <w:r>
        <w:rPr>
          <w:rFonts w:ascii="微軟正黑體" w:cs="微軟正黑體" w:eastAsia="微軟正黑體" w:hAnsi="微軟正黑體"/>
          <w:sz w:val="22"/>
          <w:szCs w:val="22"/>
        </w:rPr>
        <w:t xml:space="preserve">二、RACI矩陣與傳統簽核層級課責機制之差異</w:t>
      </w:r>
    </w:p>
    <w:p>
      <w:pPr>
        <w:spacing w:after="200" w:line="360"/>
        <w:ind w:firstLine="431"/>
        <w:jc w:val="both"/>
      </w:pPr>
      <w:r>
        <w:rPr>
          <w:rFonts w:ascii="微軟正黑體" w:cs="微軟正黑體" w:eastAsia="微軟正黑體" w:hAnsi="微軟正黑體"/>
          <w:sz w:val="22"/>
          <w:szCs w:val="22"/>
        </w:rPr>
        <w:t xml:space="preserve">傳統機關內部簽核層級課責機制，其核責邏輯建立在單一機關內部之科層節制關係之上，假設每一項行政決定皆有明確之承辦、初核、複核、核定層級，責任隨簽核層級遞升而集中，且參與者原則上皆為機關內部之公務人員，權責關係相對清晰。RACI矩陣則是為回應AI治理情境中責任可能跨機關、跨部門、甚至跨越機關與委外廠商邊界而設計之操作化工具，其核心差異有三：其一，適用範圍更廣，RACI矩陣可同時涵蓋機關內部人員、外部顧問、委外廠商等不同性質之參與者，而傳統簽核層級原則上僅處理機關內部關係；其二，角色區分更細緻，RACI矩陣區分「實際執行」（R）與「最終當責」（A）兩種角色，可能由不同主體擔任，而傳統簽核層級往往將經辦與負責混為同一層級；其三，診斷功能更明確，RACI矩陣透過檢視每一環節「A欄位」是否有明確且具體之職位填寫，可直接暴露責任模糊或外部化之風險，而傳統簽核層級之課責機制通常僅於爭議發生後，才回溯追查簽核紀錄，屬事後補救性質，較欠缺事前系統性診斷之功能。</w:t>
      </w:r>
    </w:p>
    <w:p>
      <w:pPr>
        <w:spacing w:after="200" w:line="360"/>
        <w:ind w:firstLine="431"/>
        <w:jc w:val="both"/>
      </w:pPr>
      <w:r>
        <w:rPr>
          <w:rFonts w:ascii="微軟正黑體" w:cs="微軟正黑體" w:eastAsia="微軟正黑體" w:hAnsi="微軟正黑體"/>
          <w:sz w:val="22"/>
          <w:szCs w:val="22"/>
        </w:rPr>
        <w:t xml:space="preserve">三、運用RACI矩陣診斷責任鏈斷裂警訊之舉例</w:t>
      </w:r>
    </w:p>
    <w:p>
      <w:pPr>
        <w:spacing w:after="200" w:line="360"/>
        <w:ind w:firstLine="431"/>
        <w:jc w:val="both"/>
      </w:pPr>
      <w:r>
        <w:rPr>
          <w:rFonts w:ascii="微軟正黑體" w:cs="微軟正黑體" w:eastAsia="微軟正黑體" w:hAnsi="微軟正黑體"/>
          <w:sz w:val="22"/>
          <w:szCs w:val="22"/>
        </w:rPr>
        <w:t xml:space="preserve">以健保AI審查工具之「模型開發與訓練」環節為例，若依RACI矩陣盤點，R（實際執行）為資訊處工程團隊或委外廠商技術人員，然而若機關無法明確指出A（最終當責者）究竟是機關內部之資訊處處長，抑或委外廠商之專案負責人，甚至A欄位被填寫為「廠商」而非具體職位，即構成責任鏈斷裂之明確警訊——一旦模型出現系統性偏誤，機關與廠商可能互相推諉，受影響民眾將求助無門。相對地，若依傳統簽核層級課責機制檢視，此一模型開發環節可能根本未曾納入機關內部之簽核流程（因其屬技術開發階段而非行政決定階段），從而完全脫離傳統課責機制之視野，此一落差正是RACI矩陣相對於傳統簽核層級課責機制之關鍵補強價值。</w:t>
      </w:r>
    </w:p>
    <w:p>
      <w:pPr>
        <w:spacing w:after="200" w:line="360"/>
        <w:ind w:firstLine="431"/>
        <w:jc w:val="both"/>
      </w:pPr>
      <w:r>
        <w:rPr>
          <w:rFonts w:ascii="微軟正黑體" w:cs="微軟正黑體" w:eastAsia="微軟正黑體" w:hAnsi="微軟正黑體"/>
          <w:sz w:val="22"/>
          <w:szCs w:val="22"/>
        </w:rPr>
        <w:t xml:space="preserve">四、結論</w:t>
      </w:r>
    </w:p>
    <w:p>
      <w:pPr>
        <w:spacing w:after="200" w:line="360"/>
        <w:ind w:firstLine="431"/>
        <w:jc w:val="both"/>
      </w:pPr>
      <w:r>
        <w:rPr>
          <w:rFonts w:ascii="微軟正黑體" w:cs="微軟正黑體" w:eastAsia="微軟正黑體" w:hAnsi="微軟正黑體"/>
          <w:sz w:val="22"/>
          <w:szCs w:val="22"/>
        </w:rPr>
        <w:t xml:space="preserve">RACI矩陣並非取代傳統簽核層級課責機制，而是補強其在AI治理情境中之視野死角——尤其當責任可能外部化予委外廠商或分散於技術開發階段時，唯有透過RACI矩陣逐一盤點每一治理環節之當責者，方能及早發現「找不到人負責」之責任鏈斷裂警訊，避免問題發生後才倉促追究。</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須清楚比較RACI矩陣與傳統簽核層級課責機制之至少兩項具體差異（如適用範圍、角色區分細緻度、事前診斷功能），不可僅單獨介紹RACI矩陣而無比較。</w:t>
      </w:r>
    </w:p>
    <w:p>
      <w:pPr>
        <w:pStyle w:val="ListParagraph"/>
        <w:numPr>
          <w:ilvl w:val="0"/>
          <w:numId w:val="2"/>
        </w:numPr>
        <w:spacing w:after="120" w:line="340"/>
      </w:pPr>
      <w:r>
        <w:rPr>
          <w:rFonts w:ascii="微軟正黑體" w:cs="微軟正黑體" w:eastAsia="微軟正黑體" w:hAnsi="微軟正黑體"/>
          <w:sz w:val="22"/>
          <w:szCs w:val="22"/>
        </w:rPr>
        <w:t xml:space="preserve">須具體舉例（如健保AI審查之模型開發環節）說明RACI矩陣如何診斷責任鏈斷裂警訊，並清楚指出「A欄位空缺或填為廠商╱系統」即為警訊之判準。</w:t>
      </w:r>
    </w:p>
    <w:p>
      <w:pPr>
        <w:pStyle w:val="ListParagraph"/>
        <w:numPr>
          <w:ilvl w:val="0"/>
          <w:numId w:val="2"/>
        </w:numPr>
        <w:spacing w:after="120" w:line="340"/>
      </w:pPr>
      <w:r>
        <w:rPr>
          <w:rFonts w:ascii="微軟正黑體" w:cs="微軟正黑體" w:eastAsia="微軟正黑體" w:hAnsi="微軟正黑體"/>
          <w:sz w:val="22"/>
          <w:szCs w:val="22"/>
        </w:rPr>
        <w:t xml:space="preserve">宜指出傳統簽核層級課責機制之視野死角（如技術開發階段可能未納入傳統簽核流程），展現對AI治理情境特殊性之掌握。</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僅介紹RACI矩陣四項角色定義，未與傳統簽核層級課責機制進行實質比較。</w:t>
      </w:r>
    </w:p>
    <w:p>
      <w:pPr>
        <w:pStyle w:val="ListParagraph"/>
        <w:numPr>
          <w:ilvl w:val="0"/>
          <w:numId w:val="2"/>
        </w:numPr>
        <w:spacing w:after="120" w:line="340"/>
      </w:pPr>
      <w:r>
        <w:rPr>
          <w:rFonts w:ascii="微軟正黑體" w:cs="微軟正黑體" w:eastAsia="微軟正黑體" w:hAnsi="微軟正黑體"/>
          <w:sz w:val="22"/>
          <w:szCs w:val="22"/>
        </w:rPr>
        <w:t xml:space="preserve">❌ 舉例未具體指出「A欄位」判斷邏輯，僅籠統稱「責任不清楚」而未扣合RACI矩陣之操作化診斷方法。</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可補充說明RACI矩陣之限制：RACI矩陣僅能診斷「有沒有當責者」，無法診斷「當責者是否具備足夠專業能力承擔責任」，此一能力面向須搭配組織能力審計，展現對七審彼此互補關係之掌握。</w:t>
      </w:r>
    </w:p>
    <w:p>
      <w:pPr>
        <w:pStyle w:val="ListParagraph"/>
        <w:numPr>
          <w:ilvl w:val="0"/>
          <w:numId w:val="2"/>
        </w:numPr>
        <w:spacing w:after="120" w:line="340"/>
      </w:pPr>
      <w:r>
        <w:rPr>
          <w:rFonts w:ascii="微軟正黑體" w:cs="微軟正黑體" w:eastAsia="微軟正黑體" w:hAnsi="微軟正黑體"/>
          <w:sz w:val="22"/>
          <w:szCs w:val="22"/>
        </w:rPr>
        <w:t xml:space="preserve">可援引可課責演算法框架（Kroll et al., 2017）之設計階段可稽核性主張，說明若能於系統設計階段即以RACI矩陣預先盤點各環節當責者，可提前預防責任鏈斷裂，而非等待爭議發生後才回溯追查。</w:t>
      </w:r>
    </w:p>
    <w:p>
      <w:pPr>
        <w:pStyle w:val="ListParagraph"/>
        <w:numPr>
          <w:ilvl w:val="0"/>
          <w:numId w:val="2"/>
        </w:numPr>
        <w:spacing w:after="120" w:line="340"/>
      </w:pPr>
      <w:r>
        <w:rPr>
          <w:rFonts w:ascii="微軟正黑體" w:cs="微軟正黑體" w:eastAsia="微軟正黑體" w:hAnsi="微軟正黑體"/>
          <w:sz w:val="22"/>
          <w:szCs w:val="22"/>
        </w:rPr>
        <w:t xml:space="preserve">可補充跨機關協作視角：說明健保署與臺大醫院之心臟疾病AI模組合作，本身即涉及跨機關RACI盤點之實務挑戰，此類公私協力或跨機關合作案例，正是傳統簽核層級課責機制最難以涵蓋、卻最需要RACI矩陣補強之情境。</w:t>
      </w:r>
    </w:p>
    <w:p>
      <w:pPr>
        <w:spacing w:after="220"/>
      </w:pPr>
    </w:p>
    <w:p>
      <w:pPr>
        <w:spacing w:after="180" w:before="360"/>
      </w:pPr>
      <w:r>
        <w:rPr>
          <w:rFonts w:ascii="微軟正黑體" w:cs="微軟正黑體" w:eastAsia="微軟正黑體" w:hAnsi="微軟正黑體"/>
          <w:b/>
          <w:bCs/>
          <w:color w:val="1F4E79"/>
          <w:sz w:val="26"/>
          <w:szCs w:val="26"/>
        </w:rPr>
        <w:t xml:space="preserve">題目三（C級綜合題·模擬命題）</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考題出處（重要說明）</w:t>
            </w:r>
          </w:p>
          <w:p>
            <w:pPr>
              <w:spacing w:line="340"/>
              <w:jc w:val="both"/>
            </w:pPr>
            <w:r>
              <w:rPr>
                <w:rFonts w:ascii="微軟正黑體" w:cs="微軟正黑體" w:eastAsia="微軟正黑體" w:hAnsi="微軟正黑體"/>
                <w:sz w:val="21"/>
                <w:szCs w:val="21"/>
              </w:rPr>
              <w:t xml:space="preserve">本題並非歷屆試題，而是依本章第四節母體教材「AI治理專節：從清單到制度——臺灣與加拿大的比較」及案例思考「美國UnitedHealth的nH Predict演算法爭議」自行設計之模擬命題。本語料庫（107-111年）中，本章跨國比較與案例診斷內容為本書自創之綜合分析架構，尚未查得直接對應之申論真題，爰以模擬題形式呈現，並於此明確標示，避免與真實歷屆試題混淆。</w:t>
            </w:r>
          </w:p>
        </w:tc>
      </w:tr>
    </w:tbl>
    <w:p>
      <w:pPr>
        <w:spacing w:after="120"/>
      </w:pPr>
    </w:p>
    <w:p>
      <w:pPr>
        <w:spacing w:after="200" w:line="360"/>
        <w:ind w:firstLine="431"/>
        <w:jc w:val="both"/>
      </w:pPr>
      <w:r>
        <w:rPr>
          <w:rFonts w:ascii="微軟正黑體" w:cs="微軟正黑體" w:eastAsia="微軟正黑體" w:hAnsi="微軟正黑體"/>
          <w:sz w:val="22"/>
          <w:szCs w:val="22"/>
        </w:rPr>
        <w:t xml:space="preserve">「美國聯合健康保險集團（UnitedHealth）旗下nH Predict演算法用於預測長者照護所需復健天數，近年因錯誤率過高及極低申覆率等爭議遭集體訴訟。請運用四條治理鏈分析此一案例可能之斷裂點，並比較我國與加拿大聯邦政府AI治理審計制度化之路徑，提出至少兩項可供我國借鏡之具體制度設計建議。（25分）」</w:t>
      </w:r>
    </w:p>
    <w:p>
      <w:pPr>
        <w:spacing w:after="100" w:before="160"/>
      </w:pPr>
      <w:r>
        <w:rPr>
          <w:rFonts w:ascii="微軟正黑體" w:cs="微軟正黑體" w:eastAsia="微軟正黑體" w:hAnsi="微軟正黑體"/>
          <w:b/>
          <w:bCs/>
          <w:color w:val="444444"/>
          <w:sz w:val="21"/>
          <w:szCs w:val="21"/>
        </w:rPr>
        <w:t xml:space="preserve">【題型判斷】</w:t>
      </w:r>
    </w:p>
    <w:p>
      <w:pPr>
        <w:spacing w:after="200" w:line="360"/>
        <w:ind w:firstLine="431"/>
        <w:jc w:val="both"/>
      </w:pPr>
      <w:r>
        <w:rPr>
          <w:rFonts w:ascii="微軟正黑體" w:cs="微軟正黑體" w:eastAsia="微軟正黑體" w:hAnsi="微軟正黑體"/>
          <w:sz w:val="22"/>
          <w:szCs w:val="22"/>
        </w:rPr>
        <w:t xml:space="preserve">這是一題「國際案例分析＋跨國制度比較＋政策建議綜合題」，考生須依序完成：運用四鏈分析nH Predict案例之斷裂點、比較臺灣與加拿大之AI治理審計制度化路徑、提出至少兩項具體制度設計建議——若僅描述案例事實而未運用四鏈架構分析，或比較與建議流於空泛，均屬論述深度不足。</w:t>
      </w:r>
    </w:p>
    <w:p>
      <w:pPr>
        <w:spacing w:after="100" w:before="160"/>
      </w:pPr>
      <w:r>
        <w:rPr>
          <w:rFonts w:ascii="微軟正黑體" w:cs="微軟正黑體" w:eastAsia="微軟正黑體" w:hAnsi="微軟正黑體"/>
          <w:b/>
          <w:bCs/>
          <w:color w:val="444444"/>
          <w:sz w:val="21"/>
          <w:szCs w:val="21"/>
        </w:rPr>
        <w:t xml:space="preserve">【關鍵字】</w:t>
      </w:r>
    </w:p>
    <w:p>
      <w:pPr>
        <w:spacing w:after="200" w:line="360"/>
        <w:ind w:firstLine="431"/>
        <w:jc w:val="both"/>
      </w:pPr>
      <w:r>
        <w:rPr>
          <w:rFonts w:ascii="微軟正黑體" w:cs="微軟正黑體" w:eastAsia="微軟正黑體" w:hAnsi="微軟正黑體"/>
          <w:sz w:val="22"/>
          <w:szCs w:val="22"/>
        </w:rPr>
        <w:t xml:space="preserve">nH Predict四鏈斷裂分析 ＋ 臺灣指引式vs加拿大評分式制度比較 ＋ 設計與現實落差 ＋ 具體借鏡建議。</w:t>
      </w:r>
    </w:p>
    <w:p>
      <w:pPr>
        <w:spacing w:after="100" w:before="160"/>
      </w:pPr>
      <w:r>
        <w:rPr>
          <w:rFonts w:ascii="微軟正黑體" w:cs="微軟正黑體" w:eastAsia="微軟正黑體" w:hAnsi="微軟正黑體"/>
          <w:b/>
          <w:bCs/>
          <w:color w:val="444444"/>
          <w:sz w:val="21"/>
          <w:szCs w:val="21"/>
        </w:rPr>
        <w:t xml:space="preserve">【答題架構】</w:t>
      </w:r>
    </w:p>
    <w:p>
      <w:pPr>
        <w:pStyle w:val="ListParagraph"/>
        <w:numPr>
          <w:ilvl w:val="0"/>
          <w:numId w:val="2"/>
        </w:numPr>
        <w:spacing w:after="120" w:line="340"/>
      </w:pPr>
      <w:r>
        <w:rPr>
          <w:rFonts w:ascii="微軟正黑體" w:cs="微軟正黑體" w:eastAsia="微軟正黑體" w:hAnsi="微軟正黑體"/>
          <w:sz w:val="22"/>
          <w:szCs w:val="22"/>
        </w:rPr>
        <w:t xml:space="preserve">一、前言：0.2%的申覆率，是信任還是無力</w:t>
      </w:r>
    </w:p>
    <w:p>
      <w:pPr>
        <w:pStyle w:val="ListParagraph"/>
        <w:numPr>
          <w:ilvl w:val="0"/>
          <w:numId w:val="2"/>
        </w:numPr>
        <w:spacing w:after="120" w:line="340"/>
      </w:pPr>
      <w:r>
        <w:rPr>
          <w:rFonts w:ascii="微軟正黑體" w:cs="微軟正黑體" w:eastAsia="微軟正黑體" w:hAnsi="微軟正黑體"/>
          <w:sz w:val="22"/>
          <w:szCs w:val="22"/>
        </w:rPr>
        <w:t xml:space="preserve">二、以四條治理鏈分析nH Predict案例之斷裂點</w:t>
      </w:r>
    </w:p>
    <w:p>
      <w:pPr>
        <w:pStyle w:val="ListParagraph"/>
        <w:numPr>
          <w:ilvl w:val="0"/>
          <w:numId w:val="2"/>
        </w:numPr>
        <w:spacing w:after="120" w:line="340"/>
      </w:pPr>
      <w:r>
        <w:rPr>
          <w:rFonts w:ascii="微軟正黑體" w:cs="微軟正黑體" w:eastAsia="微軟正黑體" w:hAnsi="微軟正黑體"/>
          <w:sz w:val="22"/>
          <w:szCs w:val="22"/>
        </w:rPr>
        <w:t xml:space="preserve">三、我國與加拿大AI治理審計制度化路徑之比較</w:t>
      </w:r>
    </w:p>
    <w:p>
      <w:pPr>
        <w:pStyle w:val="ListParagraph"/>
        <w:numPr>
          <w:ilvl w:val="0"/>
          <w:numId w:val="2"/>
        </w:numPr>
        <w:spacing w:after="120" w:line="340"/>
      </w:pPr>
      <w:r>
        <w:rPr>
          <w:rFonts w:ascii="微軟正黑體" w:cs="微軟正黑體" w:eastAsia="微軟正黑體" w:hAnsi="微軟正黑體"/>
          <w:sz w:val="22"/>
          <w:szCs w:val="22"/>
        </w:rPr>
        <w:t xml:space="preserve">四、可供我國借鏡之具體制度設計建議</w:t>
      </w:r>
    </w:p>
    <w:p>
      <w:pPr>
        <w:pStyle w:val="ListParagraph"/>
        <w:numPr>
          <w:ilvl w:val="0"/>
          <w:numId w:val="2"/>
        </w:numPr>
        <w:spacing w:after="120" w:line="340"/>
      </w:pPr>
      <w:r>
        <w:rPr>
          <w:rFonts w:ascii="微軟正黑體" w:cs="微軟正黑體" w:eastAsia="微軟正黑體" w:hAnsi="微軟正黑體"/>
          <w:sz w:val="22"/>
          <w:szCs w:val="22"/>
        </w:rPr>
        <w:t xml:space="preserve">五、結論</w:t>
      </w:r>
    </w:p>
    <w:p>
      <w:pPr>
        <w:spacing w:after="100" w:before="160"/>
      </w:pPr>
      <w:r>
        <w:rPr>
          <w:rFonts w:ascii="微軟正黑體" w:cs="微軟正黑體" w:eastAsia="微軟正黑體" w:hAnsi="微軟正黑體"/>
          <w:b/>
          <w:bCs/>
          <w:color w:val="444444"/>
          <w:sz w:val="21"/>
          <w:szCs w:val="21"/>
        </w:rPr>
        <w:t xml:space="preserve">【參考答案·標準版】（約1,400字）</w:t>
      </w:r>
    </w:p>
    <w:p>
      <w:pPr>
        <w:spacing w:after="200" w:line="360"/>
        <w:ind w:firstLine="431"/>
        <w:jc w:val="both"/>
      </w:pPr>
      <w:r>
        <w:rPr>
          <w:rFonts w:ascii="微軟正黑體" w:cs="微軟正黑體" w:eastAsia="微軟正黑體" w:hAnsi="微軟正黑體"/>
          <w:sz w:val="22"/>
          <w:szCs w:val="22"/>
        </w:rPr>
        <w:t xml:space="preserve">一、前言</w:t>
      </w:r>
    </w:p>
    <w:p>
      <w:pPr>
        <w:spacing w:after="200" w:line="360"/>
        <w:ind w:firstLine="431"/>
        <w:jc w:val="both"/>
      </w:pPr>
      <w:r>
        <w:rPr>
          <w:rFonts w:ascii="微軟正黑體" w:cs="微軟正黑體" w:eastAsia="微軟正黑體" w:hAnsi="微軟正黑體"/>
          <w:sz w:val="22"/>
          <w:szCs w:val="22"/>
        </w:rPr>
        <w:t xml:space="preserve">美國聯合健康保險集團旗下nH Predict演算法遭指控錯誤率高達九成，而在遭拒案件經行政法官覆核後有九成被推翻的情況下，實際提出申覆的受益人卻僅約0.2%。這組數字並不代表演算法值得信任，而更可能代表著，真正需要救濟的人，根本不知道或無力走完申覆這條路。</w:t>
      </w:r>
    </w:p>
    <w:p>
      <w:pPr>
        <w:spacing w:after="200" w:line="360"/>
        <w:ind w:firstLine="431"/>
        <w:jc w:val="both"/>
      </w:pPr>
      <w:r>
        <w:rPr>
          <w:rFonts w:ascii="微軟正黑體" w:cs="微軟正黑體" w:eastAsia="微軟正黑體" w:hAnsi="微軟正黑體"/>
          <w:sz w:val="22"/>
          <w:szCs w:val="22"/>
        </w:rPr>
        <w:t xml:space="preserve">二、以四條治理鏈分析nH Predict案例之斷裂點</w:t>
      </w:r>
    </w:p>
    <w:p>
      <w:pPr>
        <w:spacing w:after="200" w:line="360"/>
        <w:ind w:firstLine="431"/>
        <w:jc w:val="both"/>
      </w:pPr>
      <w:r>
        <w:rPr>
          <w:rFonts w:ascii="微軟正黑體" w:cs="微軟正黑體" w:eastAsia="微軟正黑體" w:hAnsi="微軟正黑體"/>
          <w:sz w:val="22"/>
          <w:szCs w:val="22"/>
        </w:rPr>
        <w:t xml:space="preserve">其一，情境建構鏈：nH Predict之訓練資料是否充分反映長者照護需求之個案差異，演算法錯誤率高達九成，顯示資料與模型未能捕捉真實照護複雜性，構成情境建構鏈之嚴重斷裂。其二，權威鏈：演算法輸出之照護天數預測近似直接觸發給付縮減，然而外部審查機制薄弱，僅約0.2%受益人實際提出申覆，顯示縱使存在行政法官覆核機制，其可近用性嚴重不足，權威鏈之外部制衡形同虛設。其三，理由鏈：受益人長期難以取得具體、可追溯之拒絕理由，直至2026年3月聯邦法官下令揭露技術規格，方才逐步揭開演算法邏輯之不透明面紗，顯示理由鏈長期斷裂。其四，責任鏈：儘管錯誤率長期偏高，卻遲未見具體自然人被追究責任，直至2026年8月股東衍生訴訟指控高階主管明知錯誤率仍持續使用，責任歸屬方經由司法程序逐漸釐清，顯示責任鏈之課責機制嚴重延遲。</w:t>
      </w:r>
    </w:p>
    <w:p>
      <w:pPr>
        <w:spacing w:after="200" w:line="360"/>
        <w:ind w:firstLine="431"/>
        <w:jc w:val="both"/>
      </w:pPr>
      <w:r>
        <w:rPr>
          <w:rFonts w:ascii="微軟正黑體" w:cs="微軟正黑體" w:eastAsia="微軟正黑體" w:hAnsi="微軟正黑體"/>
          <w:sz w:val="22"/>
          <w:szCs w:val="22"/>
        </w:rPr>
        <w:t xml:space="preserve">三、我國與加拿大AI治理審計制度化路徑之比較</w:t>
      </w:r>
    </w:p>
    <w:p>
      <w:pPr>
        <w:spacing w:after="200" w:line="360"/>
        <w:ind w:firstLine="431"/>
        <w:jc w:val="both"/>
      </w:pPr>
      <w:r>
        <w:rPr>
          <w:rFonts w:ascii="微軟正黑體" w:cs="微軟正黑體" w:eastAsia="微軟正黑體" w:hAnsi="微軟正黑體"/>
          <w:sz w:val="22"/>
          <w:szCs w:val="22"/>
        </w:rPr>
        <w:t xml:space="preserve">我國以臺北市政府2024年9月發布之《使用人工智慧作業指引》為代表，採取「指引式」路徑：以歐盟式四級風險分類（絕對禁止╱高度風險╱中度風險╱低度風險）搭配課責制、安全性、透明性、公平性、隱私、個資保護六大構面之檢核表工具。加拿大聯邦政府則以2019年施行、2023年修正之《自動化決策指令》為代表，採取「評分式」路徑：以106題演算法影響評估問卷（65題風險評估＋41題緩解措施）進行量化評分，六構面加總上限169分，並容許緩解分數扣減原始分。惟Brandusescu與Sieber（2025）研究指出，加拿大22份已公開之AIA報告存在「設計與現實落差」，機關普遍以效率創新敘事將負面衝擊重新框架為中性甚至正面，且缺乏公民社會參與，顯示縱使制度化、量化程度較高，仍可能落入「打勾的誘惑」，檢查表本身異化為證明合規之目的。</w:t>
      </w:r>
    </w:p>
    <w:p>
      <w:pPr>
        <w:spacing w:after="200" w:line="360"/>
        <w:ind w:firstLine="431"/>
        <w:jc w:val="both"/>
      </w:pPr>
      <w:r>
        <w:rPr>
          <w:rFonts w:ascii="微軟正黑體" w:cs="微軟正黑體" w:eastAsia="微軟正黑體" w:hAnsi="微軟正黑體"/>
          <w:sz w:val="22"/>
          <w:szCs w:val="22"/>
        </w:rPr>
        <w:t xml:space="preserve">四、可供我國借鏡之具體制度設計建議</w:t>
      </w:r>
    </w:p>
    <w:p>
      <w:pPr>
        <w:spacing w:after="200" w:line="360"/>
        <w:ind w:firstLine="431"/>
        <w:jc w:val="both"/>
      </w:pPr>
      <w:r>
        <w:rPr>
          <w:rFonts w:ascii="微軟正黑體" w:cs="微軟正黑體" w:eastAsia="微軟正黑體" w:hAnsi="微軟正黑體"/>
          <w:sz w:val="22"/>
          <w:szCs w:val="22"/>
        </w:rPr>
        <w:t xml:space="preserve">其一，建議於現行指引式檢核表之外，逐步導入量化之影響評估分數機制（可參考加拿大AIA之風險與緩解措施雙軌評分邏輯），使高風險系統之審查密度得以更精細分級，而非僅止於四級風險之粗略分類；其二，建議明確要求高風險AI系統於契約中納入技術規格揭露條款，避免如nH Predict案例般，須經司法程序歷時多年方能取得技術規格，此一建議可直接回應理由鏈與權威鏈之修補需求；其三，建議借鏡Brandusescu與Sieber之研究提醒，於制度設計中明確要求公民社會或第三方之實質參與機制（而非僅形式諮詢），避免我國制度未來擴大量化評分規模時，重蹈加拿大「設計與現實落差」之覆轍；其四，建議針對外部救濟管道之實際可近用性建立量化監測指標（如申覆率、申覆結果推翻率），並主動追蹤極低申覆率是否代表救濟管道形同虛設，而非被動等待爭議累積至集體訴訟規模才啟動檢討。</w:t>
      </w:r>
    </w:p>
    <w:p>
      <w:pPr>
        <w:spacing w:after="200" w:line="360"/>
        <w:ind w:firstLine="431"/>
        <w:jc w:val="both"/>
      </w:pPr>
      <w:r>
        <w:rPr>
          <w:rFonts w:ascii="微軟正黑體" w:cs="微軟正黑體" w:eastAsia="微軟正黑體" w:hAnsi="微軟正黑體"/>
          <w:sz w:val="22"/>
          <w:szCs w:val="22"/>
        </w:rPr>
        <w:t xml:space="preserve">五、結論</w:t>
      </w:r>
    </w:p>
    <w:p>
      <w:pPr>
        <w:spacing w:after="200" w:line="360"/>
        <w:ind w:firstLine="431"/>
        <w:jc w:val="both"/>
      </w:pPr>
      <w:r>
        <w:rPr>
          <w:rFonts w:ascii="微軟正黑體" w:cs="微軟正黑體" w:eastAsia="微軟正黑體" w:hAnsi="微軟正黑體"/>
          <w:sz w:val="22"/>
          <w:szCs w:val="22"/>
        </w:rPr>
        <w:t xml:space="preserve">nH Predict案例證明，效率提升與課責機制之健全與否，並非同一件事；我國與加拿大之比較則進一步顯示，即使邁向量化、制度化之評分機制，仍可能因執行過程之敘事框架與參與不足，產生設計與現實之落差。唯有將四條治理鏈之逐案診斷，與跨國制度比較之借鏡持續結合，方能使我國AI治理審計制度化路徑，避免重蹈他國覆轍，真正從清單走向可問責之制度。</w:t>
      </w:r>
    </w:p>
    <w:p>
      <w:pPr>
        <w:spacing w:after="100" w:before="160"/>
      </w:pPr>
      <w:r>
        <w:rPr>
          <w:rFonts w:ascii="微軟正黑體" w:cs="微軟正黑體" w:eastAsia="微軟正黑體" w:hAnsi="微軟正黑體"/>
          <w:b/>
          <w:bCs/>
          <w:color w:val="444444"/>
          <w:sz w:val="21"/>
          <w:szCs w:val="21"/>
        </w:rPr>
        <w:t xml:space="preserve">【得分關鍵】</w:t>
      </w:r>
    </w:p>
    <w:p>
      <w:pPr>
        <w:pStyle w:val="ListParagraph"/>
        <w:numPr>
          <w:ilvl w:val="0"/>
          <w:numId w:val="2"/>
        </w:numPr>
        <w:spacing w:after="120" w:line="340"/>
      </w:pPr>
      <w:r>
        <w:rPr>
          <w:rFonts w:ascii="微軟正黑體" w:cs="微軟正黑體" w:eastAsia="微軟正黑體" w:hAnsi="微軟正黑體"/>
          <w:sz w:val="22"/>
          <w:szCs w:val="22"/>
        </w:rPr>
        <w:t xml:space="preserve">須運用四條治理鏈逐一分析nH Predict案例（情境建構鏈之資料代表性、權威鏈之外部審查薄弱、理由鏈之技術規格不透明、責任鏈之追責延遲），不可僅摘述案例事實而未運用四鏈架構。</w:t>
      </w:r>
    </w:p>
    <w:p>
      <w:pPr>
        <w:pStyle w:val="ListParagraph"/>
        <w:numPr>
          <w:ilvl w:val="0"/>
          <w:numId w:val="2"/>
        </w:numPr>
        <w:spacing w:after="120" w:line="340"/>
      </w:pPr>
      <w:r>
        <w:rPr>
          <w:rFonts w:ascii="微軟正黑體" w:cs="微軟正黑體" w:eastAsia="微軟正黑體" w:hAnsi="微軟正黑體"/>
          <w:sz w:val="22"/>
          <w:szCs w:val="22"/>
        </w:rPr>
        <w:t xml:space="preserve">須具體比較臺灣指引式（四級風險分類、六大構面檢核表）與加拿大評分式（106題AIA問卷、169分上限）之制度差異，不可僅籠統稱「兩國都有AI治理指引」。</w:t>
      </w:r>
    </w:p>
    <w:p>
      <w:pPr>
        <w:pStyle w:val="ListParagraph"/>
        <w:numPr>
          <w:ilvl w:val="0"/>
          <w:numId w:val="2"/>
        </w:numPr>
        <w:spacing w:after="120" w:line="340"/>
      </w:pPr>
      <w:r>
        <w:rPr>
          <w:rFonts w:ascii="微軟正黑體" w:cs="微軟正黑體" w:eastAsia="微軟正黑體" w:hAnsi="微軟正黑體"/>
          <w:sz w:val="22"/>
          <w:szCs w:val="22"/>
        </w:rPr>
        <w:t xml:space="preserve">須提出至少兩項具體可行之制度設計建議（如導入量化評分機制、強制技術規格揭露條款、公民社會實質參與機制、外部救濟管道可近用性監測），不可流於「應加強監督」等空泛建議。</w:t>
      </w:r>
    </w:p>
    <w:p>
      <w:pPr>
        <w:spacing w:after="100" w:before="160"/>
      </w:pPr>
      <w:r>
        <w:rPr>
          <w:rFonts w:ascii="微軟正黑體" w:cs="微軟正黑體" w:eastAsia="微軟正黑體" w:hAnsi="微軟正黑體"/>
          <w:b/>
          <w:bCs/>
          <w:color w:val="444444"/>
          <w:sz w:val="21"/>
          <w:szCs w:val="21"/>
        </w:rPr>
        <w:t xml:space="preserve">【常見失分】</w:t>
      </w:r>
    </w:p>
    <w:p>
      <w:pPr>
        <w:pStyle w:val="ListParagraph"/>
        <w:numPr>
          <w:ilvl w:val="0"/>
          <w:numId w:val="2"/>
        </w:numPr>
        <w:spacing w:after="120" w:line="340"/>
      </w:pPr>
      <w:r>
        <w:rPr>
          <w:rFonts w:ascii="微軟正黑體" w:cs="微軟正黑體" w:eastAsia="微軟正黑體" w:hAnsi="微軟正黑體"/>
          <w:sz w:val="22"/>
          <w:szCs w:val="22"/>
        </w:rPr>
        <w:t xml:space="preserve">❌ 僅描述nH Predict案例事實（錯誤率九成、集體訴訟），未運用四條治理鏈架構進行分析。</w:t>
      </w:r>
    </w:p>
    <w:p>
      <w:pPr>
        <w:pStyle w:val="ListParagraph"/>
        <w:numPr>
          <w:ilvl w:val="0"/>
          <w:numId w:val="2"/>
        </w:numPr>
        <w:spacing w:after="120" w:line="340"/>
      </w:pPr>
      <w:r>
        <w:rPr>
          <w:rFonts w:ascii="微軟正黑體" w:cs="微軟正黑體" w:eastAsia="微軟正黑體" w:hAnsi="微軟正黑體"/>
          <w:sz w:val="22"/>
          <w:szCs w:val="22"/>
        </w:rPr>
        <w:t xml:space="preserve">❌ 臺灣與加拿大之比較僅停留在「發布時間不同」等表面差異，未深入比較風險分類邏輯與制度化工具之本質差異。</w:t>
      </w:r>
    </w:p>
    <w:p>
      <w:pPr>
        <w:pStyle w:val="ListParagraph"/>
        <w:numPr>
          <w:ilvl w:val="0"/>
          <w:numId w:val="2"/>
        </w:numPr>
        <w:spacing w:after="120" w:line="340"/>
      </w:pPr>
      <w:r>
        <w:rPr>
          <w:rFonts w:ascii="微軟正黑體" w:cs="微軟正黑體" w:eastAsia="微軟正黑體" w:hAnsi="微軟正黑體"/>
          <w:sz w:val="22"/>
          <w:szCs w:val="22"/>
        </w:rPr>
        <w:t xml:space="preserve">❌ 借鏡建議流於空泛（如「應強化AI治理」），未提出具體可操作之制度設計內容。</w:t>
      </w:r>
    </w:p>
    <w:p>
      <w:pPr>
        <w:spacing w:after="100" w:before="160"/>
      </w:pPr>
      <w:r>
        <w:rPr>
          <w:rFonts w:ascii="微軟正黑體" w:cs="微軟正黑體" w:eastAsia="微軟正黑體" w:hAnsi="微軟正黑體"/>
          <w:b/>
          <w:bCs/>
          <w:color w:val="444444"/>
          <w:sz w:val="21"/>
          <w:szCs w:val="21"/>
        </w:rPr>
        <w:t xml:space="preserve">【高分加分點】</w:t>
      </w:r>
    </w:p>
    <w:p>
      <w:pPr>
        <w:pStyle w:val="ListParagraph"/>
        <w:numPr>
          <w:ilvl w:val="0"/>
          <w:numId w:val="2"/>
        </w:numPr>
        <w:spacing w:after="120" w:line="340"/>
      </w:pPr>
      <w:r>
        <w:rPr>
          <w:rFonts w:ascii="微軟正黑體" w:cs="微軟正黑體" w:eastAsia="微軟正黑體" w:hAnsi="微軟正黑體"/>
          <w:sz w:val="22"/>
          <w:szCs w:val="22"/>
        </w:rPr>
        <w:t xml:space="preserve">可補充「效率的陷阱」批判視角：說明0.2%極低申覆率與九成推翻率並置觀察，恐怕不是演算法值得信賴的證明，而是救濟管道可近用性不足之警訊，呼應本節核心命題，展現批判性思辨深度。</w:t>
      </w:r>
    </w:p>
    <w:p>
      <w:pPr>
        <w:pStyle w:val="ListParagraph"/>
        <w:numPr>
          <w:ilvl w:val="0"/>
          <w:numId w:val="2"/>
        </w:numPr>
        <w:spacing w:after="120" w:line="340"/>
      </w:pPr>
      <w:r>
        <w:rPr>
          <w:rFonts w:ascii="微軟正黑體" w:cs="微軟正黑體" w:eastAsia="微軟正黑體" w:hAnsi="微軟正黑體"/>
          <w:sz w:val="22"/>
          <w:szCs w:val="22"/>
        </w:rPr>
        <w:t xml:space="preserve">可援引Brandusescu與Sieber（2025）「設計與現實落差」之研究發現，說明制度量化、評分化本身並非萬靈丹，若缺乏公民社會實質參與，再精密之評分制度仍可能被效率創新敘事稀釋，此一提醒對我國未來若擬導入量化評分機制尤具警示意義。</w:t>
      </w:r>
    </w:p>
    <w:p>
      <w:pPr>
        <w:pStyle w:val="ListParagraph"/>
        <w:numPr>
          <w:ilvl w:val="0"/>
          <w:numId w:val="2"/>
        </w:numPr>
        <w:spacing w:after="120" w:line="340"/>
      </w:pPr>
      <w:r>
        <w:rPr>
          <w:rFonts w:ascii="微軟正黑體" w:cs="微軟正黑體" w:eastAsia="微軟正黑體" w:hAnsi="微軟正黑體"/>
          <w:sz w:val="22"/>
          <w:szCs w:val="22"/>
        </w:rPr>
        <w:t xml:space="preserve">可補充結合RACI矩陣之建議：說明我國於強化制度化路徑時，亦可要求高風險AI系統之採購契約，一併附上RACI矩陣式之責任盤點文件，作為技術規格揭露條款之配套，將第三節之責任歸屬審計工具與第四節之跨國比較建議相互扣合，展現全章方法論之整合運用能力。</w:t>
      </w:r>
    </w:p>
    <w:p>
      <w:pPr>
        <w:pStyle w:val="ListParagraph"/>
        <w:numPr>
          <w:ilvl w:val="0"/>
          <w:numId w:val="2"/>
        </w:numPr>
        <w:spacing w:after="120" w:line="340"/>
      </w:pPr>
      <w:r>
        <w:rPr>
          <w:rFonts w:ascii="微軟正黑體" w:cs="微軟正黑體" w:eastAsia="微軟正黑體" w:hAnsi="微軟正黑體"/>
          <w:sz w:val="22"/>
          <w:szCs w:val="22"/>
        </w:rPr>
        <w:t xml:space="preserve">可補充方法論反思視角：說明四鏈七審與跨國比較所能提供者，終究是「診斷工具」而非「保證」，唯有搭配持續之監測與公民社會參與，方能避免任何一套制度（無論指引式或評分式）淪為新一輪「打勾的誘惑」，呼應第25章「工具愈精密，使用者愈需要謙遜」之全書核心提醒。</w:t>
      </w:r>
    </w:p>
    <w:p>
      <w:pPr>
        <w:spacing w:after="300"/>
      </w:pPr>
    </w:p>
    <w:p>
      <w:pPr>
        <w:spacing w:after="200" w:before="400"/>
      </w:pPr>
      <w:r>
        <w:rPr>
          <w:rFonts w:ascii="微軟正黑體" w:cs="微軟正黑體" w:eastAsia="微軟正黑體" w:hAnsi="微軟正黑體"/>
          <w:b/>
          <w:bCs/>
          <w:sz w:val="32"/>
          <w:szCs w:val="32"/>
        </w:rPr>
        <w:t xml:space="preserve">【歷屆試題】</w:t>
      </w:r>
    </w:p>
    <w:p>
      <w:pPr>
        <w:spacing w:after="200" w:line="360"/>
        <w:ind w:firstLine="431"/>
        <w:jc w:val="both"/>
      </w:pPr>
      <w:r>
        <w:rPr>
          <w:rFonts w:ascii="微軟正黑體" w:cs="微軟正黑體" w:eastAsia="微軟正黑體" w:hAnsi="微軟正黑體"/>
          <w:sz w:val="22"/>
          <w:szCs w:val="22"/>
        </w:rPr>
        <w:t xml:space="preserve">本章合併對應大學教科書第26、27兩章之四條治理鏈與七項治理審計方法論，屬全書自身分析架構之操作化深化，並非考選部歷屆試題所依循之標準行政學考點分類。本語料庫涵蓋107-111年5個年度之考選部官方公告試題（行政學╱行政學概要科目），經逐題比對，查無與本章方法論框架（四條治理鏈、七項治理審計、RACI矩陣責任歸屬審計、臺灣與加拿大AI治理制度比較）直接對應之申論真題，此一情形與本書第三章「行政學的研究」、第十章至第十四章「公共政策」系列、第二十章「策略管理」、第二十五章「AI鑲嵌式公共行政與治理框架導論」相同，均屬語料庫年度範圍內尚未查得直接對應真題之章節。惟隨AI治理逐漸成為國家考試命題趨勢之新興領域，建議讀者留意112年以後最新年度考古題中，是否出現要求考生運用治理鏈、治理審計或跨國制度比較架構分析AI治理案例之綜合分析題型，並可援引本章之四鏈七審框架與RACI矩陣作為答題工具，臨場靈活應用於任何未曾見過之AI治理情境題。</w:t>
      </w:r>
    </w:p>
    <w:p>
      <w:pPr>
        <w:spacing w:after="280"/>
      </w:pPr>
    </w:p>
    <w:p>
      <w:pPr>
        <w:spacing w:after="200" w:before="400"/>
      </w:pPr>
      <w:r>
        <w:rPr>
          <w:rFonts w:ascii="微軟正黑體" w:cs="微軟正黑體" w:eastAsia="微軟正黑體" w:hAnsi="微軟正黑體"/>
          <w:b/>
          <w:bCs/>
          <w:sz w:val="32"/>
          <w:szCs w:val="32"/>
        </w:rPr>
        <w:t xml:space="preserve">【本章一頁掌握】</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四條治理鏈的深度回顧</w:t>
            </w:r>
          </w:p>
          <w:p>
            <w:pPr>
              <w:spacing w:line="340"/>
              <w:jc w:val="both"/>
            </w:pPr>
            <w:r>
              <w:rPr>
                <w:rFonts w:ascii="微軟正黑體" w:cs="微軟正黑體" w:eastAsia="微軟正黑體" w:hAnsi="微軟正黑體"/>
                <w:sz w:val="21"/>
                <w:szCs w:val="21"/>
              </w:rPr>
              <w:t xml:space="preserve">情境建構鏈（資料代表性╱過度去識別化）→ 權威鏈（授權層級遞減：法律法規命令行政規則委外廠商第三方模型）→ 理由鏈（行政程序法96條╱Citron技術性正當程序）→ 責任鏈（Bovens說明義務＋制裁可能性，終點須回自然人）</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2F6FA" w:sz="2"/>
              <w:left w:val="single" w:color="555555" w:sz="24"/>
              <w:bottom w:val="single" w:color="F2F6FA" w:sz="2"/>
              <w:right w:val="single" w:color="F2F6FA" w:sz="2"/>
            </w:tcBorders>
            <w:shd w:fill="F2F6FA" w:val="clear"/>
            <w:tcMar>
              <w:top w:type="dxa" w:w="160"/>
              <w:left w:type="dxa" w:w="220"/>
              <w:bottom w:type="dxa" w:w="160"/>
              <w:right w:type="dxa" w:w="220"/>
            </w:tcMar>
          </w:tcPr>
          <w:p>
            <w:pPr>
              <w:spacing w:after="100"/>
            </w:pPr>
            <w:r>
              <w:rPr>
                <w:rFonts w:ascii="微軟正黑體" w:cs="微軟正黑體" w:eastAsia="微軟正黑體" w:hAnsi="微軟正黑體"/>
                <w:b/>
                <w:bCs/>
                <w:color w:val="555555"/>
                <w:sz w:val="22"/>
                <w:szCs w:val="22"/>
              </w:rPr>
              <w:t xml:space="preserve">七項治理審計的定義與操作化指標</w:t>
            </w:r>
          </w:p>
          <w:p>
            <w:pPr>
              <w:spacing w:line="340"/>
              <w:jc w:val="both"/>
            </w:pPr>
            <w:r>
              <w:rPr>
                <w:rFonts w:ascii="微軟正黑體" w:cs="微軟正黑體" w:eastAsia="微軟正黑體" w:hAnsi="微軟正黑體"/>
                <w:sz w:val="21"/>
                <w:szCs w:val="21"/>
              </w:rPr>
              <w:t xml:space="preserve">資料代表性審計／理由說明審計／責任歸屬審計／隱私與資安審計／裁量邊界審計／組織能力審計／民主課責審計 → 七審彼此不互斥，同一斷裂點常同時觸犯兩項以上 → Mashaw正當程序尊嚴價值</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8F5E9" w:sz="2"/>
              <w:left w:val="single" w:color="2E7D32" w:sz="24"/>
              <w:bottom w:val="single" w:color="E8F5E9" w:sz="2"/>
              <w:right w:val="single" w:color="E8F5E9" w:sz="2"/>
            </w:tcBorders>
            <w:shd w:fill="E8F5E9" w:val="clear"/>
            <w:tcMar>
              <w:top w:type="dxa" w:w="160"/>
              <w:left w:type="dxa" w:w="220"/>
              <w:bottom w:type="dxa" w:w="160"/>
              <w:right w:type="dxa" w:w="220"/>
            </w:tcMar>
          </w:tcPr>
          <w:p>
            <w:pPr>
              <w:spacing w:after="100"/>
            </w:pPr>
            <w:r>
              <w:rPr>
                <w:rFonts w:ascii="微軟正黑體" w:cs="微軟正黑體" w:eastAsia="微軟正黑體" w:hAnsi="微軟正黑體"/>
                <w:b/>
                <w:bCs/>
                <w:color w:val="2E7D32"/>
                <w:sz w:val="22"/>
                <w:szCs w:val="22"/>
              </w:rPr>
              <w:t xml:space="preserve">RACI矩陣與四鏈修補方案工具箱</w:t>
            </w:r>
          </w:p>
          <w:p>
            <w:pPr>
              <w:spacing w:line="340"/>
              <w:jc w:val="both"/>
            </w:pPr>
            <w:r>
              <w:rPr>
                <w:rFonts w:ascii="微軟正黑體" w:cs="微軟正黑體" w:eastAsia="微軟正黑體" w:hAnsi="微軟正黑體"/>
                <w:sz w:val="21"/>
                <w:szCs w:val="21"/>
              </w:rPr>
              <w:t xml:space="preserve">RACI矩陣（R執行╱A當責僅一人╱C諮詢╱I告知）→ A缺位或填為系統廠商即為責任鏈斷裂警訊 → 修補工具箱：Kroll可課責演算法框架／Wachter GDPR解釋權爭議／Mashaw正當程序尊嚴價值</w:t>
            </w:r>
          </w:p>
        </w:tc>
      </w:tr>
    </w:tbl>
    <w:p>
      <w:pPr>
        <w:spacing w:after="14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DECEA" w:sz="2"/>
              <w:left w:val="single" w:color="C0392B" w:sz="24"/>
              <w:bottom w:val="single" w:color="FDECEA" w:sz="2"/>
              <w:right w:val="single" w:color="FDECEA" w:sz="2"/>
            </w:tcBorders>
            <w:shd w:fill="FDECEA" w:val="clear"/>
            <w:tcMar>
              <w:top w:type="dxa" w:w="160"/>
              <w:left w:type="dxa" w:w="220"/>
              <w:bottom w:type="dxa" w:w="160"/>
              <w:right w:type="dxa" w:w="220"/>
            </w:tcMar>
          </w:tcPr>
          <w:p>
            <w:pPr>
              <w:spacing w:after="100"/>
            </w:pPr>
            <w:r>
              <w:rPr>
                <w:rFonts w:ascii="微軟正黑體" w:cs="微軟正黑體" w:eastAsia="微軟正黑體" w:hAnsi="微軟正黑體"/>
                <w:b/>
                <w:bCs/>
                <w:color w:val="C0392B"/>
                <w:sz w:val="22"/>
                <w:szCs w:val="22"/>
              </w:rPr>
              <w:t xml:space="preserve">AI治理專節：從清單到制度</w:t>
            </w:r>
          </w:p>
          <w:p>
            <w:pPr>
              <w:spacing w:line="340"/>
              <w:jc w:val="both"/>
            </w:pPr>
            <w:r>
              <w:rPr>
                <w:rFonts w:ascii="微軟正黑體" w:cs="微軟正黑體" w:eastAsia="微軟正黑體" w:hAnsi="微軟正黑體"/>
                <w:sz w:val="21"/>
                <w:szCs w:val="21"/>
              </w:rPr>
              <w:t xml:space="preserve">nH Predict案例（錯誤率九成╱申覆率僅0.2%╱效率的陷阱）→ 臺灣指引式（四級風險分類╱六大構面）vs 加拿大評分式（AIA106題╱169分上限）→ 設計與現實落差（Brandusescu與Sieber, 2025）→ 打勾的誘惑</w:t>
            </w:r>
          </w:p>
        </w:tc>
      </w:tr>
    </w:tbl>
    <w:p>
      <w:pPr>
        <w:spacing w:after="18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申論核心句（可直接用於破題或結論）</w:t>
            </w:r>
          </w:p>
          <w:p>
            <w:pPr>
              <w:spacing w:line="340"/>
              <w:jc w:val="both"/>
            </w:pPr>
            <w:r>
              <w:rPr>
                <w:rFonts w:ascii="微軟正黑體" w:cs="微軟正黑體" w:eastAsia="微軟正黑體" w:hAnsi="微軟正黑體"/>
                <w:sz w:val="21"/>
                <w:szCs w:val="21"/>
              </w:rPr>
              <w:t xml:space="preserve">千丈之堤，以螻蟻之穴潰——四鏈七審方法論的意義，從來不在於證明一套系統萬無一失，而在於及早找出那個尚未被看見、卻足以潰堤的蟻穴。</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2026-09-03T05:38:37.961Z</dcterms:created>
  <dcterms:modified xsi:type="dcterms:W3CDTF">2026-09-03T05:38:37.961Z</dcterms:modified>
</cp:coreProperties>
</file>

<file path=docProps/custom.xml><?xml version="1.0" encoding="utf-8"?>
<Properties xmlns="http://schemas.openxmlformats.org/officeDocument/2006/custom-properties" xmlns:vt="http://schemas.openxmlformats.org/officeDocument/2006/docPropsVTypes"/>
</file>