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第二十五章　AI鑲嵌式公共行政與治理框架導論</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二十五章「AI鑲嵌式公共行政：25座標的動態應用與權力移轉指標操作化」，是全書分析架構之「方法論回歸點」——不再聚焦公共行政某一特定領域，而是回到分析工具本身，系統性地深化25治理座標、三種權力移轉、三項結構效應、四條治理鏈與七項治理審計之間的操作化關係，銜接第一章至第二十四章逐章示範之實務應用，進入全書第四部（跨層整合、四鏈、七審、理論重構）之開篇。內容取材自該章五節母體教材（25座標：定位系統而非計分系統、三種行政權力的功能性移轉：定義與操作化、三項結構效應：移轉之後發生了什麼、四鏈七審的整合：從概念到可操作稽核表、AI治理專節：指標化的治理挑戰與工具箱），依國考「考點化、模組化、背誦＋應用」邏輯重新壓縮改寫為四節：第一節整合原第一節（25座標之座標邏輯與三項設計原則）；第二節整合原第二節（三種行政權力的功能性移轉：P1情境建構權、P2行政裁量權、P3公權力影響力）；第三節整合原第三、四節（三項結構效應：跨格移動、邊界消解、權威重構＋四鏈七審整合對照矩陣）；第四節整合原第五節AI治理專節（指標化之治理挑戰、假精確風險、操作化工具箱、COMPAS與戶政案例）。本章屬全書方法論深化章，因其內容為本書自身之分析架構（25座標、P1-P2-P3、四鏈七審），並非考選部歷屆試題常見之標準行政學考點分類，本語料庫（107-111年）中查無與此一自創方法論框架直接對應之申論真題，爰依全書體例，三題全數採模擬命題設計，並於各題【考題出處】明確標示，避免與真實歷屆試題混淆。三題之設計原則為：以本章方法論框架為答題工具，扣合近年國考日益增加之AI治理綜合分析題型趨勢，訓練讀者將抽象架構轉化為具體案例分析與稽核機制設計之能力。依全書格式定版說明，題目一（A級）維持三種完整答案版本，題目二（B級）與題目三（C級）改為標準版參考答案＋【高分加分點】；AI鑲嵌內容全章集中呈現，於第四節與題目三C級綜合題再深化應用。</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25座標：定位系統而非計分系統</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25治理座標由兩軸交織而成：垂直軸為五分析層次，由抽象到具體排列——第一層哲學與價值（回答「為何而治理」）、第二層制度分工（回答「由誰治理、如何分工」）、第三層政策體系（回答「用什麼工具治理」）、第四層組織設計（回答「與誰一起治理」）、第五層管理運作（回答「如何在日常中治理」）；水平軸為五分析單位，標示治理影響範圍之大小：個人、團體、組織、社會、國際。兩軸交叉形成5×5=25個治理座標，此架構源於全鍾燮（Jun, 1986）之水平五分析單位與盧建旭（1995）之垂直五分析層次。</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25座標之設計遵循三項原則：其一為定位而非計分，25座標用以標定AI介入公共行政的起始格位與延伸格位，本身不計分、亦不直接構成風險分數——它回答「AI在哪裡」，而不是「AI有多危險」，後者須留給後續之權力移轉指標與治理審計判斷；其二為跨章節共同語言，25座標取代原本各領域各自定義、彼此不一致之分類方式，使全書自始即統一協議；其三為動態而非靜態，同一治理議題可能同時出現在多個格位，且隨AI技術演進在格位間移動——這正是本章第三節「跨格移動」結構效應所要深入說明的現象。</w:t>
      </w:r>
    </w:p>
    <w:p>
      <w:pPr>
        <w:pStyle w:val="ListParagraph"/>
        <w:numPr>
          <w:ilvl w:val="0"/>
          <w:numId w:val="2"/>
        </w:numPr>
        <w:spacing w:after="120" w:line="340"/>
      </w:pPr>
      <w:r>
        <w:rPr>
          <w:rFonts w:ascii="微軟正黑體" w:cs="微軟正黑體" w:eastAsia="微軟正黑體" w:hAnsi="微軟正黑體"/>
          <w:sz w:val="22"/>
          <w:szCs w:val="22"/>
        </w:rPr>
        <w:t xml:space="preserve">五分析層次由抽象到具體排列，體現「為何治理→由誰治理→用什麼治理→與誰一起治理→如何日常治理」之遞進邏輯：第一層哲學與價值處理公共性、正當性、倫理等最根本之價值信念；第二層制度分工處理政府、市場、第三部門之間之制度安排；第三層政策體系處理政策問題界定、方案形成、執行與評估之全過程；第四層組織設計處理組織內部結構與治理邏輯；第五層管理運作處理策略、人事、財務、績效、電子化政府、溝通與危機等具體管理功能。</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213"/>
        <w:gridCol w:w="36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回答的核心問題</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對應領域示例</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第一層　哲學與價值</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為何而治理：最抽象之價值信念</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公共性、正當性、行政倫理</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第二層　制度分工</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由誰治理、如何分工：政府市場第三部門</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行政環境、政府與市場、治理典範</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第三層　政策體系</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用什麼工具治理：政策全過程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政策制定、執行、評估</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第四層　組織設計</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與誰一起治理：組織內部結構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組織特性、行政組織、組織設計</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第五層　管理運作</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如何在日常中治理：具體管理功能</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人事、財務、績效、電子化、溝通危機</w:t>
            </w:r>
          </w:p>
        </w:tc>
      </w:tr>
    </w:tbl>
    <w:p>
      <w:pPr>
        <w:spacing w:after="280" w:before="120"/>
        <w:jc w:val="center"/>
      </w:pPr>
      <w:r>
        <w:rPr>
          <w:rFonts w:ascii="微軟正黑體" w:cs="微軟正黑體" w:eastAsia="微軟正黑體" w:hAnsi="微軟正黑體"/>
          <w:i/>
          <w:iCs/>
          <w:color w:val="555555"/>
          <w:sz w:val="18"/>
          <w:szCs w:val="18"/>
        </w:rPr>
        <w:t xml:space="preserve">表25-A　25座標五分析層次與對應領域示例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25座標之核心命題在於：它是一套「定位系統」而非「計分系統」——任何試圖將25座標直接轉化為AI風險分數之作法，皆偏離其設計初衷。定位系統的價值在於強迫使用者具體回答「AI介入了哪一格位」，而非僅回答「風險有多高」；計分系統則容易誘使機關以「總分過關」之心態規避實質審查。此一區辨是理解本章方法論之關鍵起點，亦是國考申論常見之概念辨析考點。</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25座標之貢獻在於提供全書乃至AI治理分析之共同語言，避免每一領域各自發明分類方式而彼此不相通約；惟其限制在於，座標本身僅回答「AI在哪裡」，無法回答「這樣的介入是否正當」——正當性判斷仍須回到第一層哲學與價值層次之規範性討論，此一自我限制之體認，正是使用此一工具時應保持之方法論謙遜。</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25座標之動態特性，使同一治理議題可能隨AI技術演進而在格位間移動，此一「跨格移動」現象之具體內涵與案例，留待第三節深入闡述。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近年AI治理法制與政策討論（如《人工智慧基本法》之研議、數位發展部之AI治理架構），實質上皆須先回答「這套AI系統介入了哪一治理層次與單位」，方能進一步討論適用之監理密度，此一提問邏輯正是25座標定位系統之實務體現。</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25座標之兩軸構成：五分析層次（哲學價值╱制度分工╱政策體系╱組織設計╱管理運作，由抽象至具體）×五分析單位（個人╱團體╱組織╱社會╱國際，影響範圍由小至大）。</w:t>
            </w:r>
          </w:p>
          <w:p>
            <w:pPr>
              <w:spacing w:after="80" w:line="320"/>
            </w:pPr>
            <w:r>
              <w:rPr>
                <w:rFonts w:ascii="微軟正黑體" w:cs="微軟正黑體" w:eastAsia="微軟正黑體" w:hAnsi="微軟正黑體"/>
                <w:sz w:val="21"/>
                <w:szCs w:val="21"/>
              </w:rPr>
              <w:t xml:space="preserve">•　25座標三項設計原則：定位而非計分、跨章節共同語言、動態而非靜態——「定位而非計分」為最核心之概念辨析考點。</w:t>
            </w:r>
          </w:p>
          <w:p>
            <w:pPr>
              <w:spacing w:after="0" w:line="320"/>
            </w:pPr>
            <w:r>
              <w:rPr>
                <w:rFonts w:ascii="微軟正黑體" w:cs="微軟正黑體" w:eastAsia="微軟正黑體" w:hAnsi="微軟正黑體"/>
                <w:sz w:val="21"/>
                <w:szCs w:val="21"/>
              </w:rPr>
              <w:t xml:space="preserve">•　25座標之自我限制：擅長回答「AI在哪裡」，不擅長回答「介入是否正當」，正當性判斷須回歸第一層哲學與價值。</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五層次口訣：為何治理（哲學價值）→由誰治理（制度分工）→用什麼治理（政策體系）→與誰一起治理（組織設計）→如何日常治理（管理運作）。</w:t>
            </w:r>
          </w:p>
          <w:p>
            <w:pPr>
              <w:spacing w:after="0" w:line="320"/>
            </w:pPr>
            <w:r>
              <w:rPr>
                <w:rFonts w:ascii="微軟正黑體" w:cs="微軟正黑體" w:eastAsia="微軟正黑體" w:hAnsi="微軟正黑體"/>
                <w:sz w:val="21"/>
                <w:szCs w:val="21"/>
              </w:rPr>
              <w:t xml:space="preserve">•　25座標＝地圖（告訴你AI介入了哪裡），不是量尺、不是分數表——這是最容易被誤用、也是國考最愛考的辨析點。</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定位系統」與「計分系統」不同——定位系統只回答「AI介入了哪一格位」，不直接產生風險分數；若將25座標誤用為計分工具（如宣稱「我們的系統只介入某格位，風險較低」），恐被治理者用來規避責任，忽略跨格移動可能使今日的低風險格位成為明日的高風險格位。</w:t>
            </w:r>
          </w:p>
          <w:p>
            <w:pPr>
              <w:spacing w:after="0" w:line="320"/>
            </w:pPr>
            <w:r>
              <w:rPr>
                <w:rFonts w:ascii="微軟正黑體" w:cs="微軟正黑體" w:eastAsia="微軟正黑體" w:hAnsi="微軟正黑體"/>
                <w:sz w:val="21"/>
                <w:szCs w:val="21"/>
              </w:rPr>
              <w:t xml:space="preserve">•　「五分析層次」不是「五分析單位」——層次軸回答「治理發生在哪個抽象程度」（由哲學價值到管理運作），單位軸回答「治理影響範圍多大」（由個人到國際），兩軸性質不同，不可互換使用。</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第二節　三種行政權力的功能性移轉：定義與操作化</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25座標定位「AI在哪裡」，三種行政權力的功能性移轉則進一步追問「AI拿走了什麼」。三者不必然依序發生，同一系統可能高度介入P1卻低度介入P3，分析任何AI治理案例，應先問這三種權力現在在誰手上。</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P1情境建構與事實認定權移轉，指哪些資料被視為事實、哪些群體成為目標、哪些分類與閾值構成後續判斷起點之權力移轉。其操作化指標包括：問題可見性（多少潛在需求被資料化——未被資料化的需求，在AI系統眼中根本不存在）、標籤決定權（誰決定標籤定義，例如「高風險」「疑似不符」等標籤之定義權掌握在系統設計者手中，而非受影響的當事人）、特徵選擇權（哪些變項被納入模型，特徵選擇本身即隱含價值判斷，卻經常被包裝為純技術決定）。</w:t>
      </w:r>
    </w:p>
    <w:p>
      <w:pPr>
        <w:pStyle w:val="ListParagraph"/>
        <w:numPr>
          <w:ilvl w:val="0"/>
          <w:numId w:val="2"/>
        </w:numPr>
        <w:spacing w:after="120" w:line="340"/>
      </w:pPr>
      <w:r>
        <w:rPr>
          <w:rFonts w:ascii="微軟正黑體" w:cs="微軟正黑體" w:eastAsia="微軟正黑體" w:hAnsi="微軟正黑體"/>
          <w:sz w:val="22"/>
          <w:szCs w:val="22"/>
        </w:rPr>
        <w:t xml:space="preserve">P2行政裁量與價值判斷權移轉，指哪些選項被推薦、排序或排除，效率、公平、風險與個案正義如何被衡量之權力移轉。其操作化指標包括：建議接受率（人類實際採納AI建議之比例）、人類覆寫率（人類實際推翻AI建議之比例）、覆寫理由書面化程度（人類覆寫決定是否留下可稽核之書面理由——若覆寫僅是口頭決定而無紀錄，裁量權讓渡之程度便難以事後檢驗）、裁量日誌完整性（整體裁量過程之紀錄是否完整、可追溯）。P3公權力決定之實質影響力移轉，指技術輸出是否直接或近似直接觸發給付、調查、裁罰、債務或其他法律與資源效果之權力移轉。其操作化指標包括：自動執行程度（系統輸出是否無須人類介入即產生法律效果）、人民權利影響評估是否完成、是否有外部救濟管道（受影響民眾能否透過申訴、訴願或訴訟等途徑挑戰系統決定）。</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413"/>
        <w:gridCol w:w="3613"/>
      </w:tblGrid>
      <w:tr>
        <w:trPr>
          <w:tblHeader/>
        </w:trPr>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權力類型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核心問題</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操作化指標</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P1情境建構權</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哪些資料被視為事實、哪些群體成為目標</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問題可見性、標籤決定權、特徵選擇權</w:t>
            </w:r>
          </w:p>
        </w:tc>
      </w:tr>
      <w:tr>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P2行政裁量權</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哪些選項被推薦、排序或排除</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建議接受率、人類覆寫率、覆寫理由書面化程度、裁量日誌完整性</w:t>
            </w:r>
          </w:p>
        </w:tc>
      </w:tr>
      <w:tr>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P3公權力影響力</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技術輸出是否直接觸發法律與資源效果</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自動執行程度、權利影響評估是否完成、外部救濟管道是否存在</w:t>
            </w:r>
          </w:p>
        </w:tc>
      </w:tr>
    </w:tbl>
    <w:p>
      <w:pPr>
        <w:spacing w:after="280" w:before="120"/>
        <w:jc w:val="center"/>
      </w:pPr>
      <w:r>
        <w:rPr>
          <w:rFonts w:ascii="微軟正黑體" w:cs="微軟正黑體" w:eastAsia="微軟正黑體" w:hAnsi="微軟正黑體"/>
          <w:i/>
          <w:iCs/>
          <w:color w:val="555555"/>
          <w:sz w:val="18"/>
          <w:szCs w:val="18"/>
        </w:rPr>
        <w:t xml:space="preserve">表25-B　三種權力移轉之操作化指標一覽</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三種權力移轉之核心命題在於「不必然依序發生」——一套AI系統可能對P1（資料與標籤定義）介入極深，卻對P3（法律效果之自動觸發）介入極淺，反之亦然。考生答題時應避免將P1、P2、P3誤解為必然按順序遞進之單一光譜，而應個別檢視每一權力類型之實際讓渡程度。</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P1-P2-P3操作化指標之貢獻在於，將原本抽象之「AI介入行政權力」論述，轉化為可測量、可稽核之具體證據，避免流於空泛之價值宣稱；惟其限制在於，若操作化指標僅計算表面數據而不追問實質意涵（如「人類覆寫率」若只計算表面覆寫次數，而不追問覆寫是否基於實質審查抑或形式簽核），反而可能製造「假精確」之錯覺，此一風險留待第四節深入闡述。</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P1-P2-P3操作化指標之具體治理工具（裁量日誌、權利影響評估、資料代表性檢核表、外部救濟管道地圖）及其在COMPAS、戶政等案例中之實際應用，留待第四節AI治理專節深入闡述。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人工智慧基本法》之風險分級與演算法登記簿制度設計，某種程度上正是P1-P2-P3操作化之立法實踐：高風險系統須完成權利影響評估（對應P3操作化指標），並公開登記其目的、資料與監督方式（對應理由鏈與民主課責審計），顯示此一方法論已逐步在我國法制中被具體化為可執行之行政作業程序。</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P1（情境建構權）核心問題：哪些資料被視為事實、哪些群體成為目標——操作化指標為問題可見性、標籤決定權、特徵選擇權。</w:t>
            </w:r>
          </w:p>
          <w:p>
            <w:pPr>
              <w:spacing w:after="80" w:line="320"/>
            </w:pPr>
            <w:r>
              <w:rPr>
                <w:rFonts w:ascii="微軟正黑體" w:cs="微軟正黑體" w:eastAsia="微軟正黑體" w:hAnsi="微軟正黑體"/>
                <w:sz w:val="21"/>
                <w:szCs w:val="21"/>
              </w:rPr>
              <w:t xml:space="preserve">•　P2（行政裁量權）核心問題：哪些選項被推薦排序或排除——操作化指標為建議接受率、人類覆寫率、覆寫理由書面化程度、裁量日誌完整性。</w:t>
            </w:r>
          </w:p>
          <w:p>
            <w:pPr>
              <w:spacing w:after="0" w:line="320"/>
            </w:pPr>
            <w:r>
              <w:rPr>
                <w:rFonts w:ascii="微軟正黑體" w:cs="微軟正黑體" w:eastAsia="微軟正黑體" w:hAnsi="微軟正黑體"/>
                <w:sz w:val="21"/>
                <w:szCs w:val="21"/>
              </w:rPr>
              <w:t xml:space="preserve">•　P3（公權力影響力）核心問題：技術輸出是否直接觸發法律與資源效果——操作化指標為自動執行程度、權利影響評估、外部救濟管道。</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P1-P2-P3口訣：P1管「資料誰說了算」（情境建構）、P2管「建議誰聽誰的」（行政裁量）、P3管「後果誰來承擔」（公權力影響）。</w:t>
            </w:r>
          </w:p>
          <w:p>
            <w:pPr>
              <w:spacing w:after="0" w:line="320"/>
            </w:pPr>
            <w:r>
              <w:rPr>
                <w:rFonts w:ascii="微軟正黑體" w:cs="微軟正黑體" w:eastAsia="微軟正黑體" w:hAnsi="微軟正黑體"/>
                <w:sz w:val="21"/>
                <w:szCs w:val="21"/>
              </w:rPr>
              <w:t xml:space="preserve">•　三種權力「不必然依序發生」——高P1不代表高P3，答題時務必個別檢視，不可假設三者呈線性遞增關係。</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建議接受率」與「人類覆寫率」不是同一件事的正反面簡單對照——建議接受率高，不必然代表AI建議品質佳，也可能代表人類僅形式簽核而未實質審查；須同時檢視「覆寫理由書面化程度」，才能判斷裁量權讓渡之實質程度。</w:t>
            </w:r>
          </w:p>
          <w:p>
            <w:pPr>
              <w:spacing w:after="0" w:line="320"/>
            </w:pPr>
            <w:r>
              <w:rPr>
                <w:rFonts w:ascii="微軟正黑體" w:cs="微軟正黑體" w:eastAsia="微軟正黑體" w:hAnsi="微軟正黑體"/>
                <w:sz w:val="21"/>
                <w:szCs w:val="21"/>
              </w:rPr>
              <w:t xml:space="preserve">•　P3之「自動執行程度」不等於「使用AI與否」——即使系統高度使用AI輔助分析，只要最終法律效果之觸發仍須人類決定核准，自動執行程度即非完全自動化，P3讓渡程度應個別評估，不可逕以「有無使用AI」作為判斷標準。</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第三節　三項結構效應與四鏈七審的整合</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結構效應是權力移轉後被觀察到的制度結果，不與三種權力移轉混為一談：權力移轉回答「透過什麼機制」，結構效應回答「造成什麼變化」。三項結構效應分別為跨格移動、邊界消解與權威重構。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跨格移動指AI由管理運作層的個案處理，向政策體系、制度分工、社會或國際單位擴張之現象——一套原本僅用於個人單位風險評分之工具，可能逐漸影響整個政策體系之資源分配邏輯；邊界消解指人的判斷、技術規則、組織程序與政策形成難以清楚區分之現象——當某項決策高度仰賴演算法分析，已很難清楚區分該項回應究竟是首長的價值判斷，抑或是演算法建議的直接轉述；權威重構指法定決定者與實際影響結果的模型、資料人員、供應商或系統整合者不再重合之現象——法律上具備決定權力者，其實質決定權卻落在演算法模型設計團隊手中，法定權威與實質權威因而分離。</w:t>
      </w:r>
    </w:p>
    <w:p>
      <w:pPr>
        <w:pStyle w:val="ListParagraph"/>
        <w:numPr>
          <w:ilvl w:val="0"/>
          <w:numId w:val="2"/>
        </w:numPr>
        <w:spacing w:after="120" w:line="340"/>
      </w:pPr>
      <w:r>
        <w:rPr>
          <w:rFonts w:ascii="微軟正黑體" w:cs="微軟正黑體" w:eastAsia="微軟正黑體" w:hAnsi="微軟正黑體"/>
          <w:sz w:val="22"/>
          <w:szCs w:val="22"/>
        </w:rPr>
        <w:t xml:space="preserve">四條治理鏈分別為：情境建構鏈（追問誰決定哪些資料、變項與問題被納入或排除）、權威鏈（追問決策正當性來自法律授權、行政裁量或演算法技術權威）、理由鏈（追問決策理由能否被追溯與說明）、責任鏈（追問錯誤或損害發生時責任歸屬何處）。情境建構鏈具邏輯上的前置地位，P1暴露愈高，該鏈愈需要接受民主檢視，但這不表示情境建構鏈可以取代後三鏈——一個系統即便資料來源完全透明，仍可能在權威、理由與責任層面存在缺陷。七項治理審計（資料代表性審計、理由說明審計、責任歸屬審計、隱私與資安審計、裁量邊界審計、組織能力審計、民主課責審計）用於查核四鏈各環節所需之證據，並非四鏈的替代品，也不與座標或權力移轉逐項對應計分——同一項審計經常同時服務於多條治理鏈。</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813"/>
        <w:gridCol w:w="3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結構效應</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典型軌跡舉例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跨格移動</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AI由管理運作層之個案處理，向政策體系、制度分工、社會或國際單位擴張</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個人單位之風險評分工具，逐漸影響整個政策領域之資源分配邏輯</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邊界消解</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人的判斷、技術規則、組織程序與政策形成難以清楚區分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危機溝通決策高度仰賴演算法輿情分析，難以區分首長判斷抑或演算法轉述</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權威重構</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法定決定者與實際影響結果之模型、資料人員或系統整合者不再重合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法律上具選案權力者為承辦人員，實質決定權卻落在模型設計團隊手中</w:t>
            </w:r>
          </w:p>
        </w:tc>
      </w:tr>
    </w:tbl>
    <w:p>
      <w:pPr>
        <w:spacing w:after="280" w:before="120"/>
        <w:jc w:val="center"/>
      </w:pPr>
      <w:r>
        <w:rPr>
          <w:rFonts w:ascii="微軟正黑體" w:cs="微軟正黑體" w:eastAsia="微軟正黑體" w:hAnsi="微軟正黑體"/>
          <w:i/>
          <w:iCs/>
          <w:color w:val="555555"/>
          <w:sz w:val="18"/>
          <w:szCs w:val="18"/>
        </w:rPr>
        <w:t xml:space="preserve">表25-C　三項結構效應之定義與典型軌跡</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813"/>
        <w:gridCol w:w="3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主要對應審計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其他相關審計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情境建構鏈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資料代表性審計、隱私與資安審計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責任歸屬審計、民主課責審計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組織能力審計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理由說明審計、裁量邊界審計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責任歸屬審計、組織能力審計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民主課責審計</w:t>
            </w:r>
          </w:p>
        </w:tc>
      </w:tr>
    </w:tbl>
    <w:p>
      <w:pPr>
        <w:spacing w:after="280" w:before="120"/>
        <w:jc w:val="center"/>
      </w:pPr>
      <w:r>
        <w:rPr>
          <w:rFonts w:ascii="微軟正黑體" w:cs="微軟正黑體" w:eastAsia="微軟正黑體" w:hAnsi="微軟正黑體"/>
          <w:i/>
          <w:iCs/>
          <w:color w:val="555555"/>
          <w:sz w:val="18"/>
          <w:szCs w:val="18"/>
        </w:rPr>
        <w:t xml:space="preserve">表25-D　四條治理鏈與七項治理審計對照矩陣</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三項結構效應與四鏈七審整合之貢獻在於，將原本可能停留於個案觀察之現象（如「這套系統好像影響變大了」），轉化為可被系統性追蹤之分析類別；惟其限制在於，結構效應之發生時點往往難以事先精確預測，尤其技術快速演進之AI系統，跨格移動之速度可能遠超過制度回應之速度，此一時間落差本身即是AI治理之核心挑戰。</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三項結構效應與四鏈七審如何進一步轉化為具體之治理工具箱，並回應「假精確」等操作化本身帶來之新治理挑戰，留待第四節AI治理專節深入闡述。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近年AI治理討論中，常見對單一機關「只涉及個資保護、不涉及政策形成」之切割式論述，此一論述若未正視跨格移動之動態特性，恐使原本已跨格移動至政策形成層次之系統，仍被侷限於單一權責機關之個資保護視角監督，形成監督真空。</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「權力移轉回答『透過什麼機制』，結構效應回答『造成什麼變化』」——此一區辨是本節最核心之概念辨析考點。</w:t>
            </w:r>
          </w:p>
          <w:p>
            <w:pPr>
              <w:spacing w:after="80" w:line="320"/>
            </w:pPr>
            <w:r>
              <w:rPr>
                <w:rFonts w:ascii="微軟正黑體" w:cs="微軟正黑體" w:eastAsia="微軟正黑體" w:hAnsi="微軟正黑體"/>
                <w:sz w:val="21"/>
                <w:szCs w:val="21"/>
              </w:rPr>
              <w:t xml:space="preserve">•　三項結構效應（跨格移動╱邊界消解╱權威重構）之定義區辨，以及各自之典型發生軌跡。</w:t>
            </w:r>
          </w:p>
          <w:p>
            <w:pPr>
              <w:spacing w:after="0" w:line="320"/>
            </w:pPr>
            <w:r>
              <w:rPr>
                <w:rFonts w:ascii="微軟正黑體" w:cs="微軟正黑體" w:eastAsia="微軟正黑體" w:hAnsi="微軟正黑體"/>
                <w:sz w:val="21"/>
                <w:szCs w:val="21"/>
              </w:rPr>
              <w:t xml:space="preserve">•　四條治理鏈（情境建構╱權威╱理由╱責任）與七項治理審計之對照關係，以及「同一審計可服務多條治理鏈、不逐項對應計分」之設計原則。</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三項結構效應口訣：跨格移動（管得更廣）、邊界消解（分不清楚是誰決定的）、權威重構（管的人跟決定的人不是同一個）。</w:t>
            </w:r>
          </w:p>
          <w:p>
            <w:pPr>
              <w:spacing w:after="0" w:line="320"/>
            </w:pPr>
            <w:r>
              <w:rPr>
                <w:rFonts w:ascii="微軟正黑體" w:cs="微軟正黑體" w:eastAsia="微軟正黑體" w:hAnsi="微軟正黑體"/>
                <w:sz w:val="21"/>
                <w:szCs w:val="21"/>
              </w:rPr>
              <w:t xml:space="preserve">•　情境建構鏈「前置但不獨大」——資料透明只是第一步，權威、理由、責任三鏈缺一不可。</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邊界消解」與「權威重構」常被混淆——邊界消解指判斷、規則、程序、政策「四者本身」難以區分（是模糊化），權威重構則指「法定決定者」與「實際影響者」兩個主體不再重合（是替代化），前者是類別界線模糊，後者是權力主體位移，二者現象不同、成因亦不同。</w:t>
            </w:r>
          </w:p>
          <w:p>
            <w:pPr>
              <w:spacing w:after="0" w:line="320"/>
            </w:pPr>
            <w:r>
              <w:rPr>
                <w:rFonts w:ascii="微軟正黑體" w:cs="微軟正黑體" w:eastAsia="微軟正黑體" w:hAnsi="微軟正黑體"/>
                <w:sz w:val="21"/>
                <w:szCs w:val="21"/>
              </w:rPr>
              <w:t xml:space="preserve">•　四鏈七審「不逐項對應計分」——同一項審計（如資料代表性審計）可能同時服務情境建構鏈與理由鏈，不宜machine式地認定「一鏈只對應一審」，此為容易失分之誤解。</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第四節　AI治理專節：指標化的治理挑戰與工具箱</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將P1-P2-P3與四鏈七審轉化為具體指標，本身也帶來新的治理挑戰。其一，操作化可能製造「假精確」（False Precision）之錯覺——例如「人類覆寫率」若只計算表面覆寫次數，而不追問覆寫是否基於實質審查抑或形式簽核，反而會掩蓋P2的真實讓渡程度，讓一份看似嚴謹的數據報告成為卸責的工具；其二，25座標若被誤用為計分工具，可能被治理者用來規避責任，例如宣稱「我們的系統只介入P1，不涉及P3」而規避外部監督，卻忽略跨格移動使今日的P1可能就是明日的P3。</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理論回應方面，操作化指標須搭配質性審查而非僅量化計分：每項指標皆應搭配「證據來源」與「覆核頻率」欄位，形成動態而非一次性的稽核紀錄，避免指標一經填報便束之高閣。此外，25座標的跨格移動特性要求稽核機制本身也須具備跨機關協調能力，而非固守單一權責機關視角——一個原本只涉及個人單位資料保護的系統，若已跨格移動至社會單位之政策形成層次，原本的個資保護稽核機關便不再足以獨自承擔監督責任。</w:t>
      </w:r>
    </w:p>
    <w:p>
      <w:pPr>
        <w:pStyle w:val="ListParagraph"/>
        <w:numPr>
          <w:ilvl w:val="0"/>
          <w:numId w:val="2"/>
        </w:numPr>
        <w:spacing w:after="120" w:line="340"/>
      </w:pPr>
      <w:r>
        <w:rPr>
          <w:rFonts w:ascii="微軟正黑體" w:cs="微軟正黑體" w:eastAsia="微軟正黑體" w:hAnsi="微軟正黑體"/>
          <w:sz w:val="22"/>
          <w:szCs w:val="22"/>
        </w:rPr>
        <w:t xml:space="preserve">P1-P2-P3操作化治理工具箱包含四項核心工具：裁量日誌（Discretion Log，記錄每次人類覆寫AI建議之理由與依據，對應P2行政裁量權與理由鏈）、權利影響評估（Rights Impact Assessment，導入自動化系統前評估對人民權利之衝擊程度，對應P3公權力影響力與責任鏈）、資料代表性檢核表（檢視訓練資料是否涵蓋所有受影響群體，對應P1情境建構權與情境建構鏈）、外部救濟管道地圖（盤點受影響民眾可用的申訴、訴願、訴訟途徑，對應P3公權力影響力與責任鏈）。</w:t>
      </w:r>
    </w:p>
    <w:p>
      <w:pPr>
        <w:spacing w:after="140" w:before="260"/>
      </w:pPr>
      <w:r>
        <w:rPr>
          <w:rFonts w:ascii="微軟正黑體" w:cs="微軟正黑體" w:eastAsia="微軟正黑體" w:hAnsi="微軟正黑體"/>
          <w:b/>
          <w:bCs/>
          <w:color w:val="2E5C8A"/>
          <w:sz w:val="23"/>
          <w:szCs w:val="23"/>
        </w:rPr>
        <w:t xml:space="preserve">三、主要學者與工具</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413"/>
        <w:gridCol w:w="3213"/>
      </w:tblGrid>
      <w:tr>
        <w:trPr>
          <w:tblHeader/>
        </w:trPr>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功能</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適用權力類型或治理鏈</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裁量日誌</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記錄每次人類覆寫AI建議之理由與依據</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P2行政裁量權、理由鏈</w:t>
            </w:r>
          </w:p>
        </w:tc>
      </w:tr>
      <w:tr>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權利影響評估</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導入自動化系統前評估對人民權利之衝擊程度</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P3公權力影響力、責任鏈</w:t>
            </w:r>
          </w:p>
        </w:tc>
      </w:tr>
      <w:tr>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資料代表性檢核表</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檢視訓練資料是否涵蓋所有受影響群體</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P1情境建構權、情境建構鏈</w:t>
            </w:r>
          </w:p>
        </w:tc>
      </w:tr>
      <w:tr>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外部救濟管道地圖</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盤點受影響民眾可用的申訴、訴願、訴訟途徑</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P3公權力影響力、責任鏈</w:t>
            </w:r>
          </w:p>
        </w:tc>
      </w:tr>
    </w:tbl>
    <w:p>
      <w:pPr>
        <w:spacing w:after="280" w:before="120"/>
        <w:jc w:val="center"/>
      </w:pPr>
      <w:r>
        <w:rPr>
          <w:rFonts w:ascii="微軟正黑體" w:cs="微軟正黑體" w:eastAsia="微軟正黑體" w:hAnsi="微軟正黑體"/>
          <w:i/>
          <w:iCs/>
          <w:color w:val="555555"/>
          <w:sz w:val="18"/>
          <w:szCs w:val="18"/>
        </w:rPr>
        <w:t xml:space="preserve">表25-E　P1-P2-P3操作化治理工具箱</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美國COMPAS累犯風險評估工具是演算法課責文獻中最常被引用之教材：其訓練資料以歷史逮捕與再犯紀錄為標籤，而歷史逮捕率本身即反映警政資源分配不均（P1情境建構之偏誤）；2016年ProPublica調查發現黑人被告偽陽性率約為白人被告兩倍，法官覆寫此建議之比例與覆寫理由書面化程度，是判斷裁量權是否實質保留於法官手中之關鍵（P2行政裁量）；同年State v. Loomis案判決允許COMPAS作為量刑參考因素之一但不得作為唯一依據，然演算法邏輯因受商業機密保護而未完全公開，外部救濟管道因而受限（P3公權力影響力）。COMPAS案例完整示範了P1-P2-P3三種權力移轉如何在單一系統中同時發生且程度不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事件內容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P1-P2-P3操作化分析</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訓練資料以歷史逮捕與再犯紀錄為標籤，歷史逮捕率本身反映警政資源分配不均</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標籤決定權集中於開發商，特徵選擇權未受外部審查</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P2行政裁量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ProPublica調查發現黑人被告偽陽性率約為白人被告兩倍</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人類覆寫率與覆寫理由書面化程度，是判斷裁量權是否實質保留之關鍵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P3公權力影響力</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State v. Loomis判決允許COMPAS作為量刑參考因素之一，但不得作為唯一依據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自動執行程度未達完全自動化，惟外部救濟管道因商業機密保護而受限</w:t>
            </w:r>
          </w:p>
        </w:tc>
      </w:tr>
    </w:tbl>
    <w:p>
      <w:pPr>
        <w:spacing w:after="280" w:before="120"/>
        <w:jc w:val="center"/>
      </w:pPr>
      <w:r>
        <w:rPr>
          <w:rFonts w:ascii="微軟正黑體" w:cs="微軟正黑體" w:eastAsia="微軟正黑體" w:hAnsi="微軟正黑體"/>
          <w:i/>
          <w:iCs/>
          <w:color w:val="555555"/>
          <w:sz w:val="18"/>
          <w:szCs w:val="18"/>
        </w:rPr>
        <w:t xml:space="preserve">表25-F　COMPAS案例之P1-P2-P3操作化分析</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台灣案例上，《人工智慧基本法》（2025年三讀通過）之風險分級與演算法登記簿制度設計，某種程度上正是25座標操作化的立法實踐；惟本章方法論本身亦有自我限制——它擅長定位「AI介入了哪裡」，卻不擅長回答「這樣的介入是否正當」，正當性判斷仍須回到第一層哲學與價值層次之規範性討論，工具愈精密，使用者愈需要謙遜。</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本章之四鏈七審應用，即為表25-D之對照矩陣本身——本章的特殊之處在於，四鏈七審在此不是應用於某一具體治理議題，而是應用於「如何應用四鏈七審」這件事本身，讀者可將表25-D與表25-E結合，形成一份通用之AI治理稽核底稿，供任何真實案例套用。</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內政部戶政司公開營運「國民身分證真偽辨識」與「國民身分證快速辨識」等資料查驗服務，可作為P1-P2-P3操作化練習之公開情境示範：身分證換發之人像比對，以何種資料庫作為比對基準，何種臉部特徵差異會被標記為「疑似不符」（P1）；承辦人員面對「疑似不符」標記時，是否有充分資訊與時間進行實質審查（P2）；若比對不通過，民眾申請是否即受影響、是否有即時申訴或人工複核管道（P3）——此一練習之重點在於訓練「如何提問」，而非斷言特定機關之內部技術細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「假精確」（False Precision）之定義：指標量化過程中，因忽略質性脈絡而產生的虛假客觀感，為AI治理指標化最核心之風險概念。</w:t>
            </w:r>
          </w:p>
          <w:p>
            <w:pPr>
              <w:spacing w:after="80" w:line="320"/>
            </w:pPr>
            <w:r>
              <w:rPr>
                <w:rFonts w:ascii="微軟正黑體" w:cs="微軟正黑體" w:eastAsia="微軟正黑體" w:hAnsi="微軟正黑體"/>
                <w:sz w:val="21"/>
                <w:szCs w:val="21"/>
              </w:rPr>
              <w:t xml:space="preserve">•　P1-P2-P3操作化治理工具箱四項工具（裁量日誌╱權利影響評估╱資料代表性檢核表╱外部救濟管道地圖）與其對應之權力類型及治理鏈。</w:t>
            </w:r>
          </w:p>
          <w:p>
            <w:pPr>
              <w:spacing w:after="0" w:line="320"/>
            </w:pPr>
            <w:r>
              <w:rPr>
                <w:rFonts w:ascii="微軟正黑體" w:cs="微軟正黑體" w:eastAsia="微軟正黑體" w:hAnsi="微軟正黑體"/>
                <w:sz w:val="21"/>
                <w:szCs w:val="21"/>
              </w:rPr>
              <w:t xml:space="preserve">•　COMPAS案例與State v. Loomis判決之法律意涵：允許演算法作為參考因素之一但不得作為唯一依據，並須告知被告演算法之限制與不確定性。</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假精確口訣：數字看起來很精確，不代表判斷真的精確——覆寫率再漂亮，沒有搭配「是否實質審查」照樣是假精確。</w:t>
            </w:r>
          </w:p>
          <w:p>
            <w:pPr>
              <w:spacing w:after="0" w:line="320"/>
            </w:pPr>
            <w:r>
              <w:rPr>
                <w:rFonts w:ascii="微軟正黑體" w:cs="微軟正黑體" w:eastAsia="微軟正黑體" w:hAnsi="微軟正黑體"/>
                <w:sz w:val="21"/>
                <w:szCs w:val="21"/>
              </w:rPr>
              <w:t xml:space="preserve">•　四項工具口訣：裁量日誌記P2、權利影響評估管P3、資料代表性檢核表顧P1、外部救濟管道地圖也是P3的最後一道防線。</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假精確」不是「數據造假」——假精確指的是數據本身可能真實無誤（如覆寫次數確實如實記錄），但因未搭配質性脈絡（覆寫是否為實質審查），使這份「真實的數據」產生虛假的客觀可信感，這是操作化過程本身的系統性風險，不是個案舞弊問題。</w:t>
            </w:r>
          </w:p>
          <w:p>
            <w:pPr>
              <w:spacing w:after="0" w:line="320"/>
            </w:pPr>
            <w:r>
              <w:rPr>
                <w:rFonts w:ascii="微軟正黑體" w:cs="微軟正黑體" w:eastAsia="微軟正黑體" w:hAnsi="微軟正黑體"/>
                <w:sz w:val="21"/>
                <w:szCs w:val="21"/>
              </w:rPr>
              <w:t xml:space="preserve">•　「COMPAS案例」與「State v. Loomis判決」不宜混為一談——COMPAS是演算法工具本身，State v. Loomis是威斯康辛州最高法院對其使用方式所作之司法判決（允許參考但不得作為唯一依據），二者一為技術客體、一為法律規範，答題時應分別交代。</w:t>
            </w:r>
          </w:p>
        </w:tc>
      </w:tr>
    </w:tbl>
    <w:p>
      <w:pPr>
        <w:spacing w:after="28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之內容為本書自身之分析架構方法論（25座標、三種權力移轉、三項結構效應、四鏈七審），並非考選部歷屆試題常見之標準行政學考點分類，本語料庫（107-111年）中查無與此一自創方法論框架直接對應之申論真題。爰依全書體例，三題全數採模擬命題設計，並於各題【考題出處】明確標示，避免與真實歷屆試題混淆。三題之設計原則為：以本章方法論框架為答題工具，扣合近年國考日益增加之AI治理綜合分析題型趨勢，訓練讀者將抽象架構轉化為具體案例分析與稽核機制設計之能力。依全書格式定版說明，題目一（A級）提供基本得分版、標準版、高分版三種完整答案；題目二（B級）與題目三（C級）改為標準版參考答案＋【高分加分點】。</w:t>
      </w:r>
    </w:p>
    <w:p>
      <w:pPr>
        <w:spacing w:after="160"/>
      </w:pP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一、二節母體教材「25座標之座標邏輯」及「三種行政權力的功能性移轉」自行設計之模擬命題。本語料庫（107-111年）中，本章方法論框架（25座標、P1-P2-P3操作化指標）為本書自創之分析工具，非考選部歷屆試題之標準考點分類，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近年我國多項行政審查作業導入AI輔助工具（如社會福利給付初步篩選、戶政資料比對等），學者主張應以系統性方法分析AI對行政權力運作之影響。請說明用以定位AI介入公共行政之分析架構的設計原理，並說明AI導入行政審查系統後，可能發生哪三種行政權力的功能性移轉？請各舉一例說明。（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架構原理說明＋權力移轉類型舉例題」，考生須依序完成：說明定位AI介入公共行政之分析架構設計原理、說明三種行政權力功能性移轉之內涵、各舉一例說明——若僅背誦架構名稱而未能說明設計原理，或未能各舉具體例子說明三種權力移轉，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五分析層次×五分析單位定位系統 ＋ 三種權力移轉（P1情境建構╱P2行政裁量╱P3公權力影響力）＋ 具體舉例。</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一、前言：AI進入行政審查，改變的不只是效率，更是權力的位置</w:t>
      </w:r>
    </w:p>
    <w:p>
      <w:pPr>
        <w:pStyle w:val="ListParagraph"/>
        <w:numPr>
          <w:ilvl w:val="0"/>
          <w:numId w:val="2"/>
        </w:numPr>
        <w:spacing w:after="120" w:line="340"/>
      </w:pPr>
      <w:r>
        <w:rPr>
          <w:rFonts w:ascii="微軟正黑體" w:cs="微軟正黑體" w:eastAsia="微軟正黑體" w:hAnsi="微軟正黑體"/>
          <w:sz w:val="22"/>
          <w:szCs w:val="22"/>
        </w:rPr>
        <w:t xml:space="preserve">二、定位AI介入公共行政之分析架構設計原理</w:t>
      </w:r>
    </w:p>
    <w:p>
      <w:pPr>
        <w:pStyle w:val="ListParagraph"/>
        <w:numPr>
          <w:ilvl w:val="0"/>
          <w:numId w:val="2"/>
        </w:numPr>
        <w:spacing w:after="120" w:line="340"/>
      </w:pPr>
      <w:r>
        <w:rPr>
          <w:rFonts w:ascii="微軟正黑體" w:cs="微軟正黑體" w:eastAsia="微軟正黑體" w:hAnsi="微軟正黑體"/>
          <w:sz w:val="22"/>
          <w:szCs w:val="22"/>
        </w:rPr>
        <w:t xml:space="preserve">三、AI導入行政審查系統後可能發生之三種行政權力功能性移轉</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分析AI對公共行政之影響，可運用「五分析層次×五分析單位」之座標架構作為定位系統：層次軸由抽象到具體，涵蓋哲學價值、制度分工、政策體系、組織設計、管理運作；單位軸標示影響範圍，涵蓋個人、團體、組織、社會、國際。此一架構之設計原理在於「定位而非計分」——它回答AI介入公共行政之具體格位，而非直接產生風險分數，用以提供跨領域共同語言。</w:t>
      </w:r>
    </w:p>
    <w:p>
      <w:pPr>
        <w:spacing w:after="200" w:line="360"/>
        <w:ind w:firstLine="431"/>
        <w:jc w:val="both"/>
      </w:pPr>
      <w:r>
        <w:rPr>
          <w:rFonts w:ascii="微軟正黑體" w:cs="微軟正黑體" w:eastAsia="微軟正黑體" w:hAnsi="微軟正黑體"/>
          <w:sz w:val="22"/>
          <w:szCs w:val="22"/>
        </w:rPr>
        <w:t xml:space="preserve">在此架構下，AI導入行政審查系統後，可能發生三種行政權力之功能性移轉：其一，情境建構權移轉，指哪些資料被視為事實、哪些群體成為審查目標之權力，例如社福給付篩選系統決定何種家戶特徵構成「疑似不符資格」之標籤；其二，行政裁量權移轉，指哪些選項被推薦或排除之權力，例如承辦人員是否僅形式簽核AI之篩選建議而未實質審查；其三，公權力影響力移轉，指技術輸出是否直接觸發法律與資源效果，例如AI篩選結果是否無須人工複核即直接影響給付核發。</w:t>
      </w:r>
    </w:p>
    <w:p>
      <w:pPr>
        <w:spacing w:after="200" w:line="360"/>
        <w:ind w:firstLine="431"/>
        <w:jc w:val="both"/>
      </w:pPr>
      <w:r>
        <w:rPr>
          <w:rFonts w:ascii="微軟正黑體" w:cs="微軟正黑體" w:eastAsia="微軟正黑體" w:hAnsi="微軟正黑體"/>
          <w:sz w:val="22"/>
          <w:szCs w:val="22"/>
        </w:rPr>
        <w:t xml:space="preserve">三種權力移轉不必然依序發生，同一系統可能對情境建構權介入極深，卻對公權力影響力介入極淺，分析任何AI治理案例，應個別檢視三種權力現在在誰手上。</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當AI開始幫忙篩選誰符合社會福利資格、幫忙比對身分證上的臉孔是否本人，改變的不只是行政效率，更悄悄地，把一部分原本屬於承辦人員的判斷權，轉移到了資料與演算法手中。</w:t>
      </w:r>
    </w:p>
    <w:p>
      <w:pPr>
        <w:spacing w:after="200" w:line="360"/>
        <w:ind w:firstLine="431"/>
        <w:jc w:val="both"/>
      </w:pPr>
      <w:r>
        <w:rPr>
          <w:rFonts w:ascii="微軟正黑體" w:cs="微軟正黑體" w:eastAsia="微軟正黑體" w:hAnsi="微軟正黑體"/>
          <w:sz w:val="22"/>
          <w:szCs w:val="22"/>
        </w:rPr>
        <w:t xml:space="preserve">二、定位AI介入公共行政之分析架構設計原理</w:t>
      </w:r>
    </w:p>
    <w:p>
      <w:pPr>
        <w:spacing w:after="200" w:line="360"/>
        <w:ind w:firstLine="431"/>
        <w:jc w:val="both"/>
      </w:pPr>
      <w:r>
        <w:rPr>
          <w:rFonts w:ascii="微軟正黑體" w:cs="微軟正黑體" w:eastAsia="微軟正黑體" w:hAnsi="微軟正黑體"/>
          <w:sz w:val="22"/>
          <w:szCs w:val="22"/>
        </w:rPr>
        <w:t xml:space="preserve">分析AI對公共行政權力運作之影響，可運用「五分析層次×五分析單位」交織而成之座標架構。層次軸由抽象到具體排列：第一層哲學與價值回答「為何而治理」，第二層制度分工回答「由誰治理」，第三層政策體系回答「用什麼工具治理」，第四層組織設計回答「與誰一起治理」，第五層管理運作回答「如何在日常中治理」；單位軸標示治理影響範圍：個人、團體、組織、社會、國際。此一架構之設計遵循三項原則：其一為定位而非計分，架構用以標定AI介入公共行政之起始格位與延伸格位，本身不計分、亦不直接構成風險分數，它回答「AI在哪裡」而非「AI有多危險」；其二為共同語言，取代各領域各自不一致之分類方式；其三為動態而非靜態，同一治理議題可能隨AI技術演進在格位間移動。</w:t>
      </w:r>
    </w:p>
    <w:p>
      <w:pPr>
        <w:spacing w:after="200" w:line="360"/>
        <w:ind w:firstLine="431"/>
        <w:jc w:val="both"/>
      </w:pPr>
      <w:r>
        <w:rPr>
          <w:rFonts w:ascii="微軟正黑體" w:cs="微軟正黑體" w:eastAsia="微軟正黑體" w:hAnsi="微軟正黑體"/>
          <w:sz w:val="22"/>
          <w:szCs w:val="22"/>
        </w:rPr>
        <w:t xml:space="preserve">三、AI導入行政審查系統後可能發生之三種行政權力功能性移轉</w:t>
      </w:r>
    </w:p>
    <w:p>
      <w:pPr>
        <w:spacing w:after="200" w:line="360"/>
        <w:ind w:firstLine="431"/>
        <w:jc w:val="both"/>
      </w:pPr>
      <w:r>
        <w:rPr>
          <w:rFonts w:ascii="微軟正黑體" w:cs="微軟正黑體" w:eastAsia="微軟正黑體" w:hAnsi="微軟正黑體"/>
          <w:sz w:val="22"/>
          <w:szCs w:val="22"/>
        </w:rPr>
        <w:t xml:space="preserve">其一，情境建構與事實認定權移轉，指哪些資料被視為事實、哪些群體成為目標、哪些分類與閾值構成後續判斷起點之權力移轉，操作化指標包括問題可見性（多少潛在需求被資料化）、標籤決定權（誰決定「疑似不符」等標籤之定義）、特徵選擇權（哪些變項被納入模型）；以社福給付篩選系統為例，若系統以特定家戶收支型態作為「疑似不符資格」之判準，此一標籤定義權實質上掌握在系統設計者手中，而非受影響之申請人。其二，行政裁量與價值判斷權移轉，指哪些選項被推薦、排序或排除之權力移轉，操作化指標包括建議接受率、人類覆寫率、覆寫理由書面化程度、裁量日誌完整性；以戶政人臉比對為例，當比對結果標記「疑似不符」，承辦人員若僅是形式簽核系統建議而未實質審查，行政裁量權即已實質讓渡予演算法。其三，公權力決定之實質影響力移轉，指技術輸出是否直接或近似直接觸發給付、調查、裁罰、債務或其他法律與資源效果之權力移轉，操作化指標包括自動執行程度、人民權利影響評估是否完成、是否有外部救濟管道；以社福給付篩選系統為例，若AI篩選結果無須人工複核即直接影響給付核發與否，公權力影響力之讓渡程度即屬極高，此時是否有暢通之申訴管道，便成為維繫正當程序之關鍵防線。</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三種行政權力之功能性移轉，不必然依序發生，同一AI系統可能對情境建構權介入極深，卻對公權力影響力介入極淺；唯有運用五分析層次與五分析單位之定位架構，並個別檢視三種權力移轉之操作化指標，方能精確掌握AI究竟拿走了公共行政的哪一部分權力，而非籠統地宣稱「AI取代了人的判斷」。</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補充理論根源視角：可援引此一分析架構源於全鍾燮（Jun, 1986）之水平五分析單位與盧建旭（1995）之垂直五分析層次，並經當代整合更新以呼應AI治理之跨國性質，展現對理論脈絡之掌握。</w:t>
      </w:r>
    </w:p>
    <w:p>
      <w:pPr>
        <w:pStyle w:val="ListParagraph"/>
        <w:numPr>
          <w:ilvl w:val="0"/>
          <w:numId w:val="2"/>
        </w:numPr>
        <w:spacing w:after="120" w:line="340"/>
      </w:pPr>
      <w:r>
        <w:rPr>
          <w:rFonts w:ascii="微軟正黑體" w:cs="微軟正黑體" w:eastAsia="微軟正黑體" w:hAnsi="微軟正黑體"/>
          <w:sz w:val="22"/>
          <w:szCs w:val="22"/>
        </w:rPr>
        <w:t xml:space="preserve">補充結構效應延伸視角：可延伸說明，三種權力移轉發生後，往往伴隨結構效應（跨格移動、邊界消解、權威重構）——例如社福給付篩選系統原僅個人單位之風險評分工具，可能逐漸影響整個社福政策體系之資源分配邏輯，此為權力移轉後之結構性後果，深化論述之理論厚度。</w:t>
      </w:r>
    </w:p>
    <w:p>
      <w:pPr>
        <w:pStyle w:val="ListParagraph"/>
        <w:numPr>
          <w:ilvl w:val="0"/>
          <w:numId w:val="2"/>
        </w:numPr>
        <w:spacing w:after="120" w:line="340"/>
      </w:pPr>
      <w:r>
        <w:rPr>
          <w:rFonts w:ascii="微軟正黑體" w:cs="微軟正黑體" w:eastAsia="微軟正黑體" w:hAnsi="微軟正黑體"/>
          <w:sz w:val="22"/>
          <w:szCs w:val="22"/>
        </w:rPr>
        <w:t xml:space="preserve">補充COMPAS案例比較視角：可援引美國COMPAS累犯風險評估工具案例，說明其訓練資料以歷史逮捕紀錄為標籤（P1情境建構之偏誤源頭），法官覆寫比例與書面化程度是判斷P2裁量權讓渡程度之關鍵，而State v. Loomis判決則體現P3外部救濟管道因商業機密保護而受限之治理挑戰，佐證三種權力移轉之操作化分析具跨國普遍適用性。</w:t>
      </w:r>
    </w:p>
    <w:p>
      <w:pPr>
        <w:pStyle w:val="ListParagraph"/>
        <w:numPr>
          <w:ilvl w:val="0"/>
          <w:numId w:val="2"/>
        </w:numPr>
        <w:spacing w:after="120" w:line="340"/>
      </w:pPr>
      <w:r>
        <w:rPr>
          <w:rFonts w:ascii="微軟正黑體" w:cs="微軟正黑體" w:eastAsia="微軟正黑體" w:hAnsi="微軟正黑體"/>
          <w:sz w:val="22"/>
          <w:szCs w:val="22"/>
        </w:rPr>
        <w:t xml:space="preserve">補充臺灣實務視角：可援引《人工智慧基本法》之風險分級與演算法登記簿制度設計，說明高風險系統須完成權利影響評估（回應P3）並公開登記其目的與監督方式（回應理由鏈與民主課責審計），顯示此一方法論已在我國法制中被具體化為可執行之行政作業程序。</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須完整說明定位架構之兩軸構成（五分析層次×五分析單位）與其「定位而非計分」之核心設計原理，不可僅列舉層次或單位名稱而無說明其邏輯。</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須完整說明三種權力移轉（情境建構權、行政裁量權、公權力影響力）之定義與操作化指標，並各舉具體行政審查情境之例子，不可僅抽象陳述而無案例對應。</w:t>
      </w:r>
    </w:p>
    <w:p>
      <w:pPr>
        <w:pStyle w:val="ListParagraph"/>
        <w:numPr>
          <w:ilvl w:val="0"/>
          <w:numId w:val="2"/>
        </w:numPr>
        <w:spacing w:after="120" w:line="340"/>
      </w:pPr>
      <w:r>
        <w:rPr>
          <w:rFonts w:ascii="微軟正黑體" w:cs="微軟正黑體" w:eastAsia="微軟正黑體" w:hAnsi="微軟正黑體"/>
          <w:sz w:val="22"/>
          <w:szCs w:val="22"/>
        </w:rPr>
        <w:t xml:space="preserve">宜點出三種權力移轉「不必然依序發生」之核心命題，展現對此一方法論架構之精確掌握而非機械式背誦。</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僅背誦「五層次五單位」名稱，未能說明「定位而非計分」之核心設計原理。</w:t>
      </w:r>
    </w:p>
    <w:p>
      <w:pPr>
        <w:pStyle w:val="ListParagraph"/>
        <w:numPr>
          <w:ilvl w:val="0"/>
          <w:numId w:val="2"/>
        </w:numPr>
        <w:spacing w:after="120" w:line="340"/>
      </w:pPr>
      <w:r>
        <w:rPr>
          <w:rFonts w:ascii="微軟正黑體" w:cs="微軟正黑體" w:eastAsia="微軟正黑體" w:hAnsi="微軟正黑體"/>
          <w:sz w:val="22"/>
          <w:szCs w:val="22"/>
        </w:rPr>
        <w:t xml:space="preserve">❌ 三種權力移轉之說明流於抽象定義，未能結合具體行政審查情境舉例說明。</w:t>
      </w:r>
    </w:p>
    <w:p>
      <w:pPr>
        <w:pStyle w:val="ListParagraph"/>
        <w:numPr>
          <w:ilvl w:val="0"/>
          <w:numId w:val="2"/>
        </w:numPr>
        <w:spacing w:after="120" w:line="340"/>
      </w:pPr>
      <w:r>
        <w:rPr>
          <w:rFonts w:ascii="微軟正黑體" w:cs="微軟正黑體" w:eastAsia="微軟正黑體" w:hAnsi="微軟正黑體"/>
          <w:sz w:val="22"/>
          <w:szCs w:val="22"/>
        </w:rPr>
        <w:t xml:space="preserve">❌ 誤將三種權力移轉理解為必然依序遞進之單一光譜，未能掌握「不必然依序發生」之核心命題。</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三節母體教材「三項結構效應：移轉之後發生了什麼」自行設計之模擬命題。本語料庫（107-111年）中，本章方法論框架為本書自創之分析工具，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有學者指出，分析AI對公共行政權力運作之影響，須區分『行政權力之功能性移轉』與『制度性結構效應』兩組概念，二者雖相關但不可混為一談。請說明二者之定義與差異，並各舉一例說明其因果關係。（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區辨＋因果關係舉例題」，考生須依序完成：說明權力移轉與結構效應之定義、分析二者之差異、各舉一例說明因果關係——若僅籠統稱「兩者都跟AI有關」而未具體說明因果先後順序，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權力移轉（透過什麼機制）＋ 結構效應（造成什麼變化）＋ 跨格移動╱邊界消解╱權威重構。</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一、前言：先問「權力去了哪裡」，再問「制度變成了什麼樣子」</w:t>
      </w:r>
    </w:p>
    <w:p>
      <w:pPr>
        <w:pStyle w:val="ListParagraph"/>
        <w:numPr>
          <w:ilvl w:val="0"/>
          <w:numId w:val="2"/>
        </w:numPr>
        <w:spacing w:after="120" w:line="340"/>
      </w:pPr>
      <w:r>
        <w:rPr>
          <w:rFonts w:ascii="微軟正黑體" w:cs="微軟正黑體" w:eastAsia="微軟正黑體" w:hAnsi="微軟正黑體"/>
          <w:sz w:val="22"/>
          <w:szCs w:val="22"/>
        </w:rPr>
        <w:t xml:space="preserve">二、行政權力功能性移轉與制度性結構效應之定義與差異</w:t>
      </w:r>
    </w:p>
    <w:p>
      <w:pPr>
        <w:pStyle w:val="ListParagraph"/>
        <w:numPr>
          <w:ilvl w:val="0"/>
          <w:numId w:val="2"/>
        </w:numPr>
        <w:spacing w:after="120" w:line="340"/>
      </w:pPr>
      <w:r>
        <w:rPr>
          <w:rFonts w:ascii="微軟正黑體" w:cs="微軟正黑體" w:eastAsia="微軟正黑體" w:hAnsi="微軟正黑體"/>
          <w:sz w:val="22"/>
          <w:szCs w:val="22"/>
        </w:rPr>
        <w:t xml:space="preserve">三、二者之因果關係舉例</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同樣一句「AI改變了政府的運作方式」，其實包含兩個層次的問題：一是「權力去了哪裡」，二是「制度因此變成了什麼樣子」——把這兩層問題分開問，才不會在分析AI治理案例時，把原因和結果混為一談。</w:t>
      </w:r>
    </w:p>
    <w:p>
      <w:pPr>
        <w:spacing w:after="200" w:line="360"/>
        <w:ind w:firstLine="431"/>
        <w:jc w:val="both"/>
      </w:pPr>
      <w:r>
        <w:rPr>
          <w:rFonts w:ascii="微軟正黑體" w:cs="微軟正黑體" w:eastAsia="微軟正黑體" w:hAnsi="微軟正黑體"/>
          <w:sz w:val="22"/>
          <w:szCs w:val="22"/>
        </w:rPr>
        <w:t xml:space="preserve">二、行政權力功能性移轉與制度性結構效應之定義與差異</w:t>
      </w:r>
    </w:p>
    <w:p>
      <w:pPr>
        <w:spacing w:after="200" w:line="360"/>
        <w:ind w:firstLine="431"/>
        <w:jc w:val="both"/>
      </w:pPr>
      <w:r>
        <w:rPr>
          <w:rFonts w:ascii="微軟正黑體" w:cs="微軟正黑體" w:eastAsia="微軟正黑體" w:hAnsi="微軟正黑體"/>
          <w:sz w:val="22"/>
          <w:szCs w:val="22"/>
        </w:rPr>
        <w:t xml:space="preserve">行政權力之功能性移轉，指AI導入後，情境建構權、行政裁量權、公權力影響力三種權力，實質上從原本之行政人員手中，部分移轉至資料、演算法或系統設計者手中之現象，其操作化指標聚焦於「機制」層次，如問題可見性、人類覆寫率、自動執行程度等，回答的是「透過什麼機制」發生了移轉。制度性結構效應，則指權力移轉發生後，在制度層面被觀察到之後果，包括跨格移動（AI由管理運作層之個案處理，向政策體系、制度分工、社會或國際單位擴張）、邊界消解（人的判斷、技術規則、組織程序與政策形成難以清楚區分）、權威重構（法定決定者與實際影響結果者不再重合），回答的是「造成什麼變化」。二者之根本差異在於：權力移轉是「因」，是可被操作化指標直接測量之機制性現象；結構效應是「果」，是權力移轉持續累積後，在制度層面顯現之整體性後果，兩者不應混為一談，也不宜將結構效應直接視為權力移轉之同義詞。</w:t>
      </w:r>
    </w:p>
    <w:p>
      <w:pPr>
        <w:spacing w:after="200" w:line="360"/>
        <w:ind w:firstLine="431"/>
        <w:jc w:val="both"/>
      </w:pPr>
      <w:r>
        <w:rPr>
          <w:rFonts w:ascii="微軟正黑體" w:cs="微軟正黑體" w:eastAsia="微軟正黑體" w:hAnsi="微軟正黑體"/>
          <w:sz w:val="22"/>
          <w:szCs w:val="22"/>
        </w:rPr>
        <w:t xml:space="preserve">三、二者之因果關係舉例</w:t>
      </w:r>
    </w:p>
    <w:p>
      <w:pPr>
        <w:spacing w:after="200" w:line="360"/>
        <w:ind w:firstLine="431"/>
        <w:jc w:val="both"/>
      </w:pPr>
      <w:r>
        <w:rPr>
          <w:rFonts w:ascii="微軟正黑體" w:cs="微軟正黑體" w:eastAsia="微軟正黑體" w:hAnsi="微軟正黑體"/>
          <w:sz w:val="22"/>
          <w:szCs w:val="22"/>
        </w:rPr>
        <w:t xml:space="preserve">以社會福利給付篩選系統為例：該系統最初僅涉及情境建構權移轉（P1）——AI決定何種家戶特徵構成「疑似不符資格」之標籤；隨著系統長期運作，其篩選結果逐漸被上級單位援引作為調整整體福利政策資源分配之依據，此時已由管理運作層之個案篩選，擴張至政策體系層次之資源配置邏輯，此即「跨格移動」之結構效應——情境建構權之移轉（因），導致了跨格移動之發生（果）。再以AI輔助危機輿情分析為例：當AI輿情儀表板被例行採納為首長對外發言之主要依據，行政裁量權（P2）已實質讓渡予演算法建議，長期而言，將使得「這是首長的價值判斷」抑或「這是演算法建議的轉述」愈來愈難以區分，此即「邊界消解」之結構效應——行政裁量權之移轉（因），導致了邊界消解之發生（果）。</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行政權力之功能性移轉與制度性結構效應，一為機制、一為後果，二者具有先後之因果關係而非同義互換關係。唯有將二者分開分析，方能精確診斷一套AI系統：究竟是哪一種權力先發生了移轉，又進一步導致了哪一種制度性後果，這正是完整分析AI治理案例不可或缺之兩層提問。</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須清楚說明權力移轉回答「透過什麼機制」、結構效應回答「造成什麼變化」之根本差異，不可將二者混為同義詞。</w:t>
      </w:r>
    </w:p>
    <w:p>
      <w:pPr>
        <w:pStyle w:val="ListParagraph"/>
        <w:numPr>
          <w:ilvl w:val="0"/>
          <w:numId w:val="2"/>
        </w:numPr>
        <w:spacing w:after="120" w:line="340"/>
      </w:pPr>
      <w:r>
        <w:rPr>
          <w:rFonts w:ascii="微軟正黑體" w:cs="微軟正黑體" w:eastAsia="微軟正黑體" w:hAnsi="微軟正黑體"/>
          <w:sz w:val="22"/>
          <w:szCs w:val="22"/>
        </w:rPr>
        <w:t xml:space="preserve">須各舉具體案例說明權力移轉如何導致結構效應之因果順序（先有權力移轉、後有結構效應），不可僅並列二者而未說明因果關係。</w:t>
      </w:r>
    </w:p>
    <w:p>
      <w:pPr>
        <w:pStyle w:val="ListParagraph"/>
        <w:numPr>
          <w:ilvl w:val="0"/>
          <w:numId w:val="2"/>
        </w:numPr>
        <w:spacing w:after="120" w:line="340"/>
      </w:pPr>
      <w:r>
        <w:rPr>
          <w:rFonts w:ascii="微軟正黑體" w:cs="微軟正黑體" w:eastAsia="微軟正黑體" w:hAnsi="微軟正黑體"/>
          <w:sz w:val="22"/>
          <w:szCs w:val="22"/>
        </w:rPr>
        <w:t xml:space="preserve">結構效應之舉例須具體對應跨格移動、邊界消解、權威重構三者之一，並清楚指出其對應之權力移轉類型。</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將行政權力功能性移轉與制度性結構效應視為同義詞，未能說明「機制」與「後果」之根本差異。</w:t>
      </w:r>
    </w:p>
    <w:p>
      <w:pPr>
        <w:pStyle w:val="ListParagraph"/>
        <w:numPr>
          <w:ilvl w:val="0"/>
          <w:numId w:val="2"/>
        </w:numPr>
        <w:spacing w:after="120" w:line="340"/>
      </w:pPr>
      <w:r>
        <w:rPr>
          <w:rFonts w:ascii="微軟正黑體" w:cs="微軟正黑體" w:eastAsia="微軟正黑體" w:hAnsi="微軟正黑體"/>
          <w:sz w:val="22"/>
          <w:szCs w:val="22"/>
        </w:rPr>
        <w:t xml:space="preserve">❌ 舉例未能清楚呈現因果先後順序，僅並列描述兩種現象而未說明何者為因、何者為果。</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說明三種結構效應（跨格移動、邊界消解、權威重構）彼此亦可能相互強化，例如跨格移動使治理議題涉及更多利害關係人，反而更容易發生權威重構（決策影響範圍擴大，卻無對應之課責機制擴張），展現結構效應間之動態關聯分析。</w:t>
      </w:r>
    </w:p>
    <w:p>
      <w:pPr>
        <w:pStyle w:val="ListParagraph"/>
        <w:numPr>
          <w:ilvl w:val="0"/>
          <w:numId w:val="2"/>
        </w:numPr>
        <w:spacing w:after="120" w:line="340"/>
      </w:pPr>
      <w:r>
        <w:rPr>
          <w:rFonts w:ascii="微軟正黑體" w:cs="微軟正黑體" w:eastAsia="微軟正黑體" w:hAnsi="微軟正黑體"/>
          <w:sz w:val="22"/>
          <w:szCs w:val="22"/>
        </w:rPr>
        <w:t xml:space="preserve">可援引情境建構鏈之「邏輯前置地位」概念，說明權力移轉（尤其P1）與結構效應之因果關係，正呼應四鏈七審中情境建構鏈需優先接受民主檢視之設計邏輯，惟不表示情境建構鏈透明化即可取代對其餘結構效應之監督。</w:t>
      </w:r>
    </w:p>
    <w:p>
      <w:pPr>
        <w:pStyle w:val="ListParagraph"/>
        <w:numPr>
          <w:ilvl w:val="0"/>
          <w:numId w:val="2"/>
        </w:numPr>
        <w:spacing w:after="120" w:line="340"/>
      </w:pPr>
      <w:r>
        <w:rPr>
          <w:rFonts w:ascii="微軟正黑體" w:cs="微軟正黑體" w:eastAsia="微軟正黑體" w:hAnsi="微軟正黑體"/>
          <w:sz w:val="22"/>
          <w:szCs w:val="22"/>
        </w:rPr>
        <w:t xml:space="preserve">可補充批判視角：說明實務上機關常僅監測「權力移轉」之操作化指標（如覆寫率），卻忽略持續追蹤「結構效應」是否已然發生，此一監督缺口正是本章方法論所欲彌補之治理落差。</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治理專節：指標化的治理挑戰與工具箱」及案例思考「戶政身分證換發人臉比對流程」自行設計之模擬命題，情境改寫為獨居長者關懷通報系統。本語料庫（107-111年）中，本章方法論框架為本書自創之分析工具，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地方政府擬導入AI輔助獨居長者關懷通報系統，運用居家用電異常偵測結合社福資料庫，自動生成『高風險獨居長者』名單並派案至社工進行訪視。請運用P1-P2-P3操作化指標，分析此系統可能發生之權力移轉情形，並設計一套涵蓋『四條治理鏈與七項治理審計』之可操作稽核表。（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案例分析＋稽核工具設計綜合題」，考生須依序完成：運用P1-P2-P3操作化指標分析此系統之權力移轉情形、運用四鏈七審框架設計可操作稽核表——若僅提出「要注意隱私保護」等籠統建議而未具體對應P1-P2-P3與四鏈七審框架，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P1-P2-P3操作化指標分析 ＋ 假精確風險 ＋ 四鏈七審可操作稽核表設計。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一、前言：一份自動生成的「高風險名單」，背後藏著誰的判斷</w:t>
      </w:r>
    </w:p>
    <w:p>
      <w:pPr>
        <w:pStyle w:val="ListParagraph"/>
        <w:numPr>
          <w:ilvl w:val="0"/>
          <w:numId w:val="2"/>
        </w:numPr>
        <w:spacing w:after="120" w:line="340"/>
      </w:pPr>
      <w:r>
        <w:rPr>
          <w:rFonts w:ascii="微軟正黑體" w:cs="微軟正黑體" w:eastAsia="微軟正黑體" w:hAnsi="微軟正黑體"/>
          <w:sz w:val="22"/>
          <w:szCs w:val="22"/>
        </w:rPr>
        <w:t xml:space="preserve">二、以P1-P2-P3操作化指標分析此系統之權力移轉情形</w:t>
      </w:r>
    </w:p>
    <w:p>
      <w:pPr>
        <w:pStyle w:val="ListParagraph"/>
        <w:numPr>
          <w:ilvl w:val="0"/>
          <w:numId w:val="2"/>
        </w:numPr>
        <w:spacing w:after="120" w:line="340"/>
      </w:pPr>
      <w:r>
        <w:rPr>
          <w:rFonts w:ascii="微軟正黑體" w:cs="微軟正黑體" w:eastAsia="微軟正黑體" w:hAnsi="微軟正黑體"/>
          <w:sz w:val="22"/>
          <w:szCs w:val="22"/>
        </w:rPr>
        <w:t xml:space="preserve">三、以四條治理鏈與七項治理審計設計可操作稽核表</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「高風險獨居長者」這幾個字，看起來只是系統跑出來的一份名單，但名單上誰的名字會出現、誰的名字不會出現，背後其實藏著一連串原本屬於社工與行政人員的判斷，正悄悄地移轉給了用電資料與演算法。</w:t>
      </w:r>
    </w:p>
    <w:p>
      <w:pPr>
        <w:spacing w:after="200" w:line="360"/>
        <w:ind w:firstLine="431"/>
        <w:jc w:val="both"/>
      </w:pPr>
      <w:r>
        <w:rPr>
          <w:rFonts w:ascii="微軟正黑體" w:cs="微軟正黑體" w:eastAsia="微軟正黑體" w:hAnsi="微軟正黑體"/>
          <w:sz w:val="22"/>
          <w:szCs w:val="22"/>
        </w:rPr>
        <w:t xml:space="preserve">二、以P1-P2-P3操作化指標分析此系統之權力移轉情形</w:t>
      </w:r>
    </w:p>
    <w:p>
      <w:pPr>
        <w:spacing w:after="200" w:line="360"/>
        <w:ind w:firstLine="431"/>
        <w:jc w:val="both"/>
      </w:pPr>
      <w:r>
        <w:rPr>
          <w:rFonts w:ascii="微軟正黑體" w:cs="微軟正黑體" w:eastAsia="微軟正黑體" w:hAnsi="微軟正黑體"/>
          <w:sz w:val="22"/>
          <w:szCs w:val="22"/>
        </w:rPr>
        <w:t xml:space="preserve">其一，P1情境建構權移轉：本系統以居家用電異常作為判斷「高風險」之核心特徵，惟用電異常之定義（如連續多日用電量趨近於零）本身即隱含價值判斷——獨居長者若習慣外出、或家中無耗電家電，亦可能被誤判為異常，問題可見性因而受限於用電資料所能捕捉之範圍，未使用電力或用電模式特殊之長者，其實際風險可能未被系統看見；標籤決定權（何謂「高風險」）集中於系統設計者，而非受影響之長者或第一線社工。其二，P2行政裁量權移轉：社工收到系統自動生成之名單後，是否仍進行實質之風險評估，抑或僅依名單順序機械化排定訪視，是判斷裁量權讓渡程度之關鍵；若社工之訪視結果與系統標記不符時未留下書面覆寫理由，裁量日誌即不完整，事後難以檢驗系統標記之準確性與社工判斷之獨立性。其三，P3公權力影響力移轉：若「高風險」標記直接決定資源分配之優先順序（如優先分配到宅服務名額），而非僅作為社工訪視之參考，此一標記之公權力影響力即屬顯著；此時是否有機制讓長者本人或家屬對「未被列為高風險」之結果表達異議或申請複核，即成為維繫正當程序之關鍵。</w:t>
      </w:r>
    </w:p>
    <w:p>
      <w:pPr>
        <w:spacing w:after="200" w:line="360"/>
        <w:ind w:firstLine="431"/>
        <w:jc w:val="both"/>
      </w:pPr>
      <w:r>
        <w:rPr>
          <w:rFonts w:ascii="微軟正黑體" w:cs="微軟正黑體" w:eastAsia="微軟正黑體" w:hAnsi="微軟正黑體"/>
          <w:sz w:val="22"/>
          <w:szCs w:val="22"/>
        </w:rPr>
        <w:t xml:space="preserve">三、以四條治理鏈與七項治理審計設計可操作稽核表</w:t>
      </w:r>
    </w:p>
    <w:p>
      <w:pPr>
        <w:spacing w:after="200" w:line="360"/>
        <w:ind w:firstLine="431"/>
        <w:jc w:val="both"/>
      </w:pPr>
      <w:r>
        <w:rPr>
          <w:rFonts w:ascii="微軟正黑體" w:cs="微軟正黑體" w:eastAsia="微軟正黑體" w:hAnsi="微軟正黑體"/>
          <w:sz w:val="22"/>
          <w:szCs w:val="22"/>
        </w:rPr>
        <w:t xml:space="preserve">其一，情境建構鏈，應以資料代表性審計檢視訓練資料是否涵蓋不同居住型態、用電習慣之長者群體，避免特定生活型態長者被系統性排除於保護網之外，並以隱私與資安審計檢視用電資料之蒐集與比對是否符合個資法規範，證據來源為系統資料規格書與個資保護影響評估報告，建議覆核頻率為每半年一次；其二，權威鏈，應以責任歸屬審計與民主課責審計，明確規範系統標記僅供社工參考、不得取代社工之實質專業判斷，最終派案與資源分配決定權應保留於社工督導層級，證據來源為社工作業手冊與訪視紀錄，建議覆核頻率為每季一次；其三，理由鏈，應以理由說明審計與裁量邊界審計，要求系統對每一筆「高風險」標記提供可解釋之特徵依據（如用電異常之具體天數與幅度），並保留社工覆寫標記時之書面理由紀錄，證據來源為裁量日誌與系統輸出報告，建議覆核頻率為每月一次；其四，責任鏈，應以責任歸屬審計與組織能力審計，明確劃分系統開發商、地方社會局與第一線社工之責任分工，若確認系統存在系統性遺漏（如特定用電模式長者持續未被納入名單），應立即啟動模型複查與名單全面覆核機制，證據來源為異常事件通報紀錄，建議覆核頻率為事件發生時即啟動。</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AI輔助獨居長者關懷通報系統之導入，本意在提升資源配置效率，惟若未能正視其P1-P2-P3三種權力移轉之實質程度，並搭配四鏈七審之可操作稽核表定期覆核，效率提升可能是以遺漏真正需要關懷之長者為代價。唯有讓每一項操作化指標皆搭配具體之證據來源與覆核頻率，才能避免這份「高風險名單」淪為看似客觀、實則掩蓋真實遺漏之假精確報告。</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須具體運用P1-P2-P3操作化指標逐一分析本案例（問題可見性與標籤決定權、社工覆寫與裁量日誌、資源分配之公權力影響力與申訴機制），不可僅籠統稱「AI可能有偏誤」而未具體對應操作化指標。</w:t>
      </w:r>
    </w:p>
    <w:p>
      <w:pPr>
        <w:pStyle w:val="ListParagraph"/>
        <w:numPr>
          <w:ilvl w:val="0"/>
          <w:numId w:val="2"/>
        </w:numPr>
        <w:spacing w:after="120" w:line="340"/>
      </w:pPr>
      <w:r>
        <w:rPr>
          <w:rFonts w:ascii="微軟正黑體" w:cs="微軟正黑體" w:eastAsia="微軟正黑體" w:hAnsi="微軟正黑體"/>
          <w:sz w:val="22"/>
          <w:szCs w:val="22"/>
        </w:rPr>
        <w:t xml:space="preserve">四鏈七審稽核表須具體可行，每一項均應包含對應審計、證據來源與覆核頻率三要素，不可僅列出治理鏈名稱而無具體稽核設計內容。</w:t>
      </w:r>
    </w:p>
    <w:p>
      <w:pPr>
        <w:pStyle w:val="ListParagraph"/>
        <w:numPr>
          <w:ilvl w:val="0"/>
          <w:numId w:val="2"/>
        </w:numPr>
        <w:spacing w:after="120" w:line="340"/>
      </w:pPr>
      <w:r>
        <w:rPr>
          <w:rFonts w:ascii="微軟正黑體" w:cs="微軟正黑體" w:eastAsia="微軟正黑體" w:hAnsi="微軟正黑體"/>
          <w:sz w:val="22"/>
          <w:szCs w:val="22"/>
        </w:rPr>
        <w:t xml:space="preserve">宜具體指出本案例中最關鍵之風險點（用電異常特徵可能系統性遺漏特定生活型態長者），並提出對應之資料代表性審計設計，展現案例分析之精確度。</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P1-P2-P3分析空泛籠統，未能具體指出本案例中「用電異常」特徵可能造成之情境建構偏誤。</w:t>
      </w:r>
    </w:p>
    <w:p>
      <w:pPr>
        <w:pStyle w:val="ListParagraph"/>
        <w:numPr>
          <w:ilvl w:val="0"/>
          <w:numId w:val="2"/>
        </w:numPr>
        <w:spacing w:after="120" w:line="340"/>
      </w:pPr>
      <w:r>
        <w:rPr>
          <w:rFonts w:ascii="微軟正黑體" w:cs="微軟正黑體" w:eastAsia="微軟正黑體" w:hAnsi="微軟正黑體"/>
          <w:sz w:val="22"/>
          <w:szCs w:val="22"/>
        </w:rPr>
        <w:t xml:space="preserve">❌ 四鏈七審稽核表僅列出治理鏈與審計名稱，未具體設計證據來源與覆核頻率，流於抽象架構複誦。</w:t>
      </w:r>
    </w:p>
    <w:p>
      <w:pPr>
        <w:pStyle w:val="ListParagraph"/>
        <w:numPr>
          <w:ilvl w:val="0"/>
          <w:numId w:val="2"/>
        </w:numPr>
        <w:spacing w:after="120" w:line="340"/>
      </w:pPr>
      <w:r>
        <w:rPr>
          <w:rFonts w:ascii="微軟正黑體" w:cs="微軟正黑體" w:eastAsia="微軟正黑體" w:hAnsi="微軟正黑體"/>
          <w:sz w:val="22"/>
          <w:szCs w:val="22"/>
        </w:rPr>
        <w:t xml:space="preserve">❌ 未點出社工應保留最終派案決定權之權威鏈核心設計，或未區分「系統標記」與「社工實質判斷」之分工界線。</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假精確」風險之具體體現：說明若僅統計「社工訪視覆蓋率」等表面數據，而不追問社工是否因系統標記而降低對「未被標記」長者之主動關懷頻率，恐使系統效率提升的假象，掩蓋了資源排擠效應之真實風險。</w:t>
      </w:r>
    </w:p>
    <w:p>
      <w:pPr>
        <w:pStyle w:val="ListParagraph"/>
        <w:numPr>
          <w:ilvl w:val="0"/>
          <w:numId w:val="2"/>
        </w:numPr>
        <w:spacing w:after="120" w:line="340"/>
      </w:pPr>
      <w:r>
        <w:rPr>
          <w:rFonts w:ascii="微軟正黑體" w:cs="微軟正黑體" w:eastAsia="微軟正黑體" w:hAnsi="微軟正黑體"/>
          <w:sz w:val="22"/>
          <w:szCs w:val="22"/>
        </w:rPr>
        <w:t xml:space="preserve">可援引結構效應視角，說明此一系統若長期運作，其「高風險」標記邏輯可能逐漸影響整體社福資源配置政策（跨格移動），此時原本僅負責個資保護之單一權責機關，已不足以獨自承擔監督責任，須有跨機關協調之稽核機制配套。</w:t>
      </w:r>
    </w:p>
    <w:p>
      <w:pPr>
        <w:pStyle w:val="ListParagraph"/>
        <w:numPr>
          <w:ilvl w:val="0"/>
          <w:numId w:val="2"/>
        </w:numPr>
        <w:spacing w:after="120" w:line="340"/>
      </w:pPr>
      <w:r>
        <w:rPr>
          <w:rFonts w:ascii="微軟正黑體" w:cs="微軟正黑體" w:eastAsia="微軟正黑體" w:hAnsi="微軟正黑體"/>
          <w:sz w:val="22"/>
          <w:szCs w:val="22"/>
        </w:rPr>
        <w:t xml:space="preserve">可援引我國《人工智慧基本法》之權利影響評估與演算法登記簿精神，說明本案例之高風險標記系統宜於導入前完成權利影響評估，並公開登記其資料來源與監督方式，強化民主課責。</w:t>
      </w:r>
    </w:p>
    <w:p>
      <w:pPr>
        <w:pStyle w:val="ListParagraph"/>
        <w:numPr>
          <w:ilvl w:val="0"/>
          <w:numId w:val="2"/>
        </w:numPr>
        <w:spacing w:after="120" w:line="340"/>
      </w:pPr>
      <w:r>
        <w:rPr>
          <w:rFonts w:ascii="微軟正黑體" w:cs="微軟正黑體" w:eastAsia="微軟正黑體" w:hAnsi="微軟正黑體"/>
          <w:sz w:val="22"/>
          <w:szCs w:val="22"/>
        </w:rPr>
        <w:t xml:space="preserve">可補充方法論之自我限制視角：說明本稽核表設計僅能定位「系統介入了哪裡、拿走了什麼」，至於「以用電資料判斷獨居長者風險是否本身即為適當之政策工具」，仍須回歸第一層哲學與價值層次，討論監控式關懷與長者尊嚴、自主權之間之價值權衡，展現方法論反思之高度。</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之內容為本書自身之分析架構方法論——25座標、三種權力移轉、三項結構效應、四條治理鏈與七項治理審計，是全書用以分析AI鑲嵌公共行政現象之自創工具，並非考選部歷屆試題所依循之標準行政學考點分類（如公共政策、組織理論、人事行政等傳統領域）。本語料庫涵蓋107-111年5個年度之考選部官方公告試題（行政學╱行政學概要科目），經逐題比對，查無與本章方法論框架直接對應之申論真題，此一情形與本書第三章「行政學的研究」、第十章至第十四章「公共政策」系列、第二十章「策略管理」相同，均屬語料庫年度範圍內尚未查得直接對應真題之章節。惟隨AI治理逐漸成為國家考試命題趨勢之新興領域，建議讀者留意112年以後最新年度考古題中，是否出現要求考生運用系統性架構分析AI對行政權力影響之綜合分析題型，並可援引本章之P1-P2-P3操作化指標與四鏈七審框架作為答題工具，臨場靈活應用於任何未曾見過之AI治理情境題。</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25座標：定位系統而非計分系統</w:t>
            </w:r>
          </w:p>
          <w:p>
            <w:pPr>
              <w:spacing w:line="340"/>
              <w:jc w:val="both"/>
            </w:pPr>
            <w:r>
              <w:rPr>
                <w:rFonts w:ascii="微軟正黑體" w:cs="微軟正黑體" w:eastAsia="微軟正黑體" w:hAnsi="微軟正黑體"/>
                <w:sz w:val="21"/>
                <w:szCs w:val="21"/>
              </w:rPr>
              <w:t xml:space="preserve">五分析層次（哲學價值制度分工政策體系組織設計管理運作）× 五分析單位（個人團體組織社會國際）→ 三項設計原則（定位而非計分／共同語言／動態而非靜態）→ 自我限制：擅長「在哪裡」不擅長「是否正當」</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三種行政權力的功能性移轉：定義與操作化</w:t>
            </w:r>
          </w:p>
          <w:p>
            <w:pPr>
              <w:spacing w:line="340"/>
              <w:jc w:val="both"/>
            </w:pPr>
            <w:r>
              <w:rPr>
                <w:rFonts w:ascii="微軟正黑體" w:cs="微軟正黑體" w:eastAsia="微軟正黑體" w:hAnsi="微軟正黑體"/>
                <w:sz w:val="21"/>
                <w:szCs w:val="21"/>
              </w:rPr>
              <w:t xml:space="preserve">P1情境建構權（問題可見性標籤決定權特徵選擇權）→ P2行政裁量權（建議接受率人類覆寫率覆寫理由書面化裁量日誌）→ P3公權力影響力（自動執行程度權利影響評估外部救濟管道）→ 三者不必然依序發生</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三項結構效應與四鏈七審的整合</w:t>
            </w:r>
          </w:p>
          <w:p>
            <w:pPr>
              <w:spacing w:line="340"/>
              <w:jc w:val="both"/>
            </w:pPr>
            <w:r>
              <w:rPr>
                <w:rFonts w:ascii="微軟正黑體" w:cs="微軟正黑體" w:eastAsia="微軟正黑體" w:hAnsi="微軟正黑體"/>
                <w:sz w:val="21"/>
                <w:szCs w:val="21"/>
              </w:rPr>
              <w:t xml:space="preserve">權力移轉答「機制」、結構效應答「變化」→ 跨格移動／邊界消解／權威重構 → 四鏈（情境建構權威理由責任）× 七審（不逐項對應計分）→ 情境建構鏈前置但不獨大</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AI治理專節：指標化的治理挑戰與工具箱</w:t>
            </w:r>
          </w:p>
          <w:p>
            <w:pPr>
              <w:spacing w:line="340"/>
              <w:jc w:val="both"/>
            </w:pPr>
            <w:r>
              <w:rPr>
                <w:rFonts w:ascii="微軟正黑體" w:cs="微軟正黑體" w:eastAsia="微軟正黑體" w:hAnsi="微軟正黑體"/>
                <w:sz w:val="21"/>
                <w:szCs w:val="21"/>
              </w:rPr>
              <w:t xml:space="preserve">假精確風險（False Precision）→ 25座標誤用為計分工具之規避風險 → 操作化工具箱（裁量日誌權利影響評估資料代表性檢核表外部救濟管道地圖）→ COMPAS／State v. Loomis／戶政人臉比對案例 → AI基本法風險分級與演算法登記簿</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不識廬山真面目，只緣身在此山中——地圖再精確，也不能取代親自走進山中的價值判斷；工具愈精密，使用者愈需要謙遜，這正是25座標留給每一位治理者最後的提醒。</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2026-09-03T05:24:43.101Z</dcterms:created>
  <dcterms:modified xsi:type="dcterms:W3CDTF">2026-09-03T05:24:43.115Z</dcterms:modified>
</cp:coreProperties>
</file>

<file path=docProps/custom.xml><?xml version="1.0" encoding="utf-8"?>
<Properties xmlns="http://schemas.openxmlformats.org/officeDocument/2006/custom-properties" xmlns:vt="http://schemas.openxmlformats.org/officeDocument/2006/docPropsVTypes"/>
</file>