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400"/>
        <w:jc w:val="center"/>
      </w:pPr>
      <w:r>
        <w:rPr>
          <w:rFonts w:ascii="微軟正黑體" w:cs="微軟正黑體" w:eastAsia="微軟正黑體" w:hAnsi="微軟正黑體"/>
          <w:b/>
          <w:bCs/>
          <w:sz w:val="40"/>
          <w:szCs w:val="40"/>
        </w:rPr>
        <w:t xml:space="preserve">國家考試行政學：從行政學理論到申論實戰</w:t>
      </w:r>
    </w:p>
    <w:p>
      <w:pPr>
        <w:spacing w:after="60"/>
        <w:jc w:val="center"/>
      </w:pPr>
      <w:r>
        <w:rPr>
          <w:rFonts w:ascii="微軟正黑體" w:cs="微軟正黑體" w:eastAsia="微軟正黑體" w:hAnsi="微軟正黑體"/>
          <w:b/>
          <w:bCs/>
          <w:color w:val="444444"/>
          <w:sz w:val="28"/>
          <w:szCs w:val="28"/>
        </w:rPr>
        <w:t xml:space="preserve">第二十四章　數位政府與行政溝通、衝突及危機管理</w:t>
      </w:r>
    </w:p>
    <w:p>
      <w:pPr>
        <w:spacing w:after="400"/>
        <w:jc w:val="center"/>
      </w:pPr>
      <w:r>
        <w:rPr>
          <w:rFonts w:ascii="微軟正黑體" w:cs="微軟正黑體" w:eastAsia="微軟正黑體" w:hAnsi="微軟正黑體"/>
          <w:i/>
          <w:iCs/>
          <w:color w:val="777777"/>
          <w:sz w:val="22"/>
          <w:szCs w:val="22"/>
        </w:rPr>
        <w:t xml:space="preserve">適用：高考三級／普考　一般行政類科　行政學</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2F6FA" w:sz="2"/>
              <w:left w:val="single" w:color="555555" w:sz="24"/>
              <w:bottom w:val="single" w:color="F2F6FA" w:sz="2"/>
              <w:right w:val="single" w:color="F2F6FA" w:sz="2"/>
            </w:tcBorders>
            <w:shd w:fill="F2F6FA" w:val="clear"/>
            <w:tcMar>
              <w:top w:type="dxa" w:w="160"/>
              <w:left w:type="dxa" w:w="220"/>
              <w:bottom w:type="dxa" w:w="160"/>
              <w:right w:type="dxa" w:w="220"/>
            </w:tcMar>
          </w:tcPr>
          <w:p>
            <w:pPr>
              <w:spacing w:after="100"/>
            </w:pPr>
            <w:r>
              <w:rPr>
                <w:rFonts w:ascii="微軟正黑體" w:cs="微軟正黑體" w:eastAsia="微軟正黑體" w:hAnsi="微軟正黑體"/>
                <w:b/>
                <w:bCs/>
                <w:color w:val="555555"/>
                <w:sz w:val="22"/>
                <w:szCs w:val="22"/>
              </w:rPr>
              <w:t xml:space="preserve">本章定位</w:t>
            </w:r>
          </w:p>
          <w:p>
            <w:pPr>
              <w:spacing w:line="340"/>
              <w:jc w:val="both"/>
            </w:pPr>
            <w:r>
              <w:rPr>
                <w:rFonts w:ascii="微軟正黑體" w:cs="微軟正黑體" w:eastAsia="微軟正黑體" w:hAnsi="微軟正黑體"/>
                <w:sz w:val="21"/>
                <w:szCs w:val="21"/>
              </w:rPr>
              <w:t xml:space="preserve">本章對應大學教科書《行政學》第二十四章「數位政府與行政溝通、衝突及危機管理：從電子化政府到AI政府，從溝通協調到韌性治理的最終考驗」，是第五層「管理運作」七大構面（策略管理、行政領導、人事管理、財務管理、電子化政府、績效管理、溝通與危機管理）之最終總結章，銜接第二十三章財務管理與績效管理（回答「資源如何被治理、如何被誠實證成」），本章回答「這些治理成果要透過什麼管道傳遞給公民、這套連結能否在日常協調與存續危機中維持信任」。內容取材自該章九節母體教材（電子化政府的意涵與理論脈絡、發展階段、類型與開放政府實踐、成功因素治理挑戰與數位落差2.0、AI政府新興治理模式、溝通的意涵類型與障礙、公共關係與衝突管理、危機管理模式與AI時代增補、AI治理專節雙軌韌性治理）及AI鑲嵌後之權力位移專節，依國考「考點化、模組化、背誦＋應用」邏輯重新壓縮改寫為四節：第一節整合原第一、二、三節（電子化政府意涵、發展階段、服務類型與開放政府實踐）；第二節整合原第四、五節（成功因素治理挑戰、數位落差2.0與AI政府新興治理模式）；第三節整合原第六、七節（溝通的意涵類型障礙、公共關係與衝突管理）；第四節整合原第八、九節AI治理專節（危機管理模式與AI時代增補、雙軌韌性治理），為本章AI內容之集中呈現處。本語料庫（107-111年）中，本章查得4題直接標記之申論真題，另有110年-身三「財政緊迫、人民期待、科技創新驅動變革趨勢」一題原標記於第九章，惟因核心內容更貼近本章電子化政府與數位轉型脈絡，已於第九章明確標示「完整解題見第24章」並移入本章，共計5題經查證均屬一般行政符合。107年-身三「電子治理之定義及公共價值」與110年-身三「財政緊迫人民期待科技創新驅動變革趨勢」理論內容完整可考，分別列為題目一、題目二完整解析；108年-警察「電子溝通」、109年-地三「行政溝通與政策溝通之比較」、109年-高考「資訊科技運用於政府內部管理之影響」三題因本章已擇二題完整解析，僅列出參照供讀者自行練習；題目三為依本章第四節AI治理內容自行設計之模擬命題。依全書格式定版說明，題目一（A級）維持三種完整答案版本，題目二（B級）與題目三（C級）改為標準版參考答案＋【高分加分點】；AI鑲嵌內容集中於第四節與題目三C級綜合題。</w:t>
            </w:r>
          </w:p>
        </w:tc>
      </w:tr>
    </w:tbl>
    <w:p>
      <w:pPr>
        <w:spacing w:after="200"/>
      </w:pPr>
    </w:p>
    <w:p>
      <w:pPr>
        <w:spacing w:after="180" w:before="360"/>
      </w:pPr>
      <w:r>
        <w:rPr>
          <w:rFonts w:ascii="微軟正黑體" w:cs="微軟正黑體" w:eastAsia="微軟正黑體" w:hAnsi="微軟正黑體"/>
          <w:b/>
          <w:bCs/>
          <w:color w:val="1F4E79"/>
          <w:sz w:val="26"/>
          <w:szCs w:val="26"/>
        </w:rPr>
        <w:t xml:space="preserve">第一節　電子化政府的意涵、發展階段與服務類型</w:t>
      </w:r>
    </w:p>
    <w:p>
      <w:pPr>
        <w:spacing w:after="140" w:before="260"/>
      </w:pPr>
      <w:r>
        <w:rPr>
          <w:rFonts w:ascii="微軟正黑體" w:cs="微軟正黑體" w:eastAsia="微軟正黑體" w:hAnsi="微軟正黑體"/>
          <w:b/>
          <w:bCs/>
          <w:color w:val="2E5C8A"/>
          <w:sz w:val="23"/>
          <w:szCs w:val="23"/>
        </w:rPr>
        <w:t xml:space="preserve">一、核心概念</w:t>
      </w:r>
    </w:p>
    <w:p>
      <w:pPr>
        <w:spacing w:after="200" w:line="360"/>
        <w:ind w:firstLine="431"/>
        <w:jc w:val="both"/>
      </w:pPr>
      <w:r>
        <w:rPr>
          <w:rFonts w:ascii="微軟正黑體" w:cs="微軟正黑體" w:eastAsia="微軟正黑體" w:hAnsi="微軟正黑體"/>
          <w:sz w:val="22"/>
          <w:szCs w:val="22"/>
        </w:rPr>
        <w:t xml:space="preserve">電子化政府（e-Government）係指政府運用資訊通訊科技（ICT），對政府體制、組織流程與服務傳遞進行革新，以提升行政效能、服務品質、透明課責與公民參與之過程。相對於電子化政府強調政府運用ICT的供給面工具，電子治理（e-Governance）更強調治理網絡中政府、企業、公民與非營利組織間，透過ICT進行互動、協商與共創公共價值之關係性轉變；數位政府（Digital Government）則以資料驅動、平台化與使用者中心之新階段，突顯從「把既有流程電子化」到「以數位邏輯重塑政府」之典範差異。</w:t>
      </w:r>
    </w:p>
    <w:p>
      <w:pPr>
        <w:spacing w:after="140" w:before="260"/>
      </w:pPr>
      <w:r>
        <w:rPr>
          <w:rFonts w:ascii="微軟正黑體" w:cs="微軟正黑體" w:eastAsia="微軟正黑體" w:hAnsi="微軟正黑體"/>
          <w:b/>
          <w:bCs/>
          <w:color w:val="2E5C8A"/>
          <w:sz w:val="23"/>
          <w:szCs w:val="23"/>
        </w:rPr>
        <w:t xml:space="preserve">二、理論發展</w:t>
      </w:r>
    </w:p>
    <w:p>
      <w:pPr>
        <w:pStyle w:val="ListParagraph"/>
        <w:numPr>
          <w:ilvl w:val="0"/>
          <w:numId w:val="2"/>
        </w:numPr>
        <w:spacing w:after="120" w:line="340"/>
      </w:pPr>
      <w:r>
        <w:rPr>
          <w:rFonts w:ascii="微軟正黑體" w:cs="微軟正黑體" w:eastAsia="微軟正黑體" w:hAnsi="微軟正黑體"/>
          <w:sz w:val="22"/>
          <w:szCs w:val="22"/>
        </w:rPr>
        <w:t xml:space="preserve">聯合國將電子化政府之公共價值歸納為四重目標：提升內部效能與跨機關協作（G2G）、提升便民服務與可近性（G2C）、促進產業發展與法遵便利（G2B），以及強化開放、透明、課責與包容之民主治理；OECD《數位政府指標》則強調，數位政府成熟度不再僅以線上服務數量衡量，更需檢視政府作為平台（Government as a Platform, GaaP）之基礎建設、資料治理與協作生態系。Layne與Lee（2001）提出最具影響力之電子化政府發展階段論：型錄階段（政府資訊上網公開，靜態網頁為主）、交易階段（提供線上雙向交易服務，如線上報稅繳費）、垂直整合階段（同一功能不同層級政府間系統整合）、水平整合階段（跨功能整合之單一窗口，民眾以生活事件而非機關別取得服務），此模型揭示整合程度與組織變革深度成正比。</w:t>
      </w:r>
    </w:p>
    <w:p>
      <w:pPr>
        <w:pStyle w:val="ListParagraph"/>
        <w:numPr>
          <w:ilvl w:val="0"/>
          <w:numId w:val="2"/>
        </w:numPr>
        <w:spacing w:after="120" w:line="340"/>
      </w:pPr>
      <w:r>
        <w:rPr>
          <w:rFonts w:ascii="微軟正黑體" w:cs="微軟正黑體" w:eastAsia="微軟正黑體" w:hAnsi="微軟正黑體"/>
          <w:sz w:val="22"/>
          <w:szCs w:val="22"/>
        </w:rPr>
        <w:t xml:space="preserve">我國電子化政府發展可歸納為五階段，並於2022年後邁向第六階段AI政府：第一階段（1998-2001）政府網路化；第二階段（2001-2004）政府e化；第三階段（2004-2008）優質網路政府；第四階段（2008-2016）整合流程與行動化政府（m-Government）；第五階段（2016-2022）智慧政府與開放政府，並於2022年成立數位發展部；第六階段（2022年迄今）AI政府，以生成式AI、主權AI與GovTech為核心，政策重點從「服務上網」轉為「智慧賦能」，包括TAIDE可信任語言模型、AI評測中心與《人工智慧基本法》。</w:t>
      </w:r>
    </w:p>
    <w:p>
      <w:pPr>
        <w:spacing w:after="140" w:before="260"/>
      </w:pPr>
      <w:r>
        <w:rPr>
          <w:rFonts w:ascii="微軟正黑體" w:cs="微軟正黑體" w:eastAsia="微軟正黑體" w:hAnsi="微軟正黑體"/>
          <w:b/>
          <w:bCs/>
          <w:color w:val="2E5C8A"/>
          <w:sz w:val="23"/>
          <w:szCs w:val="23"/>
        </w:rPr>
        <w:t xml:space="preserve">三、主要學者</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400"/>
        <w:gridCol w:w="2400"/>
        <w:gridCol w:w="2400"/>
        <w:gridCol w:w="2826"/>
      </w:tblGrid>
      <w:tr>
        <w:trPr>
          <w:tblHeader/>
        </w:trPr>
        <w:tc>
          <w:tcPr>
            <w:tcW w:type="dxa" w:w="14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構面</w:t>
            </w:r>
          </w:p>
        </w:tc>
        <w:tc>
          <w:tcPr>
            <w:tcW w:type="dxa" w:w="24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電子化管理</w:t>
            </w:r>
          </w:p>
        </w:tc>
        <w:tc>
          <w:tcPr>
            <w:tcW w:type="dxa" w:w="24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電子化政府</w:t>
            </w:r>
          </w:p>
        </w:tc>
        <w:tc>
          <w:tcPr>
            <w:tcW w:type="dxa" w:w="28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電子治理／數位政府</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焦點</w:t>
            </w:r>
          </w:p>
        </w:tc>
        <w:tc>
          <w:tcPr>
            <w:tcW w:type="dxa" w:w="2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內部行政效率</w:t>
            </w:r>
          </w:p>
        </w:tc>
        <w:tc>
          <w:tcPr>
            <w:tcW w:type="dxa" w:w="2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政府對外服務提供</w:t>
            </w:r>
          </w:p>
        </w:tc>
        <w:tc>
          <w:tcPr>
            <w:tcW w:type="dxa" w:w="28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網絡協作與公共價值共創</w:t>
            </w:r>
          </w:p>
        </w:tc>
      </w:tr>
      <w:tr>
        <w:tc>
          <w:tcPr>
            <w:tcW w:type="dxa" w:w="1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關係類型</w:t>
            </w:r>
          </w:p>
        </w:tc>
        <w:tc>
          <w:tcPr>
            <w:tcW w:type="dxa" w:w="2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G2E內部</w:t>
            </w:r>
          </w:p>
        </w:tc>
        <w:tc>
          <w:tcPr>
            <w:tcW w:type="dxa" w:w="2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G2C、G2B、G2G</w:t>
            </w:r>
          </w:p>
        </w:tc>
        <w:tc>
          <w:tcPr>
            <w:tcW w:type="dxa" w:w="28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G2C、G2B、G2G、G2N，公民對公民</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科技角色</w:t>
            </w:r>
          </w:p>
        </w:tc>
        <w:tc>
          <w:tcPr>
            <w:tcW w:type="dxa" w:w="2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自動化既有流程</w:t>
            </w:r>
          </w:p>
        </w:tc>
        <w:tc>
          <w:tcPr>
            <w:tcW w:type="dxa" w:w="2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線上化、單一窗口</w:t>
            </w:r>
          </w:p>
        </w:tc>
        <w:tc>
          <w:tcPr>
            <w:tcW w:type="dxa" w:w="28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平台化、資料驅動、AI增強</w:t>
            </w:r>
          </w:p>
        </w:tc>
      </w:tr>
      <w:tr>
        <w:tc>
          <w:tcPr>
            <w:tcW w:type="dxa" w:w="1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價值追求</w:t>
            </w:r>
          </w:p>
        </w:tc>
        <w:tc>
          <w:tcPr>
            <w:tcW w:type="dxa" w:w="2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節省成本與時間</w:t>
            </w:r>
          </w:p>
        </w:tc>
        <w:tc>
          <w:tcPr>
            <w:tcW w:type="dxa" w:w="2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便利、效率</w:t>
            </w:r>
          </w:p>
        </w:tc>
        <w:tc>
          <w:tcPr>
            <w:tcW w:type="dxa" w:w="28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透明、參與、課責、包容與韌性</w:t>
            </w:r>
          </w:p>
        </w:tc>
      </w:tr>
    </w:tbl>
    <w:p>
      <w:pPr>
        <w:spacing w:after="280" w:before="120"/>
        <w:jc w:val="center"/>
      </w:pPr>
      <w:r>
        <w:rPr>
          <w:rFonts w:ascii="微軟正黑體" w:cs="微軟正黑體" w:eastAsia="微軟正黑體" w:hAnsi="微軟正黑體"/>
          <w:i/>
          <w:iCs/>
          <w:color w:val="555555"/>
          <w:sz w:val="18"/>
          <w:szCs w:val="18"/>
        </w:rPr>
        <w:t xml:space="preserve">表24-A　電子化政府相關概念比較</w:t>
      </w:r>
    </w:p>
    <w:p>
      <w:pPr>
        <w:spacing w:after="140" w:before="260"/>
      </w:pPr>
      <w:r>
        <w:rPr>
          <w:rFonts w:ascii="微軟正黑體" w:cs="微軟正黑體" w:eastAsia="微軟正黑體" w:hAnsi="微軟正黑體"/>
          <w:b/>
          <w:bCs/>
          <w:color w:val="2E5C8A"/>
          <w:sz w:val="23"/>
          <w:szCs w:val="23"/>
        </w:rPr>
        <w:t xml:space="preserve">四、核心命題</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000"/>
        <w:gridCol w:w="2400"/>
        <w:gridCol w:w="4626"/>
      </w:tblGrid>
      <w:tr>
        <w:trPr>
          <w:tblHeader/>
        </w:trPr>
        <w:tc>
          <w:tcPr>
            <w:tcW w:type="dxa" w:w="20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階段特徵</w:t>
            </w:r>
          </w:p>
        </w:tc>
        <w:tc>
          <w:tcPr>
            <w:tcW w:type="dxa" w:w="24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Layne與Lee（2001）</w:t>
            </w:r>
          </w:p>
        </w:tc>
        <w:tc>
          <w:tcPr>
            <w:tcW w:type="dxa" w:w="46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我國發展（1998-迄今）</w:t>
            </w:r>
          </w:p>
        </w:tc>
      </w:tr>
      <w:tr>
        <w:tc>
          <w:tcPr>
            <w:tcW w:type="dxa" w:w="20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資訊提供</w:t>
            </w:r>
          </w:p>
        </w:tc>
        <w:tc>
          <w:tcPr>
            <w:tcW w:type="dxa" w:w="2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型錄</w:t>
            </w:r>
          </w:p>
        </w:tc>
        <w:tc>
          <w:tcPr>
            <w:tcW w:type="dxa" w:w="46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第一階段政府網路化</w:t>
            </w:r>
          </w:p>
        </w:tc>
      </w:tr>
      <w:tr>
        <w:tc>
          <w:tcPr>
            <w:tcW w:type="dxa" w:w="20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互動交易</w:t>
            </w:r>
          </w:p>
        </w:tc>
        <w:tc>
          <w:tcPr>
            <w:tcW w:type="dxa" w:w="2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交易</w:t>
            </w:r>
          </w:p>
        </w:tc>
        <w:tc>
          <w:tcPr>
            <w:tcW w:type="dxa" w:w="46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第二、三階段e化與優質政府</w:t>
            </w:r>
          </w:p>
        </w:tc>
      </w:tr>
      <w:tr>
        <w:tc>
          <w:tcPr>
            <w:tcW w:type="dxa" w:w="20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垂直整合</w:t>
            </w:r>
          </w:p>
        </w:tc>
        <w:tc>
          <w:tcPr>
            <w:tcW w:type="dxa" w:w="2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垂直整合</w:t>
            </w:r>
          </w:p>
        </w:tc>
        <w:tc>
          <w:tcPr>
            <w:tcW w:type="dxa" w:w="46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第四階段整合流程與m化政府</w:t>
            </w:r>
          </w:p>
        </w:tc>
      </w:tr>
      <w:tr>
        <w:tc>
          <w:tcPr>
            <w:tcW w:type="dxa" w:w="20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水平整合與單一窗口</w:t>
            </w:r>
          </w:p>
        </w:tc>
        <w:tc>
          <w:tcPr>
            <w:tcW w:type="dxa" w:w="2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水平整合</w:t>
            </w:r>
          </w:p>
        </w:tc>
        <w:tc>
          <w:tcPr>
            <w:tcW w:type="dxa" w:w="46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第五階段智慧開放政府</w:t>
            </w:r>
          </w:p>
        </w:tc>
      </w:tr>
      <w:tr>
        <w:tc>
          <w:tcPr>
            <w:tcW w:type="dxa" w:w="20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智慧化與AI增強</w:t>
            </w:r>
          </w:p>
        </w:tc>
        <w:tc>
          <w:tcPr>
            <w:tcW w:type="dxa" w:w="2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理論未涵蓋</w:t>
            </w:r>
          </w:p>
        </w:tc>
        <w:tc>
          <w:tcPr>
            <w:tcW w:type="dxa" w:w="46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第六階段AI政府：GovTech、數位孿生、主權AI</w:t>
            </w:r>
          </w:p>
        </w:tc>
      </w:tr>
    </w:tbl>
    <w:p>
      <w:pPr>
        <w:spacing w:after="280" w:before="120"/>
        <w:jc w:val="center"/>
      </w:pPr>
      <w:r>
        <w:rPr>
          <w:rFonts w:ascii="微軟正黑體" w:cs="微軟正黑體" w:eastAsia="微軟正黑體" w:hAnsi="微軟正黑體"/>
          <w:i/>
          <w:iCs/>
          <w:color w:val="555555"/>
          <w:sz w:val="18"/>
          <w:szCs w:val="18"/>
        </w:rPr>
        <w:t xml:space="preserve">表24-B　電子化政府發展階段：國際模式與我國歷程對照</w:t>
      </w:r>
    </w:p>
    <w:p>
      <w:pPr>
        <w:spacing w:after="140" w:before="260"/>
      </w:pPr>
      <w:r>
        <w:rPr>
          <w:rFonts w:ascii="微軟正黑體" w:cs="微軟正黑體" w:eastAsia="微軟正黑體" w:hAnsi="微軟正黑體"/>
          <w:b/>
          <w:bCs/>
          <w:color w:val="2E5C8A"/>
          <w:sz w:val="23"/>
          <w:szCs w:val="23"/>
        </w:rPr>
        <w:t xml:space="preserve">五、優點與限制</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200"/>
        <w:gridCol w:w="2200"/>
        <w:gridCol w:w="2400"/>
        <w:gridCol w:w="3226"/>
      </w:tblGrid>
      <w:tr>
        <w:trPr>
          <w:tblHeader/>
        </w:trPr>
        <w:tc>
          <w:tcPr>
            <w:tcW w:type="dxa" w:w="1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類型</w:t>
            </w:r>
          </w:p>
        </w:tc>
        <w:tc>
          <w:tcPr>
            <w:tcW w:type="dxa" w:w="2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定義</w:t>
            </w:r>
          </w:p>
        </w:tc>
        <w:tc>
          <w:tcPr>
            <w:tcW w:type="dxa" w:w="24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傳統案例</w:t>
            </w:r>
          </w:p>
        </w:tc>
        <w:tc>
          <w:tcPr>
            <w:tcW w:type="dxa" w:w="32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AI時代升級案例</w:t>
            </w:r>
          </w:p>
        </w:tc>
      </w:tr>
      <w:tr>
        <w:tc>
          <w:tcPr>
            <w:tcW w:type="dxa" w:w="1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G2C</w:t>
            </w:r>
          </w:p>
        </w:tc>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政府對公民</w:t>
            </w:r>
          </w:p>
        </w:tc>
        <w:tc>
          <w:tcPr>
            <w:tcW w:type="dxa" w:w="2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線上報稅、線上預約</w:t>
            </w:r>
          </w:p>
        </w:tc>
        <w:tc>
          <w:tcPr>
            <w:tcW w:type="dxa" w:w="32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MyData2.0自主授權、個人化AI客服、Join AI摘要</w:t>
            </w:r>
          </w:p>
        </w:tc>
      </w:tr>
      <w:tr>
        <w:tc>
          <w:tcPr>
            <w:tcW w:type="dxa" w:w="1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G2B</w:t>
            </w:r>
          </w:p>
        </w:tc>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政府對企業</w:t>
            </w:r>
          </w:p>
        </w:tc>
        <w:tc>
          <w:tcPr>
            <w:tcW w:type="dxa" w:w="2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電子採購、公司登記</w:t>
            </w:r>
          </w:p>
        </w:tc>
        <w:tc>
          <w:tcPr>
            <w:tcW w:type="dxa" w:w="32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監管沙盒、GovTech採購、ESG資料AI媒合</w:t>
            </w:r>
          </w:p>
        </w:tc>
      </w:tr>
      <w:tr>
        <w:tc>
          <w:tcPr>
            <w:tcW w:type="dxa" w:w="1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G2G</w:t>
            </w:r>
          </w:p>
        </w:tc>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政府對政府</w:t>
            </w:r>
          </w:p>
        </w:tc>
        <w:tc>
          <w:tcPr>
            <w:tcW w:type="dxa" w:w="2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戶政跨機關通報</w:t>
            </w:r>
          </w:p>
        </w:tc>
        <w:tc>
          <w:tcPr>
            <w:tcW w:type="dxa" w:w="32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跨域傳輸網、TAIDE地端模型機關內部部署</w:t>
            </w:r>
          </w:p>
        </w:tc>
      </w:tr>
      <w:tr>
        <w:tc>
          <w:tcPr>
            <w:tcW w:type="dxa" w:w="1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G2E／G2N</w:t>
            </w:r>
          </w:p>
        </w:tc>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政府對員工／網絡社會</w:t>
            </w:r>
          </w:p>
        </w:tc>
        <w:tc>
          <w:tcPr>
            <w:tcW w:type="dxa" w:w="2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差勤系統、資料開放平台</w:t>
            </w:r>
          </w:p>
        </w:tc>
        <w:tc>
          <w:tcPr>
            <w:tcW w:type="dxa" w:w="32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AI公文與法規助手、資料市集、AI素養訓練計畫</w:t>
            </w:r>
          </w:p>
        </w:tc>
      </w:tr>
    </w:tbl>
    <w:p>
      <w:pPr>
        <w:spacing w:after="280" w:before="120"/>
        <w:jc w:val="center"/>
      </w:pPr>
      <w:r>
        <w:rPr>
          <w:rFonts w:ascii="微軟正黑體" w:cs="微軟正黑體" w:eastAsia="微軟正黑體" w:hAnsi="微軟正黑體"/>
          <w:i/>
          <w:iCs/>
          <w:color w:val="555555"/>
          <w:sz w:val="18"/>
          <w:szCs w:val="18"/>
        </w:rPr>
        <w:t xml:space="preserve">表24-C　電子化政府服務類型與案例</w:t>
      </w:r>
    </w:p>
    <w:p>
      <w:pPr>
        <w:spacing w:after="140" w:before="260"/>
      </w:pPr>
      <w:r>
        <w:rPr>
          <w:rFonts w:ascii="微軟正黑體" w:cs="微軟正黑體" w:eastAsia="微軟正黑體" w:hAnsi="微軟正黑體"/>
          <w:b/>
          <w:bCs/>
          <w:color w:val="2E5C8A"/>
          <w:sz w:val="23"/>
          <w:szCs w:val="23"/>
        </w:rPr>
        <w:t xml:space="preserve">六、當代發展</w:t>
      </w:r>
    </w:p>
    <w:p>
      <w:pPr>
        <w:spacing w:after="200" w:line="360"/>
        <w:ind w:firstLine="431"/>
        <w:jc w:val="both"/>
      </w:pPr>
      <w:r>
        <w:rPr>
          <w:rFonts w:ascii="微軟正黑體" w:cs="微軟正黑體" w:eastAsia="微軟正黑體" w:hAnsi="微軟正黑體"/>
          <w:sz w:val="22"/>
          <w:szCs w:val="22"/>
        </w:rPr>
        <w:t xml:space="preserve">開放政府（Open Government）以透明、參與、課責與涵容為核心，電子化政府為其技術載體；MyData個人化資料自主運用平台實踐「一次授權、資料隨身」原則，並試辦與TAIDE串接於地端進行資料分析而不跨境，為主權AI之資料治理實踐；公共政策網路參與平台（Join）整合「眾開講、來監督、找首長、提點子」四大功能，並導入AI摘要與分群功能，以可追溯方式標示AI生成摘要，提升政策諮詢效率。此一由平台走向智慧賦能之典範轉移，其完整治理意涵留待第二節深入闡述。</w:t>
      </w:r>
    </w:p>
    <w:p>
      <w:pPr>
        <w:spacing w:after="140" w:before="260"/>
      </w:pPr>
      <w:r>
        <w:rPr>
          <w:rFonts w:ascii="微軟正黑體" w:cs="微軟正黑體" w:eastAsia="微軟正黑體" w:hAnsi="微軟正黑體"/>
          <w:b/>
          <w:bCs/>
          <w:color w:val="2E5C8A"/>
          <w:sz w:val="23"/>
          <w:szCs w:val="23"/>
        </w:rPr>
        <w:t xml:space="preserve">七、臺灣行政實務</w:t>
      </w:r>
    </w:p>
    <w:p>
      <w:pPr>
        <w:spacing w:after="200" w:line="360"/>
        <w:ind w:firstLine="431"/>
        <w:jc w:val="both"/>
      </w:pPr>
      <w:r>
        <w:rPr>
          <w:rFonts w:ascii="微軟正黑體" w:cs="微軟正黑體" w:eastAsia="微軟正黑體" w:hAnsi="微軟正黑體"/>
          <w:sz w:val="22"/>
          <w:szCs w:val="22"/>
        </w:rPr>
        <w:t xml:space="preserve">我國電子化政府六階段之演進，展現治理邏輯從資訊化、行動化到智慧化之延續與跳躍：2022年數位發展部成立為關鍵制度里程碑，此後政策重點明確從「服務上網」轉為「智慧賦能」，MyData與Join兩大標竿平台則分別體現個人資料自主運用與電子參與之制度化實踐，此為國考申論常見之延伸考點。</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【國考考點】</w:t>
            </w:r>
          </w:p>
          <w:p>
            <w:pPr>
              <w:spacing w:after="80" w:line="320"/>
            </w:pPr>
            <w:r>
              <w:rPr>
                <w:rFonts w:ascii="微軟正黑體" w:cs="微軟正黑體" w:eastAsia="微軟正黑體" w:hAnsi="微軟正黑體"/>
                <w:sz w:val="21"/>
                <w:szCs w:val="21"/>
              </w:rPr>
              <w:t xml:space="preserve">•　電子化管理（e-Management）、電子化政府（e-Government）、電子治理（e-Governance）三概念之範圍區辨。</w:t>
            </w:r>
          </w:p>
          <w:p>
            <w:pPr>
              <w:spacing w:after="80" w:line="320"/>
            </w:pPr>
            <w:r>
              <w:rPr>
                <w:rFonts w:ascii="微軟正黑體" w:cs="微軟正黑體" w:eastAsia="微軟正黑體" w:hAnsi="微軟正黑體"/>
                <w:sz w:val="21"/>
                <w:szCs w:val="21"/>
              </w:rPr>
              <w:t xml:space="preserve">•　Layne與Lee四階段論（型錄╱交易╱垂直整合╱水平整合）與我國六階段之對應關係，為國考申論高頻考點。</w:t>
            </w:r>
          </w:p>
          <w:p>
            <w:pPr>
              <w:spacing w:after="0" w:line="320"/>
            </w:pPr>
            <w:r>
              <w:rPr>
                <w:rFonts w:ascii="微軟正黑體" w:cs="微軟正黑體" w:eastAsia="微軟正黑體" w:hAnsi="微軟正黑體"/>
                <w:sz w:val="21"/>
                <w:szCs w:val="21"/>
              </w:rPr>
              <w:t xml:space="preserve">•　G2C、G2B、G2G、G2E、G2N五類服務類型之定義與代表案例，MyData與Join平台為我國開放政府之標竿實踐。</w:t>
            </w:r>
          </w:p>
        </w:tc>
      </w:tr>
    </w:tbl>
    <w:p>
      <w:pPr>
        <w:spacing w:after="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【一分鐘記憶】</w:t>
            </w:r>
          </w:p>
          <w:p>
            <w:pPr>
              <w:spacing w:after="80" w:line="320"/>
            </w:pPr>
            <w:r>
              <w:rPr>
                <w:rFonts w:ascii="微軟正黑體" w:cs="微軟正黑體" w:eastAsia="微軟正黑體" w:hAnsi="微軟正黑體"/>
                <w:sz w:val="21"/>
                <w:szCs w:val="21"/>
              </w:rPr>
              <w:t xml:space="preserve">•　我國六階段口訣：網路化（1998-2001）→e化（2001-2004）→優質網路（2004-2008）→m化整合（2008-2016）→智慧開放（2016-2022，數位部成立）→AI政府（2022迄今）。</w:t>
            </w:r>
          </w:p>
          <w:p>
            <w:pPr>
              <w:spacing w:after="0" w:line="320"/>
            </w:pPr>
            <w:r>
              <w:rPr>
                <w:rFonts w:ascii="微軟正黑體" w:cs="微軟正黑體" w:eastAsia="微軟正黑體" w:hAnsi="微軟正黑體"/>
                <w:sz w:val="21"/>
                <w:szCs w:val="21"/>
              </w:rPr>
              <w:t xml:space="preserve">•　Layne與Lee四階段口訣：型錄看得到→交易辦得到→垂直串得到→水平通得到（跨機關生活事件單一窗口）。</w:t>
            </w:r>
          </w:p>
        </w:tc>
      </w:tr>
    </w:tbl>
    <w:p>
      <w:pPr>
        <w:spacing w:after="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DECEA" w:sz="2"/>
              <w:left w:val="single" w:color="C0392B" w:sz="24"/>
              <w:bottom w:val="single" w:color="FDECEA" w:sz="2"/>
              <w:right w:val="single" w:color="FDECEA" w:sz="2"/>
            </w:tcBorders>
            <w:shd w:fill="FDECEA" w:val="clear"/>
            <w:tcMar>
              <w:top w:type="dxa" w:w="160"/>
              <w:left w:type="dxa" w:w="220"/>
              <w:bottom w:type="dxa" w:w="160"/>
              <w:right w:type="dxa" w:w="220"/>
            </w:tcMar>
          </w:tcPr>
          <w:p>
            <w:pPr>
              <w:spacing w:after="100"/>
            </w:pPr>
            <w:r>
              <w:rPr>
                <w:rFonts w:ascii="微軟正黑體" w:cs="微軟正黑體" w:eastAsia="微軟正黑體" w:hAnsi="微軟正黑體"/>
                <w:b/>
                <w:bCs/>
                <w:color w:val="C0392B"/>
                <w:sz w:val="22"/>
                <w:szCs w:val="22"/>
              </w:rPr>
              <w:t xml:space="preserve">【容易混淆】</w:t>
            </w:r>
          </w:p>
          <w:p>
            <w:pPr>
              <w:spacing w:after="80" w:line="320"/>
            </w:pPr>
            <w:r>
              <w:rPr>
                <w:rFonts w:ascii="微軟正黑體" w:cs="微軟正黑體" w:eastAsia="微軟正黑體" w:hAnsi="微軟正黑體"/>
                <w:sz w:val="21"/>
                <w:szCs w:val="21"/>
              </w:rPr>
              <w:t xml:space="preserve">•　「電子化政府（e-Government）」與「電子治理（e-Governance）」不同——前者強調政府運用ICT的供給面工具（政府對外服務提供），後者強調治理網絡中政府、企業、公民間透過ICT協商共創公共價值之關係性轉變，範圍更廣，涵蓋電子民主與電子參與。</w:t>
            </w:r>
          </w:p>
          <w:p>
            <w:pPr>
              <w:spacing w:after="0" w:line="320"/>
            </w:pPr>
            <w:r>
              <w:rPr>
                <w:rFonts w:ascii="微軟正黑體" w:cs="微軟正黑體" w:eastAsia="微軟正黑體" w:hAnsi="微軟正黑體"/>
                <w:sz w:val="21"/>
                <w:szCs w:val="21"/>
              </w:rPr>
              <w:t xml:space="preserve">•　「垂直整合」與「水平整合」不同——垂直整合指同一功能不同層級政府間系統整合（如中央與地方戶政連線）；水平整合指跨功能整合之單一窗口，民眾以生活事件而非機關別取得服務，整合難度與組織變革深度遠高於垂直整合。</w:t>
            </w:r>
          </w:p>
        </w:tc>
      </w:tr>
    </w:tbl>
    <w:p>
      <w:pPr>
        <w:spacing w:after="280"/>
      </w:pPr>
    </w:p>
    <w:p>
      <w:pPr>
        <w:spacing w:after="180" w:before="360"/>
      </w:pPr>
      <w:r>
        <w:rPr>
          <w:rFonts w:ascii="微軟正黑體" w:cs="微軟正黑體" w:eastAsia="微軟正黑體" w:hAnsi="微軟正黑體"/>
          <w:b/>
          <w:bCs/>
          <w:color w:val="1F4E79"/>
          <w:sz w:val="26"/>
          <w:szCs w:val="26"/>
        </w:rPr>
        <w:t xml:space="preserve">第二節　成功因素、治理挑戰、數位落差2.0與AI政府新興治理模式</w:t>
      </w:r>
    </w:p>
    <w:p>
      <w:pPr>
        <w:spacing w:after="140" w:before="260"/>
      </w:pPr>
      <w:r>
        <w:rPr>
          <w:rFonts w:ascii="微軟正黑體" w:cs="微軟正黑體" w:eastAsia="微軟正黑體" w:hAnsi="微軟正黑體"/>
          <w:b/>
          <w:bCs/>
          <w:color w:val="2E5C8A"/>
          <w:sz w:val="23"/>
          <w:szCs w:val="23"/>
        </w:rPr>
        <w:t xml:space="preserve">一、核心概念</w:t>
      </w:r>
    </w:p>
    <w:p>
      <w:pPr>
        <w:spacing w:after="200" w:line="360"/>
        <w:ind w:firstLine="431"/>
        <w:jc w:val="both"/>
      </w:pPr>
      <w:r>
        <w:rPr>
          <w:rFonts w:ascii="微軟正黑體" w:cs="微軟正黑體" w:eastAsia="微軟正黑體" w:hAnsi="微軟正黑體"/>
          <w:sz w:val="22"/>
          <w:szCs w:val="22"/>
        </w:rPr>
        <w:t xml:space="preserve">電子化政府成功需兼具技術、組織與制度三構面：高階政治支持與願景領導、使用者中心設計（以生活事件重塑服務旅程而非僅將紙本流程線上化）、跨機關資料治理與標準、資安韌性與隱私保護（從資安合規邁向零信任架構）、組織能力與公務AI素養、公私協力與GovTech生態系，以及績效評估與回饋學習。</w:t>
      </w:r>
    </w:p>
    <w:p>
      <w:pPr>
        <w:spacing w:after="140" w:before="260"/>
      </w:pPr>
      <w:r>
        <w:rPr>
          <w:rFonts w:ascii="微軟正黑體" w:cs="微軟正黑體" w:eastAsia="微軟正黑體" w:hAnsi="微軟正黑體"/>
          <w:b/>
          <w:bCs/>
          <w:color w:val="2E5C8A"/>
          <w:sz w:val="23"/>
          <w:szCs w:val="23"/>
        </w:rPr>
        <w:t xml:space="preserve">二、理論發展</w:t>
      </w:r>
    </w:p>
    <w:p>
      <w:pPr>
        <w:pStyle w:val="ListParagraph"/>
        <w:numPr>
          <w:ilvl w:val="0"/>
          <w:numId w:val="2"/>
        </w:numPr>
        <w:spacing w:after="120" w:line="340"/>
      </w:pPr>
      <w:r>
        <w:rPr>
          <w:rFonts w:ascii="微軟正黑體" w:cs="微軟正黑體" w:eastAsia="微軟正黑體" w:hAnsi="微軟正黑體"/>
          <w:sz w:val="22"/>
          <w:szCs w:val="22"/>
        </w:rPr>
        <w:t xml:space="preserve">電子化政府亦衍生結構性治理挑戰：資訊安全威脅（分散式阻斷攻擊、勒索軟體與供應鏈攻擊風險升高）、隱私與身分認證（跨機關資料串接增加個資外洩風險）、跨機關整合落差（本位主義與立法授權不足導致資料孤島）、行政課責模糊（平台化後決策由演算法輔助，責任歸屬須重新界定），以及成本與永續性（前期投資龐大，須評估淨效益、避免重複建置）。數位落差（Digital Divide）原指不同社群在近用、技能與使用層面之不平等，早期聚焦城鄉、年齡、所得與教育差距；進入AI政府時代，落差演進為數位落差2.0，核心為算力落差（Compute Divide，大型語言模型訓練推論需龐大算力，缺乏主權AI能力之政府被迫依賴境外模型）與提示落差（Prompt Divide，使用者因提示工程能力、批判查核素養與領域知識差異，獲得結果品質差異極大）；若訓練資料缺乏在地與多元族群代表性，模型回答將複製既有歧視，形成「AI治理的再落差」。</w:t>
      </w:r>
    </w:p>
    <w:p>
      <w:pPr>
        <w:pStyle w:val="ListParagraph"/>
        <w:numPr>
          <w:ilvl w:val="0"/>
          <w:numId w:val="2"/>
        </w:numPr>
        <w:spacing w:after="120" w:line="340"/>
      </w:pPr>
      <w:r>
        <w:rPr>
          <w:rFonts w:ascii="微軟正黑體" w:cs="微軟正黑體" w:eastAsia="微軟正黑體" w:hAnsi="微軟正黑體"/>
          <w:sz w:val="22"/>
          <w:szCs w:val="22"/>
        </w:rPr>
        <w:t xml:space="preserve">新公共管理後期，學者提出數位時代治理（Digital Era Governance, DEG）作為NPM之後繼典範，歷經三波：第一波電子化、第二波平台化與開放政府、第三波（2020後）AI與演算法治理，政府以資料、算力與智慧服務重塑職能。在此脈絡下，出現五個相互關聯之新興治理模式：政府作為平台（GaaP，提供資料、API、身分驗證、支付與沙盒等基礎設施）、政府即AI（Government as AI，政府決策審查客服由AI代理人輔助甚至自動執行）、數位孿生政府（建構實體政府與社會之動態數位分身，用於政策模擬與應變演練）、GovTech（以科技解決公共問題之產業生態系與採購模式）、主權AI（Sovereign AI，國家具備自主之資料、算力、模型與治理能力，我國之TAIDE即為代表）。</w:t>
      </w:r>
    </w:p>
    <w:p>
      <w:pPr>
        <w:spacing w:after="140" w:before="260"/>
      </w:pPr>
      <w:r>
        <w:rPr>
          <w:rFonts w:ascii="微軟正黑體" w:cs="微軟正黑體" w:eastAsia="微軟正黑體" w:hAnsi="微軟正黑體"/>
          <w:b/>
          <w:bCs/>
          <w:color w:val="2E5C8A"/>
          <w:sz w:val="23"/>
          <w:szCs w:val="23"/>
        </w:rPr>
        <w:t xml:space="preserve">三、主要學者</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3213"/>
        <w:gridCol w:w="4013"/>
      </w:tblGrid>
      <w:tr>
        <w:trPr>
          <w:tblHeader/>
        </w:trPr>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構面</w:t>
            </w:r>
          </w:p>
        </w:tc>
        <w:tc>
          <w:tcPr>
            <w:tcW w:type="dxa" w:w="32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數位落差1.0</w:t>
            </w:r>
          </w:p>
        </w:tc>
        <w:tc>
          <w:tcPr>
            <w:tcW w:type="dxa" w:w="40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數位落差2.0（AI時代）</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核心資源</w:t>
            </w:r>
          </w:p>
        </w:tc>
        <w:tc>
          <w:tcPr>
            <w:tcW w:type="dxa" w:w="32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網路與設備近用</w:t>
            </w:r>
          </w:p>
        </w:tc>
        <w:tc>
          <w:tcPr>
            <w:tcW w:type="dxa" w:w="40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算力、資料、基礎模型</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能力指標</w:t>
            </w:r>
          </w:p>
        </w:tc>
        <w:tc>
          <w:tcPr>
            <w:tcW w:type="dxa" w:w="32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數位素養、資訊識讀</w:t>
            </w:r>
          </w:p>
        </w:tc>
        <w:tc>
          <w:tcPr>
            <w:tcW w:type="dxa" w:w="40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提示工程、AI批判素養、可解釋性理解</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影響結果</w:t>
            </w:r>
          </w:p>
        </w:tc>
        <w:tc>
          <w:tcPr>
            <w:tcW w:type="dxa" w:w="32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資訊取得不均</w:t>
            </w:r>
          </w:p>
        </w:tc>
        <w:tc>
          <w:tcPr>
            <w:tcW w:type="dxa" w:w="40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決策品質、公共服務個人化與就業機會差距</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治理對策</w:t>
            </w:r>
          </w:p>
        </w:tc>
        <w:tc>
          <w:tcPr>
            <w:tcW w:type="dxa" w:w="32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公共上網據點、無障礙標章</w:t>
            </w:r>
          </w:p>
        </w:tc>
        <w:tc>
          <w:tcPr>
            <w:tcW w:type="dxa" w:w="40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主權AI、AI素養、演算法登記簿、偏誤稽核</w:t>
            </w:r>
          </w:p>
        </w:tc>
      </w:tr>
    </w:tbl>
    <w:p>
      <w:pPr>
        <w:spacing w:after="280" w:before="120"/>
        <w:jc w:val="center"/>
      </w:pPr>
      <w:r>
        <w:rPr>
          <w:rFonts w:ascii="微軟正黑體" w:cs="微軟正黑體" w:eastAsia="微軟正黑體" w:hAnsi="微軟正黑體"/>
          <w:i/>
          <w:iCs/>
          <w:color w:val="555555"/>
          <w:sz w:val="18"/>
          <w:szCs w:val="18"/>
        </w:rPr>
        <w:t xml:space="preserve">表24-D　數位落差1.0與2.0之比較</w:t>
      </w:r>
    </w:p>
    <w:p>
      <w:pPr>
        <w:spacing w:after="140" w:before="260"/>
      </w:pPr>
      <w:r>
        <w:rPr>
          <w:rFonts w:ascii="微軟正黑體" w:cs="微軟正黑體" w:eastAsia="微軟正黑體" w:hAnsi="微軟正黑體"/>
          <w:b/>
          <w:bCs/>
          <w:color w:val="2E5C8A"/>
          <w:sz w:val="23"/>
          <w:szCs w:val="23"/>
        </w:rPr>
        <w:t xml:space="preserve">四、核心命題</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2000"/>
        <w:gridCol w:w="2826"/>
      </w:tblGrid>
      <w:tr>
        <w:trPr>
          <w:tblHeader/>
        </w:trPr>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典範</w:t>
            </w:r>
          </w:p>
        </w:tc>
        <w:tc>
          <w:tcPr>
            <w:tcW w:type="dxa" w:w="24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核心技術</w:t>
            </w:r>
          </w:p>
        </w:tc>
        <w:tc>
          <w:tcPr>
            <w:tcW w:type="dxa" w:w="20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政府角色</w:t>
            </w:r>
          </w:p>
        </w:tc>
        <w:tc>
          <w:tcPr>
            <w:tcW w:type="dxa" w:w="28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治理議題</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電子化政府1.0</w:t>
            </w:r>
          </w:p>
        </w:tc>
        <w:tc>
          <w:tcPr>
            <w:tcW w:type="dxa" w:w="2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ICT、網站</w:t>
            </w:r>
          </w:p>
        </w:tc>
        <w:tc>
          <w:tcPr>
            <w:tcW w:type="dxa" w:w="20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資訊提供者</w:t>
            </w:r>
          </w:p>
        </w:tc>
        <w:tc>
          <w:tcPr>
            <w:tcW w:type="dxa" w:w="28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近用與效率</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行動與開放政府</w:t>
            </w:r>
          </w:p>
        </w:tc>
        <w:tc>
          <w:tcPr>
            <w:tcW w:type="dxa" w:w="2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行動裝置、開放資料</w:t>
            </w:r>
          </w:p>
        </w:tc>
        <w:tc>
          <w:tcPr>
            <w:tcW w:type="dxa" w:w="20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服務提供與資料開放者</w:t>
            </w:r>
          </w:p>
        </w:tc>
        <w:tc>
          <w:tcPr>
            <w:tcW w:type="dxa" w:w="28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透明與參與</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數位政府╱GaaP</w:t>
            </w:r>
          </w:p>
        </w:tc>
        <w:tc>
          <w:tcPr>
            <w:tcW w:type="dxa" w:w="2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雲端、API、平台</w:t>
            </w:r>
          </w:p>
        </w:tc>
        <w:tc>
          <w:tcPr>
            <w:tcW w:type="dxa" w:w="20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平台建構與生態系協作者</w:t>
            </w:r>
          </w:p>
        </w:tc>
        <w:tc>
          <w:tcPr>
            <w:tcW w:type="dxa" w:w="28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協作與共創</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AI政府</w:t>
            </w:r>
          </w:p>
        </w:tc>
        <w:tc>
          <w:tcPr>
            <w:tcW w:type="dxa" w:w="2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生成式AI、數位孿生、主權AI</w:t>
            </w:r>
          </w:p>
        </w:tc>
        <w:tc>
          <w:tcPr>
            <w:tcW w:type="dxa" w:w="20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智慧賦能與風險治理者</w:t>
            </w:r>
          </w:p>
        </w:tc>
        <w:tc>
          <w:tcPr>
            <w:tcW w:type="dxa" w:w="28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可解釋性、偏誤、主權與課責</w:t>
            </w:r>
          </w:p>
        </w:tc>
      </w:tr>
    </w:tbl>
    <w:p>
      <w:pPr>
        <w:spacing w:after="280" w:before="120"/>
        <w:jc w:val="center"/>
      </w:pPr>
      <w:r>
        <w:rPr>
          <w:rFonts w:ascii="微軟正黑體" w:cs="微軟正黑體" w:eastAsia="微軟正黑體" w:hAnsi="微軟正黑體"/>
          <w:i/>
          <w:iCs/>
          <w:color w:val="555555"/>
          <w:sz w:val="18"/>
          <w:szCs w:val="18"/>
        </w:rPr>
        <w:t xml:space="preserve">表24-E　從電子化政府到AI政府的典範轉移</w:t>
      </w:r>
    </w:p>
    <w:p>
      <w:pPr>
        <w:spacing w:after="140" w:before="260"/>
      </w:pPr>
      <w:r>
        <w:rPr>
          <w:rFonts w:ascii="微軟正黑體" w:cs="微軟正黑體" w:eastAsia="微軟正黑體" w:hAnsi="微軟正黑體"/>
          <w:b/>
          <w:bCs/>
          <w:color w:val="2E5C8A"/>
          <w:sz w:val="23"/>
          <w:szCs w:val="23"/>
        </w:rPr>
        <w:t xml:space="preserve">五、優點與限制</w:t>
      </w:r>
    </w:p>
    <w:p>
      <w:pPr>
        <w:spacing w:after="200" w:line="360"/>
        <w:ind w:firstLine="431"/>
        <w:jc w:val="both"/>
      </w:pPr>
      <w:r>
        <w:rPr>
          <w:rFonts w:ascii="微軟正黑體" w:cs="微軟正黑體" w:eastAsia="微軟正黑體" w:hAnsi="微軟正黑體"/>
          <w:sz w:val="22"/>
          <w:szCs w:val="22"/>
        </w:rPr>
        <w:t xml:space="preserve">電子化政府成功因素之貢獻在於：提供技術、組織、制度三構面之整合檢核架構，協助機關系統性診斷數位轉型瓶頸；惟其限制在於，數位落差2.0之算力落差與提示落差，遠比數位落差1.0之近用不均更難以短期政策手段弭平——算力落差涉及國家級基礎設施投資，提示落差則涉及全面性AI素養培力，兩者皆非單一機關能獨力解決，須跨部會長期投入。</w:t>
      </w:r>
    </w:p>
    <w:p>
      <w:pPr>
        <w:spacing w:after="140" w:before="260"/>
      </w:pPr>
      <w:r>
        <w:rPr>
          <w:rFonts w:ascii="微軟正黑體" w:cs="微軟正黑體" w:eastAsia="微軟正黑體" w:hAnsi="微軟正黑體"/>
          <w:b/>
          <w:bCs/>
          <w:color w:val="2E5C8A"/>
          <w:sz w:val="23"/>
          <w:szCs w:val="23"/>
        </w:rPr>
        <w:t xml:space="preserve">六、當代發展</w:t>
      </w:r>
    </w:p>
    <w:p>
      <w:pPr>
        <w:spacing w:after="200" w:line="360"/>
        <w:ind w:firstLine="431"/>
        <w:jc w:val="both"/>
      </w:pPr>
      <w:r>
        <w:rPr>
          <w:rFonts w:ascii="微軟正黑體" w:cs="微軟正黑體" w:eastAsia="微軟正黑體" w:hAnsi="微軟正黑體"/>
          <w:sz w:val="22"/>
          <w:szCs w:val="22"/>
        </w:rPr>
        <w:t xml:space="preserve">我國因應數位落差2.0之策略包含：主權AI底層算力由國網中心晶創超級電腦提供、TAIDE開源可地端部署降低算力門檻，以及以《AI基本法》要求高風險系統須進行資料代表性檢視，此一制度回應之完整治理框架留待第四節AI治理專節深入闡述。</w:t>
      </w:r>
    </w:p>
    <w:p>
      <w:pPr>
        <w:spacing w:after="140" w:before="260"/>
      </w:pPr>
      <w:r>
        <w:rPr>
          <w:rFonts w:ascii="微軟正黑體" w:cs="微軟正黑體" w:eastAsia="微軟正黑體" w:hAnsi="微軟正黑體"/>
          <w:b/>
          <w:bCs/>
          <w:color w:val="2E5C8A"/>
          <w:sz w:val="23"/>
          <w:szCs w:val="23"/>
        </w:rPr>
        <w:t xml:space="preserve">七、臺灣行政實務</w:t>
      </w:r>
    </w:p>
    <w:p>
      <w:pPr>
        <w:spacing w:after="200" w:line="360"/>
        <w:ind w:firstLine="431"/>
        <w:jc w:val="both"/>
      </w:pPr>
      <w:r>
        <w:rPr>
          <w:rFonts w:ascii="微軟正黑體" w:cs="微軟正黑體" w:eastAsia="微軟正黑體" w:hAnsi="微軟正黑體"/>
          <w:sz w:val="22"/>
          <w:szCs w:val="22"/>
        </w:rPr>
        <w:t xml:space="preserve">數位發展部整合我國資安、資料治理與數位政策職能，是回應電子化政府治理挑戰與數位落差2.0之關鍵制度安排；TAIDE作為我國主權AI之代表性成果，同時回應算力落差（開源可地端部署）與資料主權（繁體中文語料訓練）雙重課題。</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【國考考點】</w:t>
            </w:r>
          </w:p>
          <w:p>
            <w:pPr>
              <w:spacing w:after="80" w:line="320"/>
            </w:pPr>
            <w:r>
              <w:rPr>
                <w:rFonts w:ascii="微軟正黑體" w:cs="微軟正黑體" w:eastAsia="微軟正黑體" w:hAnsi="微軟正黑體"/>
                <w:sz w:val="21"/>
                <w:szCs w:val="21"/>
              </w:rPr>
              <w:t xml:space="preserve">•　電子化政府成功三構面（技術╱組織╱制度）與五項結構性治理挑戰（資安╱隱私╱整合落差╱課責模糊╱成本永續）。</w:t>
            </w:r>
          </w:p>
          <w:p>
            <w:pPr>
              <w:spacing w:after="80" w:line="320"/>
            </w:pPr>
            <w:r>
              <w:rPr>
                <w:rFonts w:ascii="微軟正黑體" w:cs="微軟正黑體" w:eastAsia="微軟正黑體" w:hAnsi="微軟正黑體"/>
                <w:sz w:val="21"/>
                <w:szCs w:val="21"/>
              </w:rPr>
              <w:t xml:space="preserve">•　數位落差1.0與2.0之核心差異：近用技能落差 vs. 算力落差與提示落差，為AI時代新興考點。</w:t>
            </w:r>
          </w:p>
          <w:p>
            <w:pPr>
              <w:spacing w:after="0" w:line="320"/>
            </w:pPr>
            <w:r>
              <w:rPr>
                <w:rFonts w:ascii="微軟正黑體" w:cs="微軟正黑體" w:eastAsia="微軟正黑體" w:hAnsi="微軟正黑體"/>
                <w:sz w:val="21"/>
                <w:szCs w:val="21"/>
              </w:rPr>
              <w:t xml:space="preserve">•　DEG第三波五個新興治理模式（GaaP╱政府即AI╱數位孿生政府╱GovTech╱主權AI）之定義與相互關聯。</w:t>
            </w:r>
          </w:p>
        </w:tc>
      </w:tr>
    </w:tbl>
    <w:p>
      <w:pPr>
        <w:spacing w:after="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【一分鐘記憶】</w:t>
            </w:r>
          </w:p>
          <w:p>
            <w:pPr>
              <w:spacing w:after="80" w:line="320"/>
            </w:pPr>
            <w:r>
              <w:rPr>
                <w:rFonts w:ascii="微軟正黑體" w:cs="微軟正黑體" w:eastAsia="微軟正黑體" w:hAnsi="微軟正黑體"/>
                <w:sz w:val="21"/>
                <w:szCs w:val="21"/>
              </w:rPr>
              <w:t xml:space="preserve">•　數位落差2.0雙落差口訣：算力落差（誰有超級電腦）＋提示落差（誰會問AI問題）。</w:t>
            </w:r>
          </w:p>
          <w:p>
            <w:pPr>
              <w:spacing w:after="0" w:line="320"/>
            </w:pPr>
            <w:r>
              <w:rPr>
                <w:rFonts w:ascii="微軟正黑體" w:cs="微軟正黑體" w:eastAsia="微軟正黑體" w:hAnsi="微軟正黑體"/>
                <w:sz w:val="21"/>
                <w:szCs w:val="21"/>
              </w:rPr>
              <w:t xml:space="preserve">•　DEG三波口訣：第一波電子化（上網）→第二波平台化（開放資料）→第三波AI化（演算法治理）。</w:t>
            </w:r>
          </w:p>
        </w:tc>
      </w:tr>
    </w:tbl>
    <w:p>
      <w:pPr>
        <w:spacing w:after="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DECEA" w:sz="2"/>
              <w:left w:val="single" w:color="C0392B" w:sz="24"/>
              <w:bottom w:val="single" w:color="FDECEA" w:sz="2"/>
              <w:right w:val="single" w:color="FDECEA" w:sz="2"/>
            </w:tcBorders>
            <w:shd w:fill="FDECEA" w:val="clear"/>
            <w:tcMar>
              <w:top w:type="dxa" w:w="160"/>
              <w:left w:type="dxa" w:w="220"/>
              <w:bottom w:type="dxa" w:w="160"/>
              <w:right w:type="dxa" w:w="220"/>
            </w:tcMar>
          </w:tcPr>
          <w:p>
            <w:pPr>
              <w:spacing w:after="100"/>
            </w:pPr>
            <w:r>
              <w:rPr>
                <w:rFonts w:ascii="微軟正黑體" w:cs="微軟正黑體" w:eastAsia="微軟正黑體" w:hAnsi="微軟正黑體"/>
                <w:b/>
                <w:bCs/>
                <w:color w:val="C0392B"/>
                <w:sz w:val="22"/>
                <w:szCs w:val="22"/>
              </w:rPr>
              <w:t xml:space="preserve">【容易混淆】</w:t>
            </w:r>
          </w:p>
          <w:p>
            <w:pPr>
              <w:spacing w:after="80" w:line="320"/>
            </w:pPr>
            <w:r>
              <w:rPr>
                <w:rFonts w:ascii="微軟正黑體" w:cs="微軟正黑體" w:eastAsia="微軟正黑體" w:hAnsi="微軟正黑體"/>
                <w:sz w:val="21"/>
                <w:szCs w:val="21"/>
              </w:rPr>
              <w:t xml:space="preserve">•　「算力落差」與「提示落差」不同——算力落差是基礎設施層次之不平等（誰擁有訓練與推論大型語言模型之運算資源），提示落差是使用者能力層次之不平等（即使提供相同AI工具，因提示工程與批判素養差異而獲得品質不均之結果），兩者治理對策截然不同，不宜混用。</w:t>
            </w:r>
          </w:p>
          <w:p>
            <w:pPr>
              <w:spacing w:after="0" w:line="320"/>
            </w:pPr>
            <w:r>
              <w:rPr>
                <w:rFonts w:ascii="微軟正黑體" w:cs="微軟正黑體" w:eastAsia="微軟正黑體" w:hAnsi="微軟正黑體"/>
                <w:sz w:val="21"/>
                <w:szCs w:val="21"/>
              </w:rPr>
              <w:t xml:space="preserve">•　「政府作為平台（GaaP）」與「政府即AI（Government as AI）」不同——GaaP強調政府提供基礎設施供民間共創服務（政府是舞台），政府即AI則強調政府決策審查客服本身由AI代理人輔助甚至自動執行（政府是演員），兩者雖同屬DEG第三波治理模式，惟政府角色定位並不相同。</w:t>
            </w:r>
          </w:p>
        </w:tc>
      </w:tr>
    </w:tbl>
    <w:p>
      <w:pPr>
        <w:spacing w:after="280"/>
      </w:pPr>
    </w:p>
    <w:p>
      <w:pPr>
        <w:spacing w:after="180" w:before="360"/>
      </w:pPr>
      <w:r>
        <w:rPr>
          <w:rFonts w:ascii="微軟正黑體" w:cs="微軟正黑體" w:eastAsia="微軟正黑體" w:hAnsi="微軟正黑體"/>
          <w:b/>
          <w:bCs/>
          <w:color w:val="1F4E79"/>
          <w:sz w:val="26"/>
          <w:szCs w:val="26"/>
        </w:rPr>
        <w:t xml:space="preserve">第三節　溝通的意涵、類型與障礙、公共關係與衝突管理</w:t>
      </w:r>
    </w:p>
    <w:p>
      <w:pPr>
        <w:spacing w:after="140" w:before="260"/>
      </w:pPr>
      <w:r>
        <w:rPr>
          <w:rFonts w:ascii="微軟正黑體" w:cs="微軟正黑體" w:eastAsia="微軟正黑體" w:hAnsi="微軟正黑體"/>
          <w:b/>
          <w:bCs/>
          <w:color w:val="2E5C8A"/>
          <w:sz w:val="23"/>
          <w:szCs w:val="23"/>
        </w:rPr>
        <w:t xml:space="preserve">一、核心概念</w:t>
      </w:r>
    </w:p>
    <w:p>
      <w:pPr>
        <w:spacing w:after="200" w:line="360"/>
        <w:ind w:firstLine="431"/>
        <w:jc w:val="both"/>
      </w:pPr>
      <w:r>
        <w:rPr>
          <w:rFonts w:ascii="微軟正黑體" w:cs="微軟正黑體" w:eastAsia="微軟正黑體" w:hAnsi="微軟正黑體"/>
          <w:sz w:val="22"/>
          <w:szCs w:val="22"/>
        </w:rPr>
        <w:t xml:space="preserve">溝通（Communication）源於拉丁文communis，意指共享、共有。行政學上，溝通係指二人以上透過符號（語言、文字、圖像、肢體、數位訊號）進行訊息傳遞、意義共享與行為協調之持續性過程，其核心不在於訊息發送，而在於共同理解（shared understanding）之達成。</w:t>
      </w:r>
    </w:p>
    <w:p>
      <w:pPr>
        <w:spacing w:after="140" w:before="260"/>
      </w:pPr>
      <w:r>
        <w:rPr>
          <w:rFonts w:ascii="微軟正黑體" w:cs="微軟正黑體" w:eastAsia="微軟正黑體" w:hAnsi="微軟正黑體"/>
          <w:b/>
          <w:bCs/>
          <w:color w:val="2E5C8A"/>
          <w:sz w:val="23"/>
          <w:szCs w:val="23"/>
        </w:rPr>
        <w:t xml:space="preserve">二、理論發展</w:t>
      </w:r>
    </w:p>
    <w:p>
      <w:pPr>
        <w:pStyle w:val="ListParagraph"/>
        <w:numPr>
          <w:ilvl w:val="0"/>
          <w:numId w:val="2"/>
        </w:numPr>
        <w:spacing w:after="120" w:line="340"/>
      </w:pPr>
      <w:r>
        <w:rPr>
          <w:rFonts w:ascii="微軟正黑體" w:cs="微軟正黑體" w:eastAsia="微軟正黑體" w:hAnsi="微軟正黑體"/>
          <w:sz w:val="22"/>
          <w:szCs w:val="22"/>
        </w:rPr>
        <w:t xml:space="preserve">Barnard將溝通列為組織存續三要素之一，認為缺乏溝通，組織即無法維持共同目標與貢獻意願；Simon則指出，行政決策即是溝通決策前提之過程；Hodgetts提出有效溝通四階段——注意、理解、接受、行動，若任一階段斷裂，即產生溝通失效。行政溝通可依組織結構分為正式溝通（依循組織層級節制與權限體系，具權威性但易僵化）與非正式溝通（依人際網絡產生，速度快彈性高但易謠言化）；依溝通方向分為下行（上級向下屬傳達政策目標）、上行（部屬向上反映執行狀況，為民主參與式管理之基礎）、平行（同層級或不同單位協調）與斜行溝通（跨越層級與單位，為危機時突破科層之彈性管道）。溝通障礙常見者包括過濾作用、選擇性認知、情緒、語言、非語言線索不一致、組織結構障礙與資訊超載；AI時代新增三重障礙：演算法過濾泡泡（Filter Bubble）強化同溫層、深偽（Deepfake）與生成式假訊息造成真實性崩解、以及人機語意落差導致自動化冷漠。</w:t>
      </w:r>
    </w:p>
    <w:p>
      <w:pPr>
        <w:pStyle w:val="ListParagraph"/>
        <w:numPr>
          <w:ilvl w:val="0"/>
          <w:numId w:val="2"/>
        </w:numPr>
        <w:spacing w:after="120" w:line="340"/>
      </w:pPr>
      <w:r>
        <w:rPr>
          <w:rFonts w:ascii="微軟正黑體" w:cs="微軟正黑體" w:eastAsia="微軟正黑體" w:hAnsi="微軟正黑體"/>
          <w:sz w:val="22"/>
          <w:szCs w:val="22"/>
        </w:rPr>
        <w:t xml:space="preserve">公共關係係行政機關為爭取公眾瞭解、友善與支持，促進雙向溝通之持續性管理活動，其前提為履行社會責任，基礎為機構本身良好表現，公關並非化妝術；政府公共關係已從傳統政令宣傳、單向發布，轉向數位公共關係，透過社群聆聽、資料視覺化、互動敘事重建信任。衝突（Conflict）指個體或團體因目標、價值、資源、認知差異而產生之不一致狀態，學界對衝突之評價演變三階段：傳統學派視衝突為病態應消除、行為學派視衝突為自然存在應接受解決、互動學派則肯定衝突之積極功能，管理者應主動刺激功能性衝突、抑制破壞性衝突。</w:t>
      </w:r>
    </w:p>
    <w:p>
      <w:pPr>
        <w:spacing w:after="140" w:before="260"/>
      </w:pPr>
      <w:r>
        <w:rPr>
          <w:rFonts w:ascii="微軟正黑體" w:cs="微軟正黑體" w:eastAsia="微軟正黑體" w:hAnsi="微軟正黑體"/>
          <w:b/>
          <w:bCs/>
          <w:color w:val="2E5C8A"/>
          <w:sz w:val="23"/>
          <w:szCs w:val="23"/>
        </w:rPr>
        <w:t xml:space="preserve">三、主要學者</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000"/>
        <w:gridCol w:w="2400"/>
        <w:gridCol w:w="5626"/>
      </w:tblGrid>
      <w:tr>
        <w:trPr>
          <w:tblHeader/>
        </w:trPr>
        <w:tc>
          <w:tcPr>
            <w:tcW w:type="dxa" w:w="10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判準</w:t>
            </w:r>
          </w:p>
        </w:tc>
        <w:tc>
          <w:tcPr>
            <w:tcW w:type="dxa" w:w="24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類型</w:t>
            </w:r>
          </w:p>
        </w:tc>
        <w:tc>
          <w:tcPr>
            <w:tcW w:type="dxa" w:w="56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功能／AI時代變異</w:t>
            </w:r>
          </w:p>
        </w:tc>
      </w:tr>
      <w:tr>
        <w:tc>
          <w:tcPr>
            <w:tcW w:type="dxa" w:w="10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結構</w:t>
            </w:r>
          </w:p>
        </w:tc>
        <w:tc>
          <w:tcPr>
            <w:tcW w:type="dxa" w:w="2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正式╱非正式溝通</w:t>
            </w:r>
          </w:p>
        </w:tc>
        <w:tc>
          <w:tcPr>
            <w:tcW w:type="dxa" w:w="56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維持層級課責╱補充資訊情感支持；AI時代：電子公文2.0＋AI自動分文，即時通訊群組謠言擴散加速</w:t>
            </w:r>
          </w:p>
        </w:tc>
      </w:tr>
      <w:tr>
        <w:tc>
          <w:tcPr>
            <w:tcW w:type="dxa" w:w="10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方向</w:t>
            </w:r>
          </w:p>
        </w:tc>
        <w:tc>
          <w:tcPr>
            <w:tcW w:type="dxa" w:w="2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下行╱上行╱平行╱斜行</w:t>
            </w:r>
          </w:p>
        </w:tc>
        <w:tc>
          <w:tcPr>
            <w:tcW w:type="dxa" w:w="56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指揮、回饋、協調、突破；AI時代：AI儀表板自動下行推播輿情，上行透過AI語意分析彙整民意</w:t>
            </w:r>
          </w:p>
        </w:tc>
      </w:tr>
      <w:tr>
        <w:tc>
          <w:tcPr>
            <w:tcW w:type="dxa" w:w="10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管道</w:t>
            </w:r>
          </w:p>
        </w:tc>
        <w:tc>
          <w:tcPr>
            <w:tcW w:type="dxa" w:w="2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書面╱口頭╱電子溝通</w:t>
            </w:r>
          </w:p>
        </w:tc>
        <w:tc>
          <w:tcPr>
            <w:tcW w:type="dxa" w:w="56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紀錄、互動、整合；AI時代：生成式AI自動生成公文、會議摘要、多語言即時轉譯</w:t>
            </w:r>
          </w:p>
        </w:tc>
      </w:tr>
    </w:tbl>
    <w:p>
      <w:pPr>
        <w:spacing w:after="280" w:before="120"/>
        <w:jc w:val="center"/>
      </w:pPr>
      <w:r>
        <w:rPr>
          <w:rFonts w:ascii="微軟正黑體" w:cs="微軟正黑體" w:eastAsia="微軟正黑體" w:hAnsi="微軟正黑體"/>
          <w:i/>
          <w:iCs/>
          <w:color w:val="555555"/>
          <w:sz w:val="18"/>
          <w:szCs w:val="18"/>
        </w:rPr>
        <w:t xml:space="preserve">表24-F　行政溝通類型整合比較</w:t>
      </w:r>
    </w:p>
    <w:p>
      <w:pPr>
        <w:spacing w:after="140" w:before="260"/>
      </w:pPr>
      <w:r>
        <w:rPr>
          <w:rFonts w:ascii="微軟正黑體" w:cs="微軟正黑體" w:eastAsia="微軟正黑體" w:hAnsi="微軟正黑體"/>
          <w:b/>
          <w:bCs/>
          <w:color w:val="2E5C8A"/>
          <w:sz w:val="23"/>
          <w:szCs w:val="23"/>
        </w:rPr>
        <w:t xml:space="preserve">四、核心命題</w:t>
      </w:r>
    </w:p>
    <w:p>
      <w:pPr>
        <w:spacing w:after="200" w:line="360"/>
        <w:ind w:firstLine="431"/>
        <w:jc w:val="both"/>
      </w:pPr>
      <w:r>
        <w:rPr>
          <w:rFonts w:ascii="微軟正黑體" w:cs="微軟正黑體" w:eastAsia="微軟正黑體" w:hAnsi="微軟正黑體"/>
          <w:sz w:val="22"/>
          <w:szCs w:val="22"/>
        </w:rPr>
        <w:t xml:space="preserve">個人層次衝突包含角色衝突、挫折反應與目標矛盾（Lewin所稱雙趨、雙避、趨避與多重趨避衝突，其中趨避衝突最為常見）；人際衝突為組織中最常見之衝突；組織衝突則因資源爭奪、目標不一致、任務相依性與差異性過大而起。Pondy提出團體衝突五階段，理解階段有助於早期介入：</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400"/>
        <w:gridCol w:w="3813"/>
        <w:gridCol w:w="3813"/>
      </w:tblGrid>
      <w:tr>
        <w:trPr>
          <w:tblHeader/>
        </w:trPr>
        <w:tc>
          <w:tcPr>
            <w:tcW w:type="dxa" w:w="14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階段</w:t>
            </w:r>
          </w:p>
        </w:tc>
        <w:tc>
          <w:tcPr>
            <w:tcW w:type="dxa" w:w="38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內涵</w:t>
            </w:r>
          </w:p>
        </w:tc>
        <w:tc>
          <w:tcPr>
            <w:tcW w:type="dxa" w:w="38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早期介入意義</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潛伏期</w:t>
            </w:r>
          </w:p>
        </w:tc>
        <w:tc>
          <w:tcPr>
            <w:tcW w:type="dxa" w:w="3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資源目標認知差異已客觀存在，惟尚未表面化</w:t>
            </w:r>
          </w:p>
        </w:tc>
        <w:tc>
          <w:tcPr>
            <w:tcW w:type="dxa" w:w="3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尚無需正式介入，惟制度設計宜預先降低潛在衝突源</w:t>
            </w:r>
          </w:p>
        </w:tc>
      </w:tr>
      <w:tr>
        <w:tc>
          <w:tcPr>
            <w:tcW w:type="dxa" w:w="1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認知期</w:t>
            </w:r>
          </w:p>
        </w:tc>
        <w:tc>
          <w:tcPr>
            <w:tcW w:type="dxa" w:w="38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一方或雙方察覺分歧存在</w:t>
            </w:r>
          </w:p>
        </w:tc>
        <w:tc>
          <w:tcPr>
            <w:tcW w:type="dxa" w:w="38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文獻公認之最佳介入時機，可透過資訊共享與溝通及早化解</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感覺期</w:t>
            </w:r>
          </w:p>
        </w:tc>
        <w:tc>
          <w:tcPr>
            <w:tcW w:type="dxa" w:w="3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情緒內化，開始產生焦慮敵意</w:t>
            </w:r>
          </w:p>
        </w:tc>
        <w:tc>
          <w:tcPr>
            <w:tcW w:type="dxa" w:w="3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介入須先處理情緒，再處理實質分歧</w:t>
            </w:r>
          </w:p>
        </w:tc>
      </w:tr>
      <w:tr>
        <w:tc>
          <w:tcPr>
            <w:tcW w:type="dxa" w:w="1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外顯期</w:t>
            </w:r>
          </w:p>
        </w:tc>
        <w:tc>
          <w:tcPr>
            <w:tcW w:type="dxa" w:w="38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公開攻擊、抵制或對抗行為</w:t>
            </w:r>
          </w:p>
        </w:tc>
        <w:tc>
          <w:tcPr>
            <w:tcW w:type="dxa" w:w="38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介入成本已大幅提高，須動用正式衝突處理機制</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餘波期</w:t>
            </w:r>
          </w:p>
        </w:tc>
        <w:tc>
          <w:tcPr>
            <w:tcW w:type="dxa" w:w="3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衝突解決則關係修復，未解決則關係惡化累積</w:t>
            </w:r>
          </w:p>
        </w:tc>
        <w:tc>
          <w:tcPr>
            <w:tcW w:type="dxa" w:w="3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後續預防與制度學習之關鍵階段</w:t>
            </w:r>
          </w:p>
        </w:tc>
      </w:tr>
    </w:tbl>
    <w:p>
      <w:pPr>
        <w:spacing w:after="280" w:before="120"/>
        <w:jc w:val="center"/>
      </w:pPr>
      <w:r>
        <w:rPr>
          <w:rFonts w:ascii="微軟正黑體" w:cs="微軟正黑體" w:eastAsia="微軟正黑體" w:hAnsi="微軟正黑體"/>
          <w:i/>
          <w:iCs/>
          <w:color w:val="555555"/>
          <w:sz w:val="18"/>
          <w:szCs w:val="18"/>
        </w:rPr>
        <w:t xml:space="preserve">表24-G　Pondy衝突五階段</w:t>
      </w:r>
    </w:p>
    <w:p>
      <w:pPr>
        <w:spacing w:after="140" w:before="260"/>
      </w:pPr>
      <w:r>
        <w:rPr>
          <w:rFonts w:ascii="微軟正黑體" w:cs="微軟正黑體" w:eastAsia="微軟正黑體" w:hAnsi="微軟正黑體"/>
          <w:b/>
          <w:bCs/>
          <w:color w:val="2E5C8A"/>
          <w:sz w:val="23"/>
          <w:szCs w:val="23"/>
        </w:rPr>
        <w:t xml:space="preserve">五、優點與限制</w:t>
      </w:r>
    </w:p>
    <w:p>
      <w:pPr>
        <w:spacing w:after="200" w:line="360"/>
        <w:ind w:firstLine="431"/>
        <w:jc w:val="both"/>
      </w:pPr>
      <w:r>
        <w:rPr>
          <w:rFonts w:ascii="微軟正黑體" w:cs="微軟正黑體" w:eastAsia="微軟正黑體" w:hAnsi="微軟正黑體"/>
          <w:sz w:val="22"/>
          <w:szCs w:val="22"/>
        </w:rPr>
        <w:t xml:space="preserve">衝突之正功能包括激發創新、提升決策品質、釐清觀念、迫使尋求新途徑；負功能則包括造成壓力倦怠、溝通不良、信任崩解與抗拒變遷。Thomas與Rahim依堅持（關注自我利益）與合作（關注他人利益）二維度，提出五種處理策略，無最佳策略，須情境權變：</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200"/>
        <w:gridCol w:w="1800"/>
        <w:gridCol w:w="1800"/>
        <w:gridCol w:w="4226"/>
      </w:tblGrid>
      <w:tr>
        <w:trPr>
          <w:tblHeader/>
        </w:trPr>
        <w:tc>
          <w:tcPr>
            <w:tcW w:type="dxa" w:w="1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策略</w:t>
            </w:r>
          </w:p>
        </w:tc>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堅持／合作</w:t>
            </w:r>
          </w:p>
        </w:tc>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結果</w:t>
            </w:r>
          </w:p>
        </w:tc>
        <w:tc>
          <w:tcPr>
            <w:tcW w:type="dxa" w:w="42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適用情境</w:t>
            </w:r>
          </w:p>
        </w:tc>
      </w:tr>
      <w:tr>
        <w:tc>
          <w:tcPr>
            <w:tcW w:type="dxa" w:w="1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規避</w:t>
            </w:r>
          </w:p>
        </w:tc>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低╱低</w:t>
            </w:r>
          </w:p>
        </w:tc>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雙輸</w:t>
            </w:r>
          </w:p>
        </w:tc>
        <w:tc>
          <w:tcPr>
            <w:tcW w:type="dxa" w:w="42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議題瑣碎、需冷靜、他人更能處理</w:t>
            </w:r>
          </w:p>
        </w:tc>
      </w:tr>
      <w:tr>
        <w:tc>
          <w:tcPr>
            <w:tcW w:type="dxa" w:w="1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順應</w:t>
            </w:r>
          </w:p>
        </w:tc>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低╱高</w:t>
            </w:r>
          </w:p>
        </w:tc>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自己輸對方贏</w:t>
            </w:r>
          </w:p>
        </w:tc>
        <w:tc>
          <w:tcPr>
            <w:tcW w:type="dxa" w:w="42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議題對對方重要、需累積善意</w:t>
            </w:r>
          </w:p>
        </w:tc>
      </w:tr>
      <w:tr>
        <w:tc>
          <w:tcPr>
            <w:tcW w:type="dxa" w:w="1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妥協</w:t>
            </w:r>
          </w:p>
        </w:tc>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中╱中</w:t>
            </w:r>
          </w:p>
        </w:tc>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皆有輸贏</w:t>
            </w:r>
          </w:p>
        </w:tc>
        <w:tc>
          <w:tcPr>
            <w:tcW w:type="dxa" w:w="42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勢均力敵、時間壓力、需暫時共識</w:t>
            </w:r>
          </w:p>
        </w:tc>
      </w:tr>
      <w:tr>
        <w:tc>
          <w:tcPr>
            <w:tcW w:type="dxa" w:w="1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競爭</w:t>
            </w:r>
          </w:p>
        </w:tc>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高╱低</w:t>
            </w:r>
          </w:p>
        </w:tc>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自己贏對方輸</w:t>
            </w:r>
          </w:p>
        </w:tc>
        <w:tc>
          <w:tcPr>
            <w:tcW w:type="dxa" w:w="42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緊急、重要原則、需快速決斷</w:t>
            </w:r>
          </w:p>
        </w:tc>
      </w:tr>
      <w:tr>
        <w:tc>
          <w:tcPr>
            <w:tcW w:type="dxa" w:w="1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合作</w:t>
            </w:r>
          </w:p>
        </w:tc>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高╱高</w:t>
            </w:r>
          </w:p>
        </w:tc>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雙贏</w:t>
            </w:r>
          </w:p>
        </w:tc>
        <w:tc>
          <w:tcPr>
            <w:tcW w:type="dxa" w:w="42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需整合資源、創新解方、長期關係</w:t>
            </w:r>
          </w:p>
        </w:tc>
      </w:tr>
    </w:tbl>
    <w:p>
      <w:pPr>
        <w:spacing w:after="280" w:before="120"/>
        <w:jc w:val="center"/>
      </w:pPr>
      <w:r>
        <w:rPr>
          <w:rFonts w:ascii="微軟正黑體" w:cs="微軟正黑體" w:eastAsia="微軟正黑體" w:hAnsi="微軟正黑體"/>
          <w:i/>
          <w:iCs/>
          <w:color w:val="555555"/>
          <w:sz w:val="18"/>
          <w:szCs w:val="18"/>
        </w:rPr>
        <w:t xml:space="preserve">表24-H　Thomas衝突處理五策略</w:t>
      </w:r>
    </w:p>
    <w:p>
      <w:pPr>
        <w:spacing w:after="140" w:before="260"/>
      </w:pPr>
      <w:r>
        <w:rPr>
          <w:rFonts w:ascii="微軟正黑體" w:cs="微軟正黑體" w:eastAsia="微軟正黑體" w:hAnsi="微軟正黑體"/>
          <w:b/>
          <w:bCs/>
          <w:color w:val="2E5C8A"/>
          <w:sz w:val="23"/>
          <w:szCs w:val="23"/>
        </w:rPr>
        <w:t xml:space="preserve">六、當代發展</w:t>
      </w:r>
    </w:p>
    <w:p>
      <w:pPr>
        <w:spacing w:after="200" w:line="360"/>
        <w:ind w:firstLine="431"/>
        <w:jc w:val="both"/>
      </w:pPr>
      <w:r>
        <w:rPr>
          <w:rFonts w:ascii="微軟正黑體" w:cs="微軟正黑體" w:eastAsia="微軟正黑體" w:hAnsi="微軟正黑體"/>
          <w:sz w:val="22"/>
          <w:szCs w:val="22"/>
        </w:rPr>
        <w:t xml:space="preserve">AI時代之溝通變異在於：溝通主體擴增為人與人、人與機、機與機三元；溝通內容從實體經驗轉向合成內容；溝通管道從單向宣傳轉向演算法推播與平台中介，傳統線性模式（發送者—訊息—管道—接收者—回饋）須納入演算法策展與深偽干擾層，此一變異之完整治理回應留待第四節AI治理專節深入闡述。</w:t>
      </w:r>
    </w:p>
    <w:p>
      <w:pPr>
        <w:spacing w:after="140" w:before="260"/>
      </w:pPr>
      <w:r>
        <w:rPr>
          <w:rFonts w:ascii="微軟正黑體" w:cs="微軟正黑體" w:eastAsia="微軟正黑體" w:hAnsi="微軟正黑體"/>
          <w:b/>
          <w:bCs/>
          <w:color w:val="2E5C8A"/>
          <w:sz w:val="23"/>
          <w:szCs w:val="23"/>
        </w:rPr>
        <w:t xml:space="preserve">七、臺灣行政實務</w:t>
      </w:r>
    </w:p>
    <w:p>
      <w:pPr>
        <w:spacing w:after="200" w:line="360"/>
        <w:ind w:firstLine="431"/>
        <w:jc w:val="both"/>
      </w:pPr>
      <w:r>
        <w:rPr>
          <w:rFonts w:ascii="微軟正黑體" w:cs="微軟正黑體" w:eastAsia="微軟正黑體" w:hAnsi="微軟正黑體"/>
          <w:sz w:val="22"/>
          <w:szCs w:val="22"/>
        </w:rPr>
        <w:t xml:space="preserve">學者歸納有效溝通對策：積極傾聽、減少層級縮短權力距離、善用多重管道與回饋機制、精煉語言避免專業傲慢（推動政府文書「全民易讀」運動），以及強化非語言一致性與信任關係；管理者面對衝突應培養情緒調節、積極傾聽與同理心，並善用制度設計如明確分配規則、資訊共享與增加互動頻率，以預防資源型衝突。</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【國考考點】</w:t>
            </w:r>
          </w:p>
          <w:p>
            <w:pPr>
              <w:spacing w:after="80" w:line="320"/>
            </w:pPr>
            <w:r>
              <w:rPr>
                <w:rFonts w:ascii="微軟正黑體" w:cs="微軟正黑體" w:eastAsia="微軟正黑體" w:hAnsi="微軟正黑體"/>
                <w:sz w:val="21"/>
                <w:szCs w:val="21"/>
              </w:rPr>
              <w:t xml:space="preserve">•　溝通四方向（下行╱上行╱平行╱斜行）之功能與適用情境，斜行溝通為危機時突破科層之彈性管道，為考生易忽略之考點。</w:t>
            </w:r>
          </w:p>
          <w:p>
            <w:pPr>
              <w:spacing w:after="80" w:line="320"/>
            </w:pPr>
            <w:r>
              <w:rPr>
                <w:rFonts w:ascii="微軟正黑體" w:cs="微軟正黑體" w:eastAsia="微軟正黑體" w:hAnsi="微軟正黑體"/>
                <w:sz w:val="21"/>
                <w:szCs w:val="21"/>
              </w:rPr>
              <w:t xml:space="preserve">•　Pondy衝突五階段（潛伏╱認知╱感覺╱外顯╱餘波）與最佳介入時機（認知期），為衝突診斷題型之標準答題架構。</w:t>
            </w:r>
          </w:p>
          <w:p>
            <w:pPr>
              <w:spacing w:after="0" w:line="320"/>
            </w:pPr>
            <w:r>
              <w:rPr>
                <w:rFonts w:ascii="微軟正黑體" w:cs="微軟正黑體" w:eastAsia="微軟正黑體" w:hAnsi="微軟正黑體"/>
                <w:sz w:val="21"/>
                <w:szCs w:val="21"/>
              </w:rPr>
              <w:t xml:space="preserve">•　Thomas五策略（規避╱順應╱妥協╱競爭╱合作）依堅持合作二維度定位，無最佳策略、須情境權變。</w:t>
            </w:r>
          </w:p>
        </w:tc>
      </w:tr>
    </w:tbl>
    <w:p>
      <w:pPr>
        <w:spacing w:after="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【一分鐘記憶】</w:t>
            </w:r>
          </w:p>
          <w:p>
            <w:pPr>
              <w:spacing w:after="80" w:line="320"/>
            </w:pPr>
            <w:r>
              <w:rPr>
                <w:rFonts w:ascii="微軟正黑體" w:cs="微軟正黑體" w:eastAsia="微軟正黑體" w:hAnsi="微軟正黑體"/>
                <w:sz w:val="21"/>
                <w:szCs w:val="21"/>
              </w:rPr>
              <w:t xml:space="preserve">•　衝突評價三學派口訣：傳統學派消除它（病態）→行為學派接受它（中性）→互動學派善用它（功能性刺激）。</w:t>
            </w:r>
          </w:p>
          <w:p>
            <w:pPr>
              <w:spacing w:after="0" w:line="320"/>
            </w:pPr>
            <w:r>
              <w:rPr>
                <w:rFonts w:ascii="微軟正黑體" w:cs="微軟正黑體" w:eastAsia="微軟正黑體" w:hAnsi="微軟正黑體"/>
                <w:sz w:val="21"/>
                <w:szCs w:val="21"/>
              </w:rPr>
              <w:t xml:space="preserve">•　Thomas五策略記憶：低低規避、低高順應、中中妥協、高低競爭、高高合作——堅持看橫軸，合作看縱軸。</w:t>
            </w:r>
          </w:p>
        </w:tc>
      </w:tr>
    </w:tbl>
    <w:p>
      <w:pPr>
        <w:spacing w:after="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DECEA" w:sz="2"/>
              <w:left w:val="single" w:color="C0392B" w:sz="24"/>
              <w:bottom w:val="single" w:color="FDECEA" w:sz="2"/>
              <w:right w:val="single" w:color="FDECEA" w:sz="2"/>
            </w:tcBorders>
            <w:shd w:fill="FDECEA" w:val="clear"/>
            <w:tcMar>
              <w:top w:type="dxa" w:w="160"/>
              <w:left w:type="dxa" w:w="220"/>
              <w:bottom w:type="dxa" w:w="160"/>
              <w:right w:type="dxa" w:w="220"/>
            </w:tcMar>
          </w:tcPr>
          <w:p>
            <w:pPr>
              <w:spacing w:after="100"/>
            </w:pPr>
            <w:r>
              <w:rPr>
                <w:rFonts w:ascii="微軟正黑體" w:cs="微軟正黑體" w:eastAsia="微軟正黑體" w:hAnsi="微軟正黑體"/>
                <w:b/>
                <w:bCs/>
                <w:color w:val="C0392B"/>
                <w:sz w:val="22"/>
                <w:szCs w:val="22"/>
              </w:rPr>
              <w:t xml:space="preserve">【容易混淆】</w:t>
            </w:r>
          </w:p>
          <w:p>
            <w:pPr>
              <w:spacing w:after="80" w:line="320"/>
            </w:pPr>
            <w:r>
              <w:rPr>
                <w:rFonts w:ascii="微軟正黑體" w:cs="微軟正黑體" w:eastAsia="微軟正黑體" w:hAnsi="微軟正黑體"/>
                <w:sz w:val="21"/>
                <w:szCs w:val="21"/>
              </w:rPr>
              <w:t xml:space="preserve">•　「上行溝通」與「下行溝通」不宜僅理解為方向相反——上行溝通（部屬向上反映執行狀況）是民主參與式管理之基礎，具有回饋與早期示警功能，若組織僅重下行指揮而忽略上行回饋，將喪失第一線資訊之及時性，此為國考申論常見批判角度。</w:t>
            </w:r>
          </w:p>
          <w:p>
            <w:pPr>
              <w:spacing w:after="0" w:line="320"/>
            </w:pPr>
            <w:r>
              <w:rPr>
                <w:rFonts w:ascii="微軟正黑體" w:cs="微軟正黑體" w:eastAsia="微軟正黑體" w:hAnsi="微軟正黑體"/>
                <w:sz w:val="21"/>
                <w:szCs w:val="21"/>
              </w:rPr>
              <w:t xml:space="preserve">•　「妥協」與「合作」策略不同——妥協是堅持與合作皆中等，雙方各讓一步、皆有輸贏；合作則是堅持與合作皆高，透過整合資源尋求雙贏創新解方，兩者所需之時間成本與信任基礎截然不同，妥協不能簡單等同於「較弱化的合作」。</w:t>
            </w:r>
          </w:p>
        </w:tc>
      </w:tr>
    </w:tbl>
    <w:p>
      <w:pPr>
        <w:spacing w:after="280"/>
      </w:pPr>
    </w:p>
    <w:p>
      <w:pPr>
        <w:spacing w:after="180" w:before="360"/>
      </w:pPr>
      <w:r>
        <w:rPr>
          <w:rFonts w:ascii="微軟正黑體" w:cs="微軟正黑體" w:eastAsia="微軟正黑體" w:hAnsi="微軟正黑體"/>
          <w:b/>
          <w:bCs/>
          <w:color w:val="1F4E79"/>
          <w:sz w:val="26"/>
          <w:szCs w:val="26"/>
        </w:rPr>
        <w:t xml:space="preserve">第四節　AI鑲嵌下的危機管理與雙軌韌性治理</w:t>
      </w:r>
    </w:p>
    <w:p>
      <w:pPr>
        <w:spacing w:after="140" w:before="260"/>
      </w:pPr>
      <w:r>
        <w:rPr>
          <w:rFonts w:ascii="微軟正黑體" w:cs="微軟正黑體" w:eastAsia="微軟正黑體" w:hAnsi="微軟正黑體"/>
          <w:b/>
          <w:bCs/>
          <w:color w:val="2E5C8A"/>
          <w:sz w:val="23"/>
          <w:szCs w:val="23"/>
        </w:rPr>
        <w:t xml:space="preserve">一、核心概念</w:t>
      </w:r>
    </w:p>
    <w:p>
      <w:pPr>
        <w:spacing w:after="200" w:line="360"/>
        <w:ind w:firstLine="431"/>
        <w:jc w:val="both"/>
      </w:pPr>
      <w:r>
        <w:rPr>
          <w:rFonts w:ascii="微軟正黑體" w:cs="微軟正黑體" w:eastAsia="微軟正黑體" w:hAnsi="微軟正黑體"/>
          <w:sz w:val="22"/>
          <w:szCs w:val="22"/>
        </w:rPr>
        <w:t xml:space="preserve">危機管理（Crisis Management）意涵為「危機預防（事前）＋危機處理（事中）＋復原學習（事後）」之全週期管理。危機（Crisis）指對組織基本價值、目標與存續造成重大威脅，且需在時間壓力與高度不確定下做決策之非例行事件，具四項特性：威脅性、不確定性、反應時間有限（須快速回應，如假訊息黃金四小時）與雙面效果性（危機即轉機，處理得當可強化信任，失當則信任崩解）。</w:t>
      </w:r>
    </w:p>
    <w:p>
      <w:pPr>
        <w:spacing w:after="140" w:before="260"/>
      </w:pPr>
      <w:r>
        <w:rPr>
          <w:rFonts w:ascii="微軟正黑體" w:cs="微軟正黑體" w:eastAsia="微軟正黑體" w:hAnsi="微軟正黑體"/>
          <w:b/>
          <w:bCs/>
          <w:color w:val="2E5C8A"/>
          <w:sz w:val="23"/>
          <w:szCs w:val="23"/>
        </w:rPr>
        <w:t xml:space="preserve">二、理論發展</w:t>
      </w:r>
    </w:p>
    <w:p>
      <w:pPr>
        <w:pStyle w:val="ListParagraph"/>
        <w:numPr>
          <w:ilvl w:val="0"/>
          <w:numId w:val="2"/>
        </w:numPr>
        <w:spacing w:after="120" w:line="340"/>
      </w:pPr>
      <w:r>
        <w:rPr>
          <w:rFonts w:ascii="微軟正黑體" w:cs="微軟正黑體" w:eastAsia="微軟正黑體" w:hAnsi="微軟正黑體"/>
          <w:sz w:val="22"/>
          <w:szCs w:val="22"/>
        </w:rPr>
        <w:t xml:space="preserve">學界提出多種整合模式可互為補充：美國聯邦緊急事務管理總署（FEMA）整合性危機管理系統（IEMS）提出四階段——減災、準備、回應、復原，強調全災害與全週期；Nunamaker模式分為爆發前、爆發時與解決後，強調知識管理；Mitroff模式則提出訊號偵測、準備預防、損害控制、復原工作與學習修正五步驟，強調組織學習迴路。生成式AI使危機樣態改變於三個層面：危機源頭AI化（深偽影音可偽冒首長宣布政策、AI生成假災情照誤導救災）、危機擴散加速化（演算法放大假訊息，傳統媒體查證節奏趕不上社群擴散）、危機處理AI化（可運用AI輿情分析即時偵測異常訊號、生成式AI快速產製多版本闢謠圖卡）；然AI本身亦可能失靈，須強調人類在迴圈（Human-in-the-loop, HITL）：AI負責監測、模擬與草擬，高風險價值判斷與最終對外發言仍由人類首長負責。</w:t>
      </w:r>
    </w:p>
    <w:p>
      <w:pPr>
        <w:pStyle w:val="ListParagraph"/>
        <w:numPr>
          <w:ilvl w:val="0"/>
          <w:numId w:val="2"/>
        </w:numPr>
        <w:spacing w:after="120" w:line="340"/>
      </w:pPr>
      <w:r>
        <w:rPr>
          <w:rFonts w:ascii="微軟正黑體" w:cs="微軟正黑體" w:eastAsia="微軟正黑體" w:hAnsi="微軟正黑體"/>
          <w:sz w:val="22"/>
          <w:szCs w:val="22"/>
        </w:rPr>
        <w:t xml:space="preserve">本專節整合電子化政府與溝通危機管理兩條治理鏈：電子化政府面之治理挑戰在於e化到AI化之法規與採購落差，以及數位落差2.0之算力與提示雙重落差；溝通危機面之治理挑戰則在於生成式AI深偽使危機溝通面臨真實性崩解，AI客服與AI發言人過度自動化在高情緒危機情境易被解讀為卸責。理論回應方面，溝通危機面須將傳統線性溝通模式重構為「人—演算法—人」中介模式：人類在迴圈（HITL）原則要求危機決策維持人類最終裁量；深偽與假訊息治理採事前數位浮水印與內容來源驗證（C2PA）、事中AI偵測與事實查核中心協作、事後快速澄清之三層防禦，以透明而非審查為核心；高風險溝通（人身自由限制、國際宣示）須人類核准，例行輿情彙整則可AI自主。</w:t>
      </w:r>
    </w:p>
    <w:p>
      <w:pPr>
        <w:spacing w:after="140" w:before="260"/>
      </w:pPr>
      <w:r>
        <w:rPr>
          <w:rFonts w:ascii="微軟正黑體" w:cs="微軟正黑體" w:eastAsia="微軟正黑體" w:hAnsi="微軟正黑體"/>
          <w:b/>
          <w:bCs/>
          <w:color w:val="2E5C8A"/>
          <w:sz w:val="23"/>
          <w:szCs w:val="23"/>
        </w:rPr>
        <w:t xml:space="preserve">三、主要學者</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4013"/>
        <w:gridCol w:w="2813"/>
      </w:tblGrid>
      <w:tr>
        <w:trPr>
          <w:tblHeader/>
        </w:trPr>
        <w:tc>
          <w:tcPr>
            <w:tcW w:type="dxa" w:w="2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模式</w:t>
            </w:r>
          </w:p>
        </w:tc>
        <w:tc>
          <w:tcPr>
            <w:tcW w:type="dxa" w:w="40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階段劃分</w:t>
            </w:r>
          </w:p>
        </w:tc>
        <w:tc>
          <w:tcPr>
            <w:tcW w:type="dxa" w:w="28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核心強調</w:t>
            </w:r>
          </w:p>
        </w:tc>
      </w:tr>
      <w:tr>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FEMA IEMS</w:t>
            </w:r>
          </w:p>
        </w:tc>
        <w:tc>
          <w:tcPr>
            <w:tcW w:type="dxa" w:w="40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減災→準備→回應→復原</w:t>
            </w:r>
          </w:p>
        </w:tc>
        <w:tc>
          <w:tcPr>
            <w:tcW w:type="dxa" w:w="2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全災害、全週期</w:t>
            </w:r>
          </w:p>
        </w:tc>
      </w:tr>
      <w:tr>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Nunamaker模式</w:t>
            </w:r>
          </w:p>
        </w:tc>
        <w:tc>
          <w:tcPr>
            <w:tcW w:type="dxa" w:w="40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爆發前→爆發時→解決後</w:t>
            </w:r>
          </w:p>
        </w:tc>
        <w:tc>
          <w:tcPr>
            <w:tcW w:type="dxa" w:w="28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知識管理與計畫累積</w:t>
            </w:r>
          </w:p>
        </w:tc>
      </w:tr>
      <w:tr>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Mitroff模式</w:t>
            </w:r>
          </w:p>
        </w:tc>
        <w:tc>
          <w:tcPr>
            <w:tcW w:type="dxa" w:w="40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訊號偵測→準備預防→損害控制→復原→學習修正</w:t>
            </w:r>
          </w:p>
        </w:tc>
        <w:tc>
          <w:tcPr>
            <w:tcW w:type="dxa" w:w="2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組織學習迴路</w:t>
            </w:r>
          </w:p>
        </w:tc>
      </w:tr>
    </w:tbl>
    <w:p>
      <w:pPr>
        <w:spacing w:after="280" w:before="120"/>
        <w:jc w:val="center"/>
      </w:pPr>
      <w:r>
        <w:rPr>
          <w:rFonts w:ascii="微軟正黑體" w:cs="微軟正黑體" w:eastAsia="微軟正黑體" w:hAnsi="微軟正黑體"/>
          <w:i/>
          <w:iCs/>
          <w:color w:val="555555"/>
          <w:sz w:val="18"/>
          <w:szCs w:val="18"/>
        </w:rPr>
        <w:t xml:space="preserve">表24-I　危機管理三模式比較</w:t>
      </w:r>
    </w:p>
    <w:p>
      <w:pPr>
        <w:spacing w:after="140" w:before="260"/>
      </w:pPr>
      <w:r>
        <w:rPr>
          <w:rFonts w:ascii="微軟正黑體" w:cs="微軟正黑體" w:eastAsia="微軟正黑體" w:hAnsi="微軟正黑體"/>
          <w:b/>
          <w:bCs/>
          <w:color w:val="2E5C8A"/>
          <w:sz w:val="23"/>
          <w:szCs w:val="23"/>
        </w:rPr>
        <w:t xml:space="preserve">四、核心命題</w:t>
      </w:r>
    </w:p>
    <w:p>
      <w:pPr>
        <w:spacing w:after="200" w:line="360"/>
        <w:ind w:firstLine="431"/>
        <w:jc w:val="both"/>
      </w:pPr>
      <w:r>
        <w:rPr>
          <w:rFonts w:ascii="微軟正黑體" w:cs="微軟正黑體" w:eastAsia="微軟正黑體" w:hAnsi="微軟正黑體"/>
          <w:sz w:val="22"/>
          <w:szCs w:val="22"/>
        </w:rPr>
        <w:t xml:space="preserve">AI鑲嵌後的權力與結構變化——從「誰在說話」到「誰被相信」：</w:t>
      </w:r>
    </w:p>
    <w:p>
      <w:pPr>
        <w:pStyle w:val="ListParagraph"/>
        <w:numPr>
          <w:ilvl w:val="0"/>
          <w:numId w:val="2"/>
        </w:numPr>
        <w:spacing w:after="120" w:line="340"/>
      </w:pPr>
      <w:r>
        <w:rPr>
          <w:rFonts w:ascii="微軟正黑體" w:cs="微軟正黑體" w:eastAsia="微軟正黑體" w:hAnsi="微軟正黑體"/>
          <w:sz w:val="22"/>
          <w:szCs w:val="22"/>
        </w:rPr>
        <w:t xml:space="preserve">情境建構權（P1）的延伸：演算法策展與推播決定哪些政策資訊、哪些危機訊息「被看見」，深偽技術甚至能捏造從未發生的政策宣示，重新定義了「什麼是可信的官方訊息」之邊界。</w:t>
      </w:r>
    </w:p>
    <w:p>
      <w:pPr>
        <w:pStyle w:val="ListParagraph"/>
        <w:numPr>
          <w:ilvl w:val="0"/>
          <w:numId w:val="2"/>
        </w:numPr>
        <w:spacing w:after="120" w:line="340"/>
      </w:pPr>
      <w:r>
        <w:rPr>
          <w:rFonts w:ascii="微軟正黑體" w:cs="微軟正黑體" w:eastAsia="微軟正黑體" w:hAnsi="微軟正黑體"/>
          <w:sz w:val="22"/>
          <w:szCs w:val="22"/>
        </w:rPr>
        <w:t xml:space="preserve">行政裁量權（P2）的移轉：當AI客服、AI輿情儀表板被例行採納為危機應變之主要依據，原本應由發言人、指揮官承擔之價值判斷與同理表達，可能在時間壓力下退化為對演算法輸出的形式化轉述。</w:t>
      </w:r>
    </w:p>
    <w:p>
      <w:pPr>
        <w:pStyle w:val="ListParagraph"/>
        <w:numPr>
          <w:ilvl w:val="0"/>
          <w:numId w:val="2"/>
        </w:numPr>
        <w:spacing w:after="120" w:line="340"/>
      </w:pPr>
      <w:r>
        <w:rPr>
          <w:rFonts w:ascii="微軟正黑體" w:cs="微軟正黑體" w:eastAsia="微軟正黑體" w:hAnsi="微軟正黑體"/>
          <w:sz w:val="22"/>
          <w:szCs w:val="22"/>
        </w:rPr>
        <w:t xml:space="preserve">公權力影響力（P3）的擴散：設計輿情分析模型、深偽偵測工具的技術團隊或平台方，對「什麼訊息被標記為假訊息」擁有實質影響力，卻通常遊走於言論自由與國家安全的灰色地帶，不受直接民主課責機制拘束。</w:t>
      </w:r>
    </w:p>
    <w:p>
      <w:pPr>
        <w:spacing w:after="200" w:line="360"/>
        <w:ind w:firstLine="431"/>
        <w:jc w:val="both"/>
      </w:pPr>
      <w:r>
        <w:rPr>
          <w:rFonts w:ascii="微軟正黑體" w:cs="微軟正黑體" w:eastAsia="微軟正黑體" w:hAnsi="微軟正黑體"/>
          <w:sz w:val="22"/>
          <w:szCs w:val="22"/>
        </w:rPr>
        <w:t xml:space="preserve">三種結構性效應交織下，本章最終仍要回到「民無信不立」的提醒：數位服務再便利、演算法策展再精準，若人民不再相信眼睛所見、耳朵所聞，治理的物質基礎便失去了它所服務的對象。</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400"/>
        <w:gridCol w:w="4013"/>
        <w:gridCol w:w="3613"/>
      </w:tblGrid>
      <w:tr>
        <w:trPr>
          <w:tblHeader/>
        </w:trPr>
        <w:tc>
          <w:tcPr>
            <w:tcW w:type="dxa" w:w="14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治理鏈</w:t>
            </w:r>
          </w:p>
        </w:tc>
        <w:tc>
          <w:tcPr>
            <w:tcW w:type="dxa" w:w="40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本章對應內容</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對應審計</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情境建構鏈</w:t>
            </w:r>
          </w:p>
        </w:tc>
        <w:tc>
          <w:tcPr>
            <w:tcW w:type="dxa" w:w="40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演算法策展與AI輿情儀表板標記哪些訊息「重要」、哪些聲音「優先被看見」</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資料代表性審計、隱私與資安審計</w:t>
            </w:r>
          </w:p>
        </w:tc>
      </w:tr>
      <w:tr>
        <w:tc>
          <w:tcPr>
            <w:tcW w:type="dxa" w:w="1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權威鏈</w:t>
            </w:r>
          </w:p>
        </w:tc>
        <w:tc>
          <w:tcPr>
            <w:tcW w:type="dxa" w:w="40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AI客服與AI發言草稿是否僭越機關首長與發言體系之正式發言權威</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責任歸屬審計、民主課責審計</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理由鏈</w:t>
            </w:r>
          </w:p>
        </w:tc>
        <w:tc>
          <w:tcPr>
            <w:tcW w:type="dxa" w:w="40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危機應變之AI建議理由能否回溯至可理解之依據，而非僅呈現輿情分數</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理由說明審計、裁量邊界審計</w:t>
            </w:r>
          </w:p>
        </w:tc>
      </w:tr>
      <w:tr>
        <w:tc>
          <w:tcPr>
            <w:tcW w:type="dxa" w:w="1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責任鏈</w:t>
            </w:r>
          </w:p>
        </w:tc>
        <w:tc>
          <w:tcPr>
            <w:tcW w:type="dxa" w:w="40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深偽或假訊息造成損害時，究責對象是平台方、模型供應商抑或機關首長</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責任歸屬審計、組織能力審計</w:t>
            </w:r>
          </w:p>
        </w:tc>
      </w:tr>
    </w:tbl>
    <w:p>
      <w:pPr>
        <w:spacing w:after="280" w:before="120"/>
        <w:jc w:val="center"/>
      </w:pPr>
      <w:r>
        <w:rPr>
          <w:rFonts w:ascii="微軟正黑體" w:cs="微軟正黑體" w:eastAsia="微軟正黑體" w:hAnsi="微軟正黑體"/>
          <w:i/>
          <w:iCs/>
          <w:color w:val="555555"/>
          <w:sz w:val="18"/>
          <w:szCs w:val="18"/>
        </w:rPr>
        <w:t xml:space="preserve">表24-J　四鏈追蹤＋七項審計應用</w:t>
      </w:r>
    </w:p>
    <w:p>
      <w:pPr>
        <w:spacing w:after="140" w:before="260"/>
      </w:pPr>
      <w:r>
        <w:rPr>
          <w:rFonts w:ascii="微軟正黑體" w:cs="微軟正黑體" w:eastAsia="微軟正黑體" w:hAnsi="微軟正黑體"/>
          <w:b/>
          <w:bCs/>
          <w:color w:val="2E5C8A"/>
          <w:sz w:val="23"/>
          <w:szCs w:val="23"/>
        </w:rPr>
        <w:t xml:space="preserve">五、優點與限制</w:t>
      </w:r>
    </w:p>
    <w:p>
      <w:pPr>
        <w:spacing w:after="200" w:line="360"/>
        <w:ind w:firstLine="431"/>
        <w:jc w:val="both"/>
      </w:pPr>
      <w:r>
        <w:rPr>
          <w:rFonts w:ascii="微軟正黑體" w:cs="微軟正黑體" w:eastAsia="微軟正黑體" w:hAnsi="微軟正黑體"/>
          <w:sz w:val="22"/>
          <w:szCs w:val="22"/>
        </w:rPr>
        <w:t xml:space="preserve">台灣AI政府與韌性溝通治理工具箱之貢獻在於：TAIDE可信任對話引擎（主權AI、資料主權）、AI評測中心（風險分級驗證、偏誤檢測）、監管沙盒（可控實驗、法規調適）、演算法登記簿（透明性、課責性）、生成式AI危機演練（事前準備）與AI輿情分析儀表板（即時監測、分流回應），共同構成事前準備與事中應變之制度工具箱；惟其限制在於，深偽治理之三層防禦（事前浮水印、事中偵測、事後澄清）在制度性靜默期（如選前法定禁言期）下可能完全失效，此一制度與技術風險之交錯，是當代危機溝通治理最脆弱之斷裂點。</w:t>
      </w:r>
    </w:p>
    <w:p>
      <w:pPr>
        <w:spacing w:after="140" w:before="260"/>
      </w:pPr>
      <w:r>
        <w:rPr>
          <w:rFonts w:ascii="微軟正黑體" w:cs="微軟正黑體" w:eastAsia="微軟正黑體" w:hAnsi="微軟正黑體"/>
          <w:b/>
          <w:bCs/>
          <w:color w:val="2E5C8A"/>
          <w:sz w:val="23"/>
          <w:szCs w:val="23"/>
        </w:rPr>
        <w:t xml:space="preserve">六、當代發展</w:t>
      </w:r>
    </w:p>
    <w:p>
      <w:pPr>
        <w:spacing w:after="200" w:line="360"/>
        <w:ind w:firstLine="431"/>
        <w:jc w:val="both"/>
      </w:pPr>
      <w:r>
        <w:rPr>
          <w:rFonts w:ascii="微軟正黑體" w:cs="微軟正黑體" w:eastAsia="微軟正黑體" w:hAnsi="微軟正黑體"/>
          <w:sz w:val="22"/>
          <w:szCs w:val="22"/>
        </w:rPr>
        <w:t>2023年斯洛伐克大選深偽錄音事件顯示，技術威脅若疊加在既有的制度不信任之上，殺傷力遠大於技術本身——研究指出，若僅將敗選歸因於深偽音檔，將忽略斯洛伐克原本即偏低的政府信任度（GLOBSEC調查顯示選前僅約18%民眾信任政府）與媒體信任（處於歷史低點）、陰謀論盛行與地緣政治因素等結構性弱點，單靠C2PA、數位浮水印等技術工具並不足夠，制度信任才是治理根本。</w:t>
      </w:r>
    </w:p>
    <w:p>
      <w:pPr>
        <w:spacing w:after="140" w:before="260"/>
      </w:pPr>
      <w:r>
        <w:rPr>
          <w:rFonts w:ascii="微軟正黑體" w:cs="微軟正黑體" w:eastAsia="微軟正黑體" w:hAnsi="微軟正黑體"/>
          <w:b/>
          <w:bCs/>
          <w:color w:val="2E5C8A"/>
          <w:sz w:val="23"/>
          <w:szCs w:val="23"/>
        </w:rPr>
        <w:t xml:space="preserve">七、臺灣行政實務</w:t>
      </w:r>
    </w:p>
    <w:p>
      <w:pPr>
        <w:spacing w:after="200" w:line="360"/>
        <w:ind w:firstLine="431"/>
        <w:jc w:val="both"/>
      </w:pPr>
      <w:r>
        <w:rPr>
          <w:rFonts w:ascii="微軟正黑體" w:cs="微軟正黑體" w:eastAsia="微軟正黑體" w:hAnsi="微軟正黑體"/>
          <w:sz w:val="22"/>
          <w:szCs w:val="22"/>
        </w:rPr>
        <w:t xml:space="preserve">我國中央流行疫情指揮中心（CECC）2020至2023年因應COVID-19疫情，建立廣受國際關注之人機混合危機溝通模式：每日固定時段真人記者會建立第一線信任、疾病管制署「疾管家」Line Bot提供24小時自動化防疫諮詢分擔第一線人力負擔、AI輿情系統偵測社群平台異常訊息並與民間事實查核機構協作闢謠。此案例之核心啟示在於：AI負責監測規模龐大的社群資訊與提供例行諮詢，人類則保留每日對外說明與價值判斷之最終發言權，二者分工而非取代，正是HITL原則之具體實踐。</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【國考考點】</w:t>
            </w:r>
          </w:p>
          <w:p>
            <w:pPr>
              <w:spacing w:after="80" w:line="320"/>
            </w:pPr>
            <w:r>
              <w:rPr>
                <w:rFonts w:ascii="微軟正黑體" w:cs="微軟正黑體" w:eastAsia="微軟正黑體" w:hAnsi="微軟正黑體"/>
                <w:sz w:val="21"/>
                <w:szCs w:val="21"/>
              </w:rPr>
              <w:t xml:space="preserve">•　危機四特性（威脅性╱不確定性╱反應時間有限╱雙面效果性）與三模式（FEMA IEMS╱Nunamaker╱Mitroff）之階段劃分及核心強調差異。</w:t>
            </w:r>
          </w:p>
          <w:p>
            <w:pPr>
              <w:spacing w:after="80" w:line="320"/>
            </w:pPr>
            <w:r>
              <w:rPr>
                <w:rFonts w:ascii="微軟正黑體" w:cs="微軟正黑體" w:eastAsia="微軟正黑體" w:hAnsi="微軟正黑體"/>
                <w:sz w:val="21"/>
                <w:szCs w:val="21"/>
              </w:rPr>
              <w:t xml:space="preserve">•　AI時代危機管理雙重性：危機源頭AI化＋擴散加速化 vs. 處理AI化，以及人類在迴圈（HITL）原則之具體內涵。</w:t>
            </w:r>
          </w:p>
          <w:p>
            <w:pPr>
              <w:spacing w:after="0" w:line="320"/>
            </w:pPr>
            <w:r>
              <w:rPr>
                <w:rFonts w:ascii="微軟正黑體" w:cs="微軟正黑體" w:eastAsia="微軟正黑體" w:hAnsi="微軟正黑體"/>
                <w:sz w:val="21"/>
                <w:szCs w:val="21"/>
              </w:rPr>
              <w:t xml:space="preserve">•　深偽與假訊息治理三層防禦（事前C2PA數位浮水印╱事中AI偵測與事實查核協作╱事後快速澄清），為AI鑲嵌題型之核心答題架構。</w:t>
            </w:r>
          </w:p>
        </w:tc>
      </w:tr>
    </w:tbl>
    <w:p>
      <w:pPr>
        <w:spacing w:after="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【一分鐘記憶】</w:t>
            </w:r>
          </w:p>
          <w:p>
            <w:pPr>
              <w:spacing w:after="80" w:line="320"/>
            </w:pPr>
            <w:r>
              <w:rPr>
                <w:rFonts w:ascii="微軟正黑體" w:cs="微軟正黑體" w:eastAsia="微軟正黑體" w:hAnsi="微軟正黑體"/>
                <w:sz w:val="21"/>
                <w:szCs w:val="21"/>
              </w:rPr>
              <w:t xml:space="preserve">•　危機管理三模式口訣：FEMA重全週期（減準回復）、Nunamaker重知識管理（前中後）、Mitroff重學習迴路（偵測預防控制復原學習）。</w:t>
            </w:r>
          </w:p>
          <w:p>
            <w:pPr>
              <w:spacing w:after="0" w:line="320"/>
            </w:pPr>
            <w:r>
              <w:rPr>
                <w:rFonts w:ascii="微軟正黑體" w:cs="微軟正黑體" w:eastAsia="微軟正黑體" w:hAnsi="微軟正黑體"/>
                <w:sz w:val="21"/>
                <w:szCs w:val="21"/>
              </w:rPr>
              <w:t xml:space="preserve">•　CECC案例記憶點：真人記者會建信任＋疾管家Line Bot辦例行＋AI輿情系統抓異常——AI監測草擬、人類發言負責。</w:t>
            </w:r>
          </w:p>
        </w:tc>
      </w:tr>
    </w:tbl>
    <w:p>
      <w:pPr>
        <w:spacing w:after="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DECEA" w:sz="2"/>
              <w:left w:val="single" w:color="C0392B" w:sz="24"/>
              <w:bottom w:val="single" w:color="FDECEA" w:sz="2"/>
              <w:right w:val="single" w:color="FDECEA" w:sz="2"/>
            </w:tcBorders>
            <w:shd w:fill="FDECEA" w:val="clear"/>
            <w:tcMar>
              <w:top w:type="dxa" w:w="160"/>
              <w:left w:type="dxa" w:w="220"/>
              <w:bottom w:type="dxa" w:w="160"/>
              <w:right w:type="dxa" w:w="220"/>
            </w:tcMar>
          </w:tcPr>
          <w:p>
            <w:pPr>
              <w:spacing w:after="100"/>
            </w:pPr>
            <w:r>
              <w:rPr>
                <w:rFonts w:ascii="微軟正黑體" w:cs="微軟正黑體" w:eastAsia="微軟正黑體" w:hAnsi="微軟正黑體"/>
                <w:b/>
                <w:bCs/>
                <w:color w:val="C0392B"/>
                <w:sz w:val="22"/>
                <w:szCs w:val="22"/>
              </w:rPr>
              <w:t xml:space="preserve">【容易混淆】</w:t>
            </w:r>
          </w:p>
          <w:p>
            <w:pPr>
              <w:spacing w:after="80" w:line="320"/>
            </w:pPr>
            <w:r>
              <w:rPr>
                <w:rFonts w:ascii="微軟正黑體" w:cs="微軟正黑體" w:eastAsia="微軟正黑體" w:hAnsi="微軟正黑體"/>
                <w:sz w:val="21"/>
                <w:szCs w:val="21"/>
              </w:rPr>
              <w:t xml:space="preserve">•　「危機源頭AI化」與「危機處理AI化」不同——前者指AI（如深偽）成為危機本身的成因，後者指AI（如輿情分析、闢謠圖卡生成）成為因應危機的工具，同一種生成式AI技術，在本章中同時扮演加害者與救援者兩種角色，考生答題時須清楚區分情境。</w:t>
            </w:r>
          </w:p>
          <w:p>
            <w:pPr>
              <w:spacing w:after="0" w:line="320"/>
            </w:pPr>
            <w:r>
              <w:rPr>
                <w:rFonts w:ascii="微軟正黑體" w:cs="微軟正黑體" w:eastAsia="微軟正黑體" w:hAnsi="微軟正黑體"/>
                <w:sz w:val="21"/>
                <w:szCs w:val="21"/>
              </w:rPr>
              <w:t xml:space="preserve">•　「人類在迴圈（HITL）」不是「人類全程手動處理」——其精確意涵是AI負責監測、模擬與草擬等例行或規模化任務，高風險價值判斷與最終對外發言仍保留由人類負責，是一種分工設計而非排除AI參與。</w:t>
            </w:r>
          </w:p>
        </w:tc>
      </w:tr>
    </w:tbl>
    <w:p>
      <w:pPr>
        <w:spacing w:after="280"/>
      </w:pPr>
    </w:p>
    <w:p>
      <w:pPr>
        <w:spacing w:after="200" w:before="400"/>
      </w:pPr>
      <w:r>
        <w:rPr>
          <w:rFonts w:ascii="微軟正黑體" w:cs="微軟正黑體" w:eastAsia="微軟正黑體" w:hAnsi="微軟正黑體"/>
          <w:b/>
          <w:bCs/>
          <w:sz w:val="32"/>
          <w:szCs w:val="32"/>
        </w:rPr>
        <w:t xml:space="preserve">【申論解題】</w:t>
      </w:r>
    </w:p>
    <w:p>
      <w:pPr>
        <w:spacing w:after="200" w:line="360"/>
        <w:ind w:firstLine="431"/>
        <w:jc w:val="both"/>
      </w:pPr>
      <w:r>
        <w:rPr>
          <w:rFonts w:ascii="微軟正黑體" w:cs="微軟正黑體" w:eastAsia="微軟正黑體" w:hAnsi="微軟正黑體"/>
          <w:sz w:val="22"/>
          <w:szCs w:val="22"/>
        </w:rPr>
        <w:t xml:space="preserve">本章語料庫涵蓋107-111年5個年度之考選部官方公告試題，共查得4題直接標記本章「數位政府與行政溝通、衝突及危機管理」之申論真題，另有110年-身三一題原標記於第九章，因核心內容更貼近本章電子化政府脈絡而移入本章，合計5題，均查證屬一般行政符合。107年-身三「電子治理之定義及公共價值」（一般行政符合，難度A）與110年-身三「財政緊迫人民期待科技創新驅動變革趨勢」（一般行政符合，難度A），理論內容完整可考，分別列為題目一、題目二完整解析；題目三為依本章第四節AI治理內容自行設計之模擬命題。依全書格式定版說明，題目一（A級）提供基本得分版、標準版、高分版三種完整答案；題目二（B級）與題目三（C級）改為標準版參考答案＋【高分加分點】；AI鑲嵌內容集中於第四節與題目三C級綜合題。</w:t>
      </w:r>
    </w:p>
    <w:p>
      <w:pPr>
        <w:spacing w:after="160"/>
      </w:pPr>
    </w:p>
    <w:p>
      <w:pPr>
        <w:spacing w:after="180" w:before="360"/>
      </w:pPr>
      <w:r>
        <w:rPr>
          <w:rFonts w:ascii="微軟正黑體" w:cs="微軟正黑體" w:eastAsia="微軟正黑體" w:hAnsi="微軟正黑體"/>
          <w:b/>
          <w:bCs/>
          <w:color w:val="1F4E79"/>
          <w:sz w:val="26"/>
          <w:szCs w:val="26"/>
        </w:rPr>
        <w:t xml:space="preserve">題目一（A級基本題·107年公務人員特種考試身心障礙人員三等考試）</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考題出處（重要說明）</w:t>
            </w:r>
          </w:p>
          <w:p>
            <w:pPr>
              <w:spacing w:line="340"/>
              <w:jc w:val="both"/>
            </w:pPr>
            <w:r>
              <w:rPr>
                <w:rFonts w:ascii="微軟正黑體" w:cs="微軟正黑體" w:eastAsia="微軟正黑體" w:hAnsi="微軟正黑體"/>
                <w:sz w:val="21"/>
                <w:szCs w:val="21"/>
              </w:rPr>
              <w:t xml:space="preserve">本題為107年公務人員特種考試身心障礙人員三等考試真實歷屆試題，經查證其類科（一般行政）符合本書「一般行政」類科適用範圍，屬本章對應之真實申論題。</w:t>
            </w:r>
          </w:p>
        </w:tc>
      </w:tr>
    </w:tbl>
    <w:p>
      <w:pPr>
        <w:spacing w:after="120"/>
      </w:pPr>
    </w:p>
    <w:p>
      <w:pPr>
        <w:spacing w:after="200" w:line="360"/>
        <w:ind w:firstLine="431"/>
        <w:jc w:val="both"/>
      </w:pPr>
      <w:r>
        <w:rPr>
          <w:rFonts w:ascii="微軟正黑體" w:cs="微軟正黑體" w:eastAsia="微軟正黑體" w:hAnsi="微軟正黑體"/>
          <w:sz w:val="22"/>
          <w:szCs w:val="22"/>
        </w:rPr>
        <w:t xml:space="preserve">「電子治理（e-Governance）可應用在不同公共議題，例如環境、能源、勞工等，請問何謂電子治理？以前述或其它議題為例，論述電子治理的推動在追求何種公共價值？（25分）」</w:t>
      </w:r>
    </w:p>
    <w:p>
      <w:pPr>
        <w:spacing w:after="100" w:before="160"/>
      </w:pPr>
      <w:r>
        <w:rPr>
          <w:rFonts w:ascii="微軟正黑體" w:cs="微軟正黑體" w:eastAsia="微軟正黑體" w:hAnsi="微軟正黑體"/>
          <w:b/>
          <w:bCs/>
          <w:color w:val="444444"/>
          <w:sz w:val="21"/>
          <w:szCs w:val="21"/>
        </w:rPr>
        <w:t xml:space="preserve">【題型判斷】</w:t>
      </w:r>
    </w:p>
    <w:p>
      <w:pPr>
        <w:spacing w:after="200" w:line="360"/>
        <w:ind w:firstLine="431"/>
        <w:jc w:val="both"/>
      </w:pPr>
      <w:r>
        <w:rPr>
          <w:rFonts w:ascii="微軟正黑體" w:cs="微軟正黑體" w:eastAsia="微軟正黑體" w:hAnsi="微軟正黑體"/>
          <w:sz w:val="22"/>
          <w:szCs w:val="22"/>
        </w:rPr>
        <w:t xml:space="preserve">這是一題「概念定義＋議題舉例＋公共價值論述題」，考生須依序完成：說明電子治理之定義、以具體公共議題為例、論述電子治理推動追求之公共價值——若僅背誦定義而未能結合議題舉例，或未能扣合公共價值論述，均屬答題不完整。</w:t>
      </w:r>
    </w:p>
    <w:p>
      <w:pPr>
        <w:spacing w:after="100" w:before="160"/>
      </w:pPr>
      <w:r>
        <w:rPr>
          <w:rFonts w:ascii="微軟正黑體" w:cs="微軟正黑體" w:eastAsia="微軟正黑體" w:hAnsi="微軟正黑體"/>
          <w:b/>
          <w:bCs/>
          <w:color w:val="444444"/>
          <w:sz w:val="21"/>
          <w:szCs w:val="21"/>
        </w:rPr>
        <w:t xml:space="preserve">【關鍵字】</w:t>
      </w:r>
    </w:p>
    <w:p>
      <w:pPr>
        <w:spacing w:after="200" w:line="360"/>
        <w:ind w:firstLine="431"/>
        <w:jc w:val="both"/>
      </w:pPr>
      <w:r>
        <w:rPr>
          <w:rFonts w:ascii="微軟正黑體" w:cs="微軟正黑體" w:eastAsia="微軟正黑體" w:hAnsi="微軟正黑體"/>
          <w:sz w:val="22"/>
          <w:szCs w:val="22"/>
        </w:rPr>
        <w:t xml:space="preserve">電子治理（e-Governance）＋ 治理網絡協商共創 ＋ 公共議題舉例（環境╱能源╱勞工）＋ 公共價值（效能／可近性／透明課責）。</w:t>
      </w:r>
    </w:p>
    <w:p>
      <w:pPr>
        <w:spacing w:after="100" w:before="160"/>
      </w:pPr>
      <w:r>
        <w:rPr>
          <w:rFonts w:ascii="微軟正黑體" w:cs="微軟正黑體" w:eastAsia="微軟正黑體" w:hAnsi="微軟正黑體"/>
          <w:b/>
          <w:bCs/>
          <w:color w:val="444444"/>
          <w:sz w:val="21"/>
          <w:szCs w:val="21"/>
        </w:rPr>
        <w:t xml:space="preserve">【答題架構】</w:t>
      </w:r>
    </w:p>
    <w:p>
      <w:pPr>
        <w:pStyle w:val="ListParagraph"/>
        <w:numPr>
          <w:ilvl w:val="0"/>
          <w:numId w:val="2"/>
        </w:numPr>
        <w:spacing w:after="120" w:line="340"/>
      </w:pPr>
      <w:r>
        <w:rPr>
          <w:rFonts w:ascii="微軟正黑體" w:cs="微軟正黑體" w:eastAsia="微軟正黑體" w:hAnsi="微軟正黑體"/>
          <w:sz w:val="22"/>
          <w:szCs w:val="22"/>
        </w:rPr>
        <w:t xml:space="preserve">一、前言：從「把服務搬上網」到「讓大家一起治理」</w:t>
      </w:r>
    </w:p>
    <w:p>
      <w:pPr>
        <w:pStyle w:val="ListParagraph"/>
        <w:numPr>
          <w:ilvl w:val="0"/>
          <w:numId w:val="2"/>
        </w:numPr>
        <w:spacing w:after="120" w:line="340"/>
      </w:pPr>
      <w:r>
        <w:rPr>
          <w:rFonts w:ascii="微軟正黑體" w:cs="微軟正黑體" w:eastAsia="微軟正黑體" w:hAnsi="微軟正黑體"/>
          <w:sz w:val="22"/>
          <w:szCs w:val="22"/>
        </w:rPr>
        <w:t xml:space="preserve">二、電子治理之定義</w:t>
      </w:r>
    </w:p>
    <w:p>
      <w:pPr>
        <w:pStyle w:val="ListParagraph"/>
        <w:numPr>
          <w:ilvl w:val="0"/>
          <w:numId w:val="2"/>
        </w:numPr>
        <w:spacing w:after="120" w:line="340"/>
      </w:pPr>
      <w:r>
        <w:rPr>
          <w:rFonts w:ascii="微軟正黑體" w:cs="微軟正黑體" w:eastAsia="微軟正黑體" w:hAnsi="微軟正黑體"/>
          <w:sz w:val="22"/>
          <w:szCs w:val="22"/>
        </w:rPr>
        <w:t xml:space="preserve">三、以具體公共議題為例說明電子治理之推動</w:t>
      </w:r>
    </w:p>
    <w:p>
      <w:pPr>
        <w:pStyle w:val="ListParagraph"/>
        <w:numPr>
          <w:ilvl w:val="0"/>
          <w:numId w:val="2"/>
        </w:numPr>
        <w:spacing w:after="120" w:line="340"/>
      </w:pPr>
      <w:r>
        <w:rPr>
          <w:rFonts w:ascii="微軟正黑體" w:cs="微軟正黑體" w:eastAsia="微軟正黑體" w:hAnsi="微軟正黑體"/>
          <w:sz w:val="22"/>
          <w:szCs w:val="22"/>
        </w:rPr>
        <w:t xml:space="preserve">四、電子治理推動所追求之公共價值</w:t>
      </w:r>
    </w:p>
    <w:p>
      <w:pPr>
        <w:pStyle w:val="ListParagraph"/>
        <w:numPr>
          <w:ilvl w:val="0"/>
          <w:numId w:val="2"/>
        </w:numPr>
        <w:spacing w:after="120" w:line="340"/>
      </w:pPr>
      <w:r>
        <w:rPr>
          <w:rFonts w:ascii="微軟正黑體" w:cs="微軟正黑體" w:eastAsia="微軟正黑體" w:hAnsi="微軟正黑體"/>
          <w:sz w:val="22"/>
          <w:szCs w:val="22"/>
        </w:rPr>
        <w:t xml:space="preserve">五、結論</w:t>
      </w:r>
    </w:p>
    <w:p>
      <w:pPr>
        <w:spacing w:after="100" w:before="160"/>
      </w:pPr>
      <w:r>
        <w:rPr>
          <w:rFonts w:ascii="微軟正黑體" w:cs="微軟正黑體" w:eastAsia="微軟正黑體" w:hAnsi="微軟正黑體"/>
          <w:b/>
          <w:bCs/>
          <w:color w:val="444444"/>
          <w:sz w:val="21"/>
          <w:szCs w:val="21"/>
        </w:rPr>
        <w:t xml:space="preserve">【參考答案·基本得分版】（約500-700字，考場時間不夠時至少拿到基本分）</w:t>
      </w:r>
    </w:p>
    <w:p>
      <w:pPr>
        <w:spacing w:after="200" w:line="360"/>
        <w:ind w:firstLine="431"/>
        <w:jc w:val="both"/>
      </w:pPr>
      <w:r>
        <w:rPr>
          <w:rFonts w:ascii="微軟正黑體" w:cs="微軟正黑體" w:eastAsia="微軟正黑體" w:hAnsi="微軟正黑體"/>
          <w:sz w:val="22"/>
          <w:szCs w:val="22"/>
        </w:rPr>
        <w:t xml:space="preserve">電子治理（e-Governance）指治理網絡中政府、企業、公民與非營利組織間，透過資訊通訊科技（ICT）進行互動、協商與共創公共價值之關係性轉變，相對於電子化政府強調政府運用ICT的供給面工具，電子治理更強調多元行動者間之協力關係，涵蓋電子民主與電子參與。</w:t>
      </w:r>
    </w:p>
    <w:p>
      <w:pPr>
        <w:spacing w:after="200" w:line="360"/>
        <w:ind w:firstLine="431"/>
        <w:jc w:val="both"/>
      </w:pPr>
      <w:r>
        <w:rPr>
          <w:rFonts w:ascii="微軟正黑體" w:cs="微軟正黑體" w:eastAsia="微軟正黑體" w:hAnsi="微軟正黑體"/>
          <w:sz w:val="22"/>
          <w:szCs w:val="22"/>
        </w:rPr>
        <w:t xml:space="preserve">以環境議題為例，政府可透過空氣品質監測資料開放平台，結合公民科學（Citizen Science）App，讓民眾自主回報污染事件並即時查詢即時空品資訊，政府、企業與公民共同參與環境治理之協商與監督過程，而非僅由政府單方面發布資訊。</w:t>
      </w:r>
    </w:p>
    <w:p>
      <w:pPr>
        <w:spacing w:after="200" w:line="360"/>
        <w:ind w:firstLine="431"/>
        <w:jc w:val="both"/>
      </w:pPr>
      <w:r>
        <w:rPr>
          <w:rFonts w:ascii="微軟正黑體" w:cs="微軟正黑體" w:eastAsia="微軟正黑體" w:hAnsi="微軟正黑體"/>
          <w:sz w:val="22"/>
          <w:szCs w:val="22"/>
        </w:rPr>
        <w:t xml:space="preserve">電子治理之推動追求多重公共價值：其一，效能與可近性，讓公民更便利參與治理過程；其二，透明與課責，資訊公開使政府決策更受公眾檢視；其三，參與與共創，透過雙向互動使公共政策更貼近多元利害關係人需求。電子治理不僅是技術工具之升級，更是政府與社會關係之典範轉變。</w:t>
      </w:r>
    </w:p>
    <w:p>
      <w:pPr>
        <w:spacing w:after="100" w:before="160"/>
      </w:pPr>
      <w:r>
        <w:rPr>
          <w:rFonts w:ascii="微軟正黑體" w:cs="微軟正黑體" w:eastAsia="微軟正黑體" w:hAnsi="微軟正黑體"/>
          <w:b/>
          <w:bCs/>
          <w:color w:val="444444"/>
          <w:sz w:val="21"/>
          <w:szCs w:val="21"/>
        </w:rPr>
        <w:t xml:space="preserve">【參考答案·標準版】（約1,150-1,400字，主要示範答案）</w:t>
      </w:r>
    </w:p>
    <w:p>
      <w:pPr>
        <w:spacing w:after="200" w:line="360"/>
        <w:ind w:firstLine="431"/>
        <w:jc w:val="both"/>
      </w:pPr>
      <w:r>
        <w:rPr>
          <w:rFonts w:ascii="微軟正黑體" w:cs="微軟正黑體" w:eastAsia="微軟正黑體" w:hAnsi="微軟正黑體"/>
          <w:sz w:val="22"/>
          <w:szCs w:val="22"/>
        </w:rPr>
        <w:t xml:space="preserve">一、前言</w:t>
      </w:r>
    </w:p>
    <w:p>
      <w:pPr>
        <w:spacing w:after="200" w:line="360"/>
        <w:ind w:firstLine="431"/>
        <w:jc w:val="both"/>
      </w:pPr>
      <w:r>
        <w:rPr>
          <w:rFonts w:ascii="微軟正黑體" w:cs="微軟正黑體" w:eastAsia="微軟正黑體" w:hAnsi="微軟正黑體"/>
          <w:sz w:val="22"/>
          <w:szCs w:val="22"/>
        </w:rPr>
        <w:t xml:space="preserve">把繳費、申請、查詢通通搬上網，只是電子化政府的第一步；真正的電子治理，是讓政府、企業、公民與非營利組織在同一個數位網絡中，一起商量、一起監督、一起解決問題。</w:t>
      </w:r>
    </w:p>
    <w:p>
      <w:pPr>
        <w:spacing w:after="200" w:line="360"/>
        <w:ind w:firstLine="431"/>
        <w:jc w:val="both"/>
      </w:pPr>
      <w:r>
        <w:rPr>
          <w:rFonts w:ascii="微軟正黑體" w:cs="微軟正黑體" w:eastAsia="微軟正黑體" w:hAnsi="微軟正黑體"/>
          <w:sz w:val="22"/>
          <w:szCs w:val="22"/>
        </w:rPr>
        <w:t xml:space="preserve">二、電子治理之定義</w:t>
      </w:r>
    </w:p>
    <w:p>
      <w:pPr>
        <w:spacing w:after="200" w:line="360"/>
        <w:ind w:firstLine="431"/>
        <w:jc w:val="both"/>
      </w:pPr>
      <w:r>
        <w:rPr>
          <w:rFonts w:ascii="微軟正黑體" w:cs="微軟正黑體" w:eastAsia="微軟正黑體" w:hAnsi="微軟正黑體"/>
          <w:sz w:val="22"/>
          <w:szCs w:val="22"/>
        </w:rPr>
        <w:t xml:space="preserve">電子治理（e-Governance）指治理網絡中政府、企業、公民與非營利組織間，透過資訊通訊科技進行互動、協商與共創公共價值之關係性轉變。與電子化政府（e-Government）著重政府運用ICT提供對外服務之供給面工具不同，電子治理之範圍更廣，涵蓋電子民主（e-Democracy）與電子參與（e-Participation），強調多元行動者之協力共治，而非政府單方面之資訊提供或服務線上化。</w:t>
      </w:r>
    </w:p>
    <w:p>
      <w:pPr>
        <w:spacing w:after="200" w:line="360"/>
        <w:ind w:firstLine="431"/>
        <w:jc w:val="both"/>
      </w:pPr>
      <w:r>
        <w:rPr>
          <w:rFonts w:ascii="微軟正黑體" w:cs="微軟正黑體" w:eastAsia="微軟正黑體" w:hAnsi="微軟正黑體"/>
          <w:sz w:val="22"/>
          <w:szCs w:val="22"/>
        </w:rPr>
        <w:t xml:space="preserve">三、以具體公共議題為例說明電子治理之推動</w:t>
      </w:r>
    </w:p>
    <w:p>
      <w:pPr>
        <w:spacing w:after="200" w:line="360"/>
        <w:ind w:firstLine="431"/>
        <w:jc w:val="both"/>
      </w:pPr>
      <w:r>
        <w:rPr>
          <w:rFonts w:ascii="微軟正黑體" w:cs="微軟正黑體" w:eastAsia="微軟正黑體" w:hAnsi="微軟正黑體"/>
          <w:sz w:val="22"/>
          <w:szCs w:val="22"/>
        </w:rPr>
        <w:t xml:space="preserve">以環境議題為例，政府可建置空氣品質即時監測資料開放平台，並結合公民科學App，讓民眾得以自主回報污染事件、上傳在地觀測資料，並即時查詢空品資訊；環保團體與學術單位則可運用開放資料進行獨立分析與政策倡議，企業則須依法公開污染排放資訊供公眾監督。此一過程中，政府不再是唯一的資訊來源與決策者，而是與公民、企業、非營利組織共同構成環境治理之協力網絡。再以能源議題為例，政府可透過電力供需即時儀表板公開電網資訊，並開放民眾參與節電社群平台，形成政府、電業與用戶三方共同因應能源治理挑戰之電子治理實踐。</w:t>
      </w:r>
    </w:p>
    <w:p>
      <w:pPr>
        <w:spacing w:after="200" w:line="360"/>
        <w:ind w:firstLine="431"/>
        <w:jc w:val="both"/>
      </w:pPr>
      <w:r>
        <w:rPr>
          <w:rFonts w:ascii="微軟正黑體" w:cs="微軟正黑體" w:eastAsia="微軟正黑體" w:hAnsi="微軟正黑體"/>
          <w:sz w:val="22"/>
          <w:szCs w:val="22"/>
        </w:rPr>
        <w:t xml:space="preserve">四、電子治理推動所追求之公共價值</w:t>
      </w:r>
    </w:p>
    <w:p>
      <w:pPr>
        <w:spacing w:after="200" w:line="360"/>
        <w:ind w:firstLine="431"/>
        <w:jc w:val="both"/>
      </w:pPr>
      <w:r>
        <w:rPr>
          <w:rFonts w:ascii="微軟正黑體" w:cs="微軟正黑體" w:eastAsia="微軟正黑體" w:hAnsi="微軟正黑體"/>
          <w:sz w:val="22"/>
          <w:szCs w:val="22"/>
        </w:rPr>
        <w:t xml:space="preserve">電子治理之推動追求多重公共價值：其一，內部效能與跨機關協作，透過資料整合降低治理成本；其二，便民服務與可近性，降低公民參與治理之時間與空間門檻；其三，透明、課責與民主治理，公開資訊使政府決策更受公眾檢視，減少資訊不對稱；其四，參與與共創，透過雙向互動機制，使公共政策制定過程納入多元利害關係人之在地知識與真實需求，而非僅仰賴政府內部專業判斷，提升政策之社會接受度與正當性。</w:t>
      </w:r>
    </w:p>
    <w:p>
      <w:pPr>
        <w:spacing w:after="200" w:line="360"/>
        <w:ind w:firstLine="431"/>
        <w:jc w:val="both"/>
      </w:pPr>
      <w:r>
        <w:rPr>
          <w:rFonts w:ascii="微軟正黑體" w:cs="微軟正黑體" w:eastAsia="微軟正黑體" w:hAnsi="微軟正黑體"/>
          <w:sz w:val="22"/>
          <w:szCs w:val="22"/>
        </w:rPr>
        <w:t xml:space="preserve">五、結論</w:t>
      </w:r>
    </w:p>
    <w:p>
      <w:pPr>
        <w:spacing w:after="200" w:line="360"/>
        <w:ind w:firstLine="431"/>
        <w:jc w:val="both"/>
      </w:pPr>
      <w:r>
        <w:rPr>
          <w:rFonts w:ascii="微軟正黑體" w:cs="微軟正黑體" w:eastAsia="微軟正黑體" w:hAnsi="微軟正黑體"/>
          <w:sz w:val="22"/>
          <w:szCs w:val="22"/>
        </w:rPr>
        <w:t xml:space="preserve">電子治理不僅是技術工具之升級，更是政府與社會關係之典範轉變——從政府單向提供服務，轉向政府、企業、公民共同協商、共創公共價值之治理網絡，其最終追求之公共價值，正是透過資訊通訊科技之中介，讓治理過程更有效能、更加透明、也更貼近公民之真實需求。</w:t>
      </w:r>
    </w:p>
    <w:p>
      <w:pPr>
        <w:spacing w:after="100" w:before="160"/>
      </w:pPr>
      <w:r>
        <w:rPr>
          <w:rFonts w:ascii="微軟正黑體" w:cs="微軟正黑體" w:eastAsia="微軟正黑體" w:hAnsi="微軟正黑體"/>
          <w:b/>
          <w:bCs/>
          <w:color w:val="444444"/>
          <w:sz w:val="21"/>
          <w:szCs w:val="21"/>
        </w:rPr>
        <w:t xml:space="preserve">【參考答案·高分版補充】（在標準版基礎上，加入學者、比較、批判、當代案例、AI治理、臺灣實務）</w:t>
      </w:r>
    </w:p>
    <w:p>
      <w:pPr>
        <w:pStyle w:val="ListParagraph"/>
        <w:numPr>
          <w:ilvl w:val="0"/>
          <w:numId w:val="2"/>
        </w:numPr>
        <w:spacing w:after="120" w:line="340"/>
      </w:pPr>
      <w:r>
        <w:rPr>
          <w:rFonts w:ascii="微軟正黑體" w:cs="微軟正黑體" w:eastAsia="微軟正黑體" w:hAnsi="微軟正黑體"/>
          <w:sz w:val="22"/>
          <w:szCs w:val="22"/>
        </w:rPr>
        <w:t xml:space="preserve">補充概念比較視角：可援引電子化管理（e-Management）、電子化政府（e-Government）、電子治理（e-Governance）三概念之範圍區辨，具體指出電子治理之範圍最廣，涵蓋前二者並延伸至治理網絡之協力關係，展現對相關概念體系之整體掌握。</w:t>
      </w:r>
    </w:p>
    <w:p>
      <w:pPr>
        <w:pStyle w:val="ListParagraph"/>
        <w:numPr>
          <w:ilvl w:val="0"/>
          <w:numId w:val="2"/>
        </w:numPr>
        <w:spacing w:after="120" w:line="340"/>
      </w:pPr>
      <w:r>
        <w:rPr>
          <w:rFonts w:ascii="微軟正黑體" w:cs="微軟正黑體" w:eastAsia="微軟正黑體" w:hAnsi="微軟正黑體"/>
          <w:sz w:val="22"/>
          <w:szCs w:val="22"/>
        </w:rPr>
        <w:t xml:space="preserve">補充AI治理視角：可延伸說明，在AI政府階段，電子治理可進一步結合AI摘要與分群功能（如Join平台對大量留言自動進行語意分群與爭議點摘述），提升多元意見之可視化效率，惟須以可追溯方式標示AI生成內容，避免AI中介協商過程削弱公民對治理參與之信任，呼應本章第四節AI鑲嵌內容。</w:t>
      </w:r>
    </w:p>
    <w:p>
      <w:pPr>
        <w:pStyle w:val="ListParagraph"/>
        <w:numPr>
          <w:ilvl w:val="0"/>
          <w:numId w:val="2"/>
        </w:numPr>
        <w:spacing w:after="120" w:line="340"/>
      </w:pPr>
      <w:r>
        <w:rPr>
          <w:rFonts w:ascii="微軟正黑體" w:cs="微軟正黑體" w:eastAsia="微軟正黑體" w:hAnsi="微軟正黑體"/>
          <w:sz w:val="22"/>
          <w:szCs w:val="22"/>
        </w:rPr>
        <w:t xml:space="preserve">補充臺灣實務視角：可援引我國Join公共政策參與平臺整合「眾開講、來監督、找首長、提點子」四大功能之具體實踐，以及MyData個人化資料自主運用平台落實「一次授權、資料隨身」原則之案例，具體展現電子治理理論與我國實務之整合深度。</w:t>
      </w:r>
    </w:p>
    <w:p>
      <w:pPr>
        <w:pStyle w:val="ListParagraph"/>
        <w:numPr>
          <w:ilvl w:val="0"/>
          <w:numId w:val="2"/>
        </w:numPr>
        <w:spacing w:after="120" w:line="340"/>
      </w:pPr>
      <w:r>
        <w:rPr>
          <w:rFonts w:ascii="微軟正黑體" w:cs="微軟正黑體" w:eastAsia="微軟正黑體" w:hAnsi="微軟正黑體"/>
          <w:sz w:val="22"/>
          <w:szCs w:val="22"/>
        </w:rPr>
        <w:t xml:space="preserve">補充當代批判視角：可指出電子治理雖追求多元參與，惟若未能兼顧數位落差（尤其是數位落差2.0之算力與提示落差），電子治理之參與機會恐僅集中於具備數位近用能力與AI素養之群體，反而可能加劇治理過程之代表性偏誤，此一批判視角可提升論述之理論深度。</w:t>
      </w:r>
    </w:p>
    <w:p>
      <w:pPr>
        <w:spacing w:after="100" w:before="160"/>
      </w:pPr>
      <w:r>
        <w:rPr>
          <w:rFonts w:ascii="微軟正黑體" w:cs="微軟正黑體" w:eastAsia="微軟正黑體" w:hAnsi="微軟正黑體"/>
          <w:b/>
          <w:bCs/>
          <w:color w:val="444444"/>
          <w:sz w:val="21"/>
          <w:szCs w:val="21"/>
        </w:rPr>
        <w:t xml:space="preserve">【得分關鍵】</w:t>
      </w:r>
    </w:p>
    <w:p>
      <w:pPr>
        <w:pStyle w:val="ListParagraph"/>
        <w:numPr>
          <w:ilvl w:val="0"/>
          <w:numId w:val="2"/>
        </w:numPr>
        <w:spacing w:after="120" w:line="340"/>
      </w:pPr>
      <w:r>
        <w:rPr>
          <w:rFonts w:ascii="微軟正黑體" w:cs="微軟正黑體" w:eastAsia="微軟正黑體" w:hAnsi="微軟正黑體"/>
          <w:sz w:val="22"/>
          <w:szCs w:val="22"/>
        </w:rPr>
        <w:t xml:space="preserve">須完整說明電子治理之定義（治理網絡多元行動者透過ICT協商共創公共價值），並具體區辨其與電子化政府之範圍差異，不可將兩者概念混用。</w:t>
      </w:r>
    </w:p>
    <w:p>
      <w:pPr>
        <w:pStyle w:val="ListParagraph"/>
        <w:numPr>
          <w:ilvl w:val="0"/>
          <w:numId w:val="2"/>
        </w:numPr>
        <w:spacing w:after="120" w:line="340"/>
      </w:pPr>
      <w:r>
        <w:rPr>
          <w:rFonts w:ascii="微軟正黑體" w:cs="微軟正黑體" w:eastAsia="微軟正黑體" w:hAnsi="微軟正黑體"/>
          <w:sz w:val="22"/>
          <w:szCs w:val="22"/>
        </w:rPr>
        <w:t xml:space="preserve">須以具體公共議題（環境、能源、勞工或其他議題皆可）具體舉例說明電子治理之實際推動方式，不可僅抽象陳述定義而無具體案例。</w:t>
      </w:r>
    </w:p>
    <w:p>
      <w:pPr>
        <w:pStyle w:val="ListParagraph"/>
        <w:numPr>
          <w:ilvl w:val="0"/>
          <w:numId w:val="2"/>
        </w:numPr>
        <w:spacing w:after="120" w:line="340"/>
      </w:pPr>
      <w:r>
        <w:rPr>
          <w:rFonts w:ascii="微軟正黑體" w:cs="微軟正黑體" w:eastAsia="微軟正黑體" w:hAnsi="微軟正黑體"/>
          <w:sz w:val="22"/>
          <w:szCs w:val="22"/>
        </w:rPr>
        <w:t xml:space="preserve">公共價值論述須扣合效能、可近性、透明課責、參與共創等具體面向，不可僅籠統稱「電子治理很好」而無理論依據。</w:t>
      </w:r>
    </w:p>
    <w:p>
      <w:pPr>
        <w:spacing w:after="100" w:before="160"/>
      </w:pPr>
      <w:r>
        <w:rPr>
          <w:rFonts w:ascii="微軟正黑體" w:cs="微軟正黑體" w:eastAsia="微軟正黑體" w:hAnsi="微軟正黑體"/>
          <w:b/>
          <w:bCs/>
          <w:color w:val="444444"/>
          <w:sz w:val="21"/>
          <w:szCs w:val="21"/>
        </w:rPr>
        <w:t xml:space="preserve">【常見失分】</w:t>
      </w:r>
    </w:p>
    <w:p>
      <w:pPr>
        <w:pStyle w:val="ListParagraph"/>
        <w:numPr>
          <w:ilvl w:val="0"/>
          <w:numId w:val="2"/>
        </w:numPr>
        <w:spacing w:after="120" w:line="340"/>
      </w:pPr>
      <w:r>
        <w:rPr>
          <w:rFonts w:ascii="微軟正黑體" w:cs="微軟正黑體" w:eastAsia="微軟正黑體" w:hAnsi="微軟正黑體"/>
          <w:sz w:val="22"/>
          <w:szCs w:val="22"/>
        </w:rPr>
        <w:t xml:space="preserve">❌ 將電子治理與電子化政府概念混用，未能區辨治理網絡協商共創與政府供給面工具之範圍差異。</w:t>
      </w:r>
    </w:p>
    <w:p>
      <w:pPr>
        <w:pStyle w:val="ListParagraph"/>
        <w:numPr>
          <w:ilvl w:val="0"/>
          <w:numId w:val="2"/>
        </w:numPr>
        <w:spacing w:after="120" w:line="340"/>
      </w:pPr>
      <w:r>
        <w:rPr>
          <w:rFonts w:ascii="微軟正黑體" w:cs="微軟正黑體" w:eastAsia="微軟正黑體" w:hAnsi="微軟正黑體"/>
          <w:sz w:val="22"/>
          <w:szCs w:val="22"/>
        </w:rPr>
        <w:t xml:space="preserve">❌ 僅背誦定義而未能結合具體公共議題舉例說明，答題流於抽象。</w:t>
      </w:r>
    </w:p>
    <w:p>
      <w:pPr>
        <w:pStyle w:val="ListParagraph"/>
        <w:numPr>
          <w:ilvl w:val="0"/>
          <w:numId w:val="2"/>
        </w:numPr>
        <w:spacing w:after="120" w:line="340"/>
      </w:pPr>
      <w:r>
        <w:rPr>
          <w:rFonts w:ascii="微軟正黑體" w:cs="微軟正黑體" w:eastAsia="微軟正黑體" w:hAnsi="微軟正黑體"/>
          <w:sz w:val="22"/>
          <w:szCs w:val="22"/>
        </w:rPr>
        <w:t xml:space="preserve">❌ 公共價值論述空泛籠統，未具體扣合效能、透明、參與等理論面向。</w:t>
      </w:r>
    </w:p>
    <w:p>
      <w:pPr>
        <w:spacing w:after="220"/>
      </w:pPr>
    </w:p>
    <w:p>
      <w:pPr>
        <w:spacing w:after="180" w:before="360"/>
      </w:pPr>
      <w:r>
        <w:rPr>
          <w:rFonts w:ascii="微軟正黑體" w:cs="微軟正黑體" w:eastAsia="微軟正黑體" w:hAnsi="微軟正黑體"/>
          <w:b/>
          <w:bCs/>
          <w:color w:val="1F4E79"/>
          <w:sz w:val="26"/>
          <w:szCs w:val="26"/>
        </w:rPr>
        <w:t xml:space="preserve">題目二（B級比較題·110年公務人員特種考試身心障礙人員三等考試）</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考題出處（重要說明）</w:t>
            </w:r>
          </w:p>
          <w:p>
            <w:pPr>
              <w:spacing w:line="340"/>
              <w:jc w:val="both"/>
            </w:pPr>
            <w:r>
              <w:rPr>
                <w:rFonts w:ascii="微軟正黑體" w:cs="微軟正黑體" w:eastAsia="微軟正黑體" w:hAnsi="微軟正黑體"/>
                <w:sz w:val="21"/>
                <w:szCs w:val="21"/>
              </w:rPr>
              <w:t xml:space="preserve">本題為110年公務人員特種考試身心障礙人員三等考試真實歷屆試題，經查證其類科（一般行政）符合本書「一般行政」類科適用範圍。本題原標記於第九章「治理典範」語料庫，惟因核心內容更貼近本章電子化政府與數位轉型脈絡，已於第九章列出參照並移入本章完整解析。</w:t>
            </w:r>
          </w:p>
        </w:tc>
      </w:tr>
    </w:tbl>
    <w:p>
      <w:pPr>
        <w:spacing w:after="120"/>
      </w:pPr>
    </w:p>
    <w:p>
      <w:pPr>
        <w:spacing w:after="200" w:line="360"/>
        <w:ind w:firstLine="431"/>
        <w:jc w:val="both"/>
      </w:pPr>
      <w:r>
        <w:rPr>
          <w:rFonts w:ascii="微軟正黑體" w:cs="微軟正黑體" w:eastAsia="微軟正黑體" w:hAnsi="微軟正黑體"/>
          <w:sz w:val="22"/>
          <w:szCs w:val="22"/>
        </w:rPr>
        <w:t xml:space="preserve">「由於財政緊迫、人民期待日益升高以及科技創新日新月異等因素影響，驅使公部門必須變革，此一變革的重要趨勢有那些？請闡述之。（25分）」</w:t>
      </w:r>
    </w:p>
    <w:p>
      <w:pPr>
        <w:spacing w:after="100" w:before="160"/>
      </w:pPr>
      <w:r>
        <w:rPr>
          <w:rFonts w:ascii="微軟正黑體" w:cs="微軟正黑體" w:eastAsia="微軟正黑體" w:hAnsi="微軟正黑體"/>
          <w:b/>
          <w:bCs/>
          <w:color w:val="444444"/>
          <w:sz w:val="21"/>
          <w:szCs w:val="21"/>
        </w:rPr>
        <w:t xml:space="preserve">【題型判斷】</w:t>
      </w:r>
    </w:p>
    <w:p>
      <w:pPr>
        <w:spacing w:after="200" w:line="360"/>
        <w:ind w:firstLine="431"/>
        <w:jc w:val="both"/>
      </w:pPr>
      <w:r>
        <w:rPr>
          <w:rFonts w:ascii="微軟正黑體" w:cs="微軟正黑體" w:eastAsia="微軟正黑體" w:hAnsi="微軟正黑體"/>
          <w:sz w:val="22"/>
          <w:szCs w:val="22"/>
        </w:rPr>
        <w:t xml:space="preserve">這是一題「成因分析＋趨勢闡述題」，考生須依序完成：分析財政緊迫、人民期待、科技創新三項因素如何驅使公部門變革、闡述對應之變革重要趨勢——若僅列舉變革趨勢而未能扣合三項驅動因素之具體因果關係，屬論述不完整。</w:t>
      </w:r>
    </w:p>
    <w:p>
      <w:pPr>
        <w:spacing w:after="100" w:before="160"/>
      </w:pPr>
      <w:r>
        <w:rPr>
          <w:rFonts w:ascii="微軟正黑體" w:cs="微軟正黑體" w:eastAsia="微軟正黑體" w:hAnsi="微軟正黑體"/>
          <w:b/>
          <w:bCs/>
          <w:color w:val="444444"/>
          <w:sz w:val="21"/>
          <w:szCs w:val="21"/>
        </w:rPr>
        <w:t xml:space="preserve">【關鍵字】</w:t>
      </w:r>
    </w:p>
    <w:p>
      <w:pPr>
        <w:spacing w:after="200" w:line="360"/>
        <w:ind w:firstLine="431"/>
        <w:jc w:val="both"/>
      </w:pPr>
      <w:r>
        <w:rPr>
          <w:rFonts w:ascii="微軟正黑體" w:cs="微軟正黑體" w:eastAsia="微軟正黑體" w:hAnsi="微軟正黑體"/>
          <w:sz w:val="22"/>
          <w:szCs w:val="22"/>
        </w:rPr>
        <w:t xml:space="preserve">財政緊迫╱人民期待╱科技創新三重驅動 ＋ 電子化政府與AI政府轉型 ＋ 使用者中心設計。</w:t>
      </w:r>
    </w:p>
    <w:p>
      <w:pPr>
        <w:spacing w:after="100" w:before="160"/>
      </w:pPr>
      <w:r>
        <w:rPr>
          <w:rFonts w:ascii="微軟正黑體" w:cs="微軟正黑體" w:eastAsia="微軟正黑體" w:hAnsi="微軟正黑體"/>
          <w:b/>
          <w:bCs/>
          <w:color w:val="444444"/>
          <w:sz w:val="21"/>
          <w:szCs w:val="21"/>
        </w:rPr>
        <w:t xml:space="preserve">【答題架構】</w:t>
      </w:r>
    </w:p>
    <w:p>
      <w:pPr>
        <w:pStyle w:val="ListParagraph"/>
        <w:numPr>
          <w:ilvl w:val="0"/>
          <w:numId w:val="2"/>
        </w:numPr>
        <w:spacing w:after="120" w:line="340"/>
      </w:pPr>
      <w:r>
        <w:rPr>
          <w:rFonts w:ascii="微軟正黑體" w:cs="微軟正黑體" w:eastAsia="微軟正黑體" w:hAnsi="微軟正黑體"/>
          <w:sz w:val="22"/>
          <w:szCs w:val="22"/>
        </w:rPr>
        <w:t xml:space="preserve">一、前言：三股力量同時逼近，政府不變不行</w:t>
      </w:r>
    </w:p>
    <w:p>
      <w:pPr>
        <w:pStyle w:val="ListParagraph"/>
        <w:numPr>
          <w:ilvl w:val="0"/>
          <w:numId w:val="2"/>
        </w:numPr>
        <w:spacing w:after="120" w:line="340"/>
      </w:pPr>
      <w:r>
        <w:rPr>
          <w:rFonts w:ascii="微軟正黑體" w:cs="微軟正黑體" w:eastAsia="微軟正黑體" w:hAnsi="微軟正黑體"/>
          <w:sz w:val="22"/>
          <w:szCs w:val="22"/>
        </w:rPr>
        <w:t xml:space="preserve">二、財政緊迫、人民期待與科技創新驅動變革之因果邏輯</w:t>
      </w:r>
    </w:p>
    <w:p>
      <w:pPr>
        <w:pStyle w:val="ListParagraph"/>
        <w:numPr>
          <w:ilvl w:val="0"/>
          <w:numId w:val="2"/>
        </w:numPr>
        <w:spacing w:after="120" w:line="340"/>
      </w:pPr>
      <w:r>
        <w:rPr>
          <w:rFonts w:ascii="微軟正黑體" w:cs="微軟正黑體" w:eastAsia="微軟正黑體" w:hAnsi="微軟正黑體"/>
          <w:sz w:val="22"/>
          <w:szCs w:val="22"/>
        </w:rPr>
        <w:t xml:space="preserve">三、對應之公部門變革重要趨勢</w:t>
      </w:r>
    </w:p>
    <w:p>
      <w:pPr>
        <w:pStyle w:val="ListParagraph"/>
        <w:numPr>
          <w:ilvl w:val="0"/>
          <w:numId w:val="2"/>
        </w:numPr>
        <w:spacing w:after="120" w:line="340"/>
      </w:pPr>
      <w:r>
        <w:rPr>
          <w:rFonts w:ascii="微軟正黑體" w:cs="微軟正黑體" w:eastAsia="微軟正黑體" w:hAnsi="微軟正黑體"/>
          <w:sz w:val="22"/>
          <w:szCs w:val="22"/>
        </w:rPr>
        <w:t xml:space="preserve">四、結論</w:t>
      </w:r>
    </w:p>
    <w:p>
      <w:pPr>
        <w:spacing w:after="100" w:before="160"/>
      </w:pPr>
      <w:r>
        <w:rPr>
          <w:rFonts w:ascii="微軟正黑體" w:cs="微軟正黑體" w:eastAsia="微軟正黑體" w:hAnsi="微軟正黑體"/>
          <w:b/>
          <w:bCs/>
          <w:color w:val="444444"/>
          <w:sz w:val="21"/>
          <w:szCs w:val="21"/>
        </w:rPr>
        <w:t xml:space="preserve">【參考答案·標準版】（約1,300字）</w:t>
      </w:r>
    </w:p>
    <w:p>
      <w:pPr>
        <w:spacing w:after="200" w:line="360"/>
        <w:ind w:firstLine="431"/>
        <w:jc w:val="both"/>
      </w:pPr>
      <w:r>
        <w:rPr>
          <w:rFonts w:ascii="微軟正黑體" w:cs="微軟正黑體" w:eastAsia="微軟正黑體" w:hAnsi="微軟正黑體"/>
          <w:sz w:val="22"/>
          <w:szCs w:val="22"/>
        </w:rPr>
        <w:t xml:space="preserve">一、前言</w:t>
      </w:r>
    </w:p>
    <w:p>
      <w:pPr>
        <w:spacing w:after="200" w:line="360"/>
        <w:ind w:firstLine="431"/>
        <w:jc w:val="both"/>
      </w:pPr>
      <w:r>
        <w:rPr>
          <w:rFonts w:ascii="微軟正黑體" w:cs="微軟正黑體" w:eastAsia="微軟正黑體" w:hAnsi="微軟正黑體"/>
          <w:sz w:val="22"/>
          <w:szCs w:val="22"/>
        </w:rPr>
        <w:t xml:space="preserve">財政缺口愈來愈大、民眾要求愈來愈高、新技術愈來愈快——當這三股力量同時逼近，政府若還用二十年前的服務模式應付今天的期待，不是效率不彰，而是結構性的不堪負荷。</w:t>
      </w:r>
    </w:p>
    <w:p>
      <w:pPr>
        <w:spacing w:after="200" w:line="360"/>
        <w:ind w:firstLine="431"/>
        <w:jc w:val="both"/>
      </w:pPr>
      <w:r>
        <w:rPr>
          <w:rFonts w:ascii="微軟正黑體" w:cs="微軟正黑體" w:eastAsia="微軟正黑體" w:hAnsi="微軟正黑體"/>
          <w:sz w:val="22"/>
          <w:szCs w:val="22"/>
        </w:rPr>
        <w:t xml:space="preserve">二、財政緊迫、人民期待與科技創新驅動變革之因果邏輯</w:t>
      </w:r>
    </w:p>
    <w:p>
      <w:pPr>
        <w:spacing w:after="200" w:line="360"/>
        <w:ind w:firstLine="431"/>
        <w:jc w:val="both"/>
      </w:pPr>
      <w:r>
        <w:rPr>
          <w:rFonts w:ascii="微軟正黑體" w:cs="微軟正黑體" w:eastAsia="微軟正黑體" w:hAnsi="微軟正黑體"/>
          <w:sz w:val="22"/>
          <w:szCs w:val="22"/>
        </w:rPr>
        <w:t xml:space="preserve">財政緊迫使政府必須以更少資源提供不遜於過去之服務水準，傳統依賴大量人力之服務流程難以為繼，須尋求自動化與流程精簡以降低單位服務成本；人民期待日益升高，反映公民已習慣私部門數位服務之便利性（如電商、行動支付），對政府服務之回應速度、個人化程度與可近性之期待隨之提高，傳統科層式、單一窗口之服務模式已難以滿足此一期待；科技創新日新月異則提供了回應前二者壓力之技術可能性——雲端運算降低基礎設施建置成本、資料分析與AI技術使自動化與個人化服務成為可能，三項因素環環相扣：財政壓力提供變革之必要性，人民期待提供變革之正當性，科技創新則提供變革之可行性。</w:t>
      </w:r>
    </w:p>
    <w:p>
      <w:pPr>
        <w:spacing w:after="200" w:line="360"/>
        <w:ind w:firstLine="431"/>
        <w:jc w:val="both"/>
      </w:pPr>
      <w:r>
        <w:rPr>
          <w:rFonts w:ascii="微軟正黑體" w:cs="微軟正黑體" w:eastAsia="微軟正黑體" w:hAnsi="微軟正黑體"/>
          <w:sz w:val="22"/>
          <w:szCs w:val="22"/>
        </w:rPr>
        <w:t xml:space="preserve">三、對應之公部門變革重要趨勢</w:t>
      </w:r>
    </w:p>
    <w:p>
      <w:pPr>
        <w:spacing w:after="200" w:line="360"/>
        <w:ind w:firstLine="431"/>
        <w:jc w:val="both"/>
      </w:pPr>
      <w:r>
        <w:rPr>
          <w:rFonts w:ascii="微軟正黑體" w:cs="微軟正黑體" w:eastAsia="微軟正黑體" w:hAnsi="微軟正黑體"/>
          <w:sz w:val="22"/>
          <w:szCs w:val="22"/>
        </w:rPr>
        <w:t xml:space="preserve">回應此三重驅動力，公部門變革呈現以下重要趨勢：其一，電子化政府邁向AI政府之數位轉型，我國歷經六階段演進，2022年後以生成式AI、主權AI與GovTech為核心，政策重點從「服務上網」轉為「智慧賦能」，以自動化與AI輔助降低服務成本並提升回應速度，直接回應財政緊迫與人民期待之雙重壓力；其二，使用者中心設計之服務再造，以生活事件而非機關別重塑服務旅程，透過單一窗口與跨機關資料整合（如水平整合階段）減少民眾奔波，回應人民期待日益升高之課題；其三，政府作為平台（GaaP）與公私協力之GovTech生態系，政府不再事必躬親，而是提供資料、API等基礎設施，讓民間創新能量共同參與公共服務供給，以有限財政資源槓桿更大之服務創新動能；其四，開放政府與資料治理之深化，透過MyData、Join等平台促進公民參與治理過程，並以資料驅動決策提升政策精準度，降低資源錯置之財政浪費；其五，組織能力與公務AI素養之培力，唯有公務人員具備駕馭新科技之能力，前述變革趨勢方能真正落地，而非僅停留於口號。</w:t>
      </w:r>
    </w:p>
    <w:p>
      <w:pPr>
        <w:spacing w:after="200" w:line="360"/>
        <w:ind w:firstLine="431"/>
        <w:jc w:val="both"/>
      </w:pPr>
      <w:r>
        <w:rPr>
          <w:rFonts w:ascii="微軟正黑體" w:cs="微軟正黑體" w:eastAsia="微軟正黑體" w:hAnsi="微軟正黑體"/>
          <w:sz w:val="22"/>
          <w:szCs w:val="22"/>
        </w:rPr>
        <w:t xml:space="preserve">四、結論</w:t>
      </w:r>
    </w:p>
    <w:p>
      <w:pPr>
        <w:spacing w:after="200" w:line="360"/>
        <w:ind w:firstLine="431"/>
        <w:jc w:val="both"/>
      </w:pPr>
      <w:r>
        <w:rPr>
          <w:rFonts w:ascii="微軟正黑體" w:cs="微軟正黑體" w:eastAsia="微軟正黑體" w:hAnsi="微軟正黑體"/>
          <w:sz w:val="22"/>
          <w:szCs w:val="22"/>
        </w:rPr>
        <w:t xml:space="preserve">財政緊迫、人民期待與科技創新三項因素，共同構成公部門變革之結構性壓力，其驅動之變革趨勢，核心皆指向以數位轉型、使用者中心設計與公私協力，在有限資源下創造更高之公共價值——這正是電子化政府邁向AI政府之根本動力所在。</w:t>
      </w:r>
    </w:p>
    <w:p>
      <w:pPr>
        <w:spacing w:after="100" w:before="160"/>
      </w:pPr>
      <w:r>
        <w:rPr>
          <w:rFonts w:ascii="微軟正黑體" w:cs="微軟正黑體" w:eastAsia="微軟正黑體" w:hAnsi="微軟正黑體"/>
          <w:b/>
          <w:bCs/>
          <w:color w:val="444444"/>
          <w:sz w:val="21"/>
          <w:szCs w:val="21"/>
        </w:rPr>
        <w:t xml:space="preserve">【得分關鍵】</w:t>
      </w:r>
    </w:p>
    <w:p>
      <w:pPr>
        <w:pStyle w:val="ListParagraph"/>
        <w:numPr>
          <w:ilvl w:val="0"/>
          <w:numId w:val="2"/>
        </w:numPr>
        <w:spacing w:after="120" w:line="340"/>
      </w:pPr>
      <w:r>
        <w:rPr>
          <w:rFonts w:ascii="微軟正黑體" w:cs="微軟正黑體" w:eastAsia="微軟正黑體" w:hAnsi="微軟正黑體"/>
          <w:sz w:val="22"/>
          <w:szCs w:val="22"/>
        </w:rPr>
        <w:t xml:space="preserve">須具體分析財政緊迫、人民期待、科技創新三項因素之因果邏輯（必要性╱正當性╱可行性），不可僅將三者並列而未說明其相互關係。</w:t>
      </w:r>
    </w:p>
    <w:p>
      <w:pPr>
        <w:pStyle w:val="ListParagraph"/>
        <w:numPr>
          <w:ilvl w:val="0"/>
          <w:numId w:val="2"/>
        </w:numPr>
        <w:spacing w:after="120" w:line="340"/>
      </w:pPr>
      <w:r>
        <w:rPr>
          <w:rFonts w:ascii="微軟正黑體" w:cs="微軟正黑體" w:eastAsia="微軟正黑體" w:hAnsi="微軟正黑體"/>
          <w:sz w:val="22"/>
          <w:szCs w:val="22"/>
        </w:rPr>
        <w:t xml:space="preserve">變革趨勢須具體對應電子化政府與AI政府相關理論內涵（六階段演進、使用者中心設計、GaaP、開放政府），不可僅泛稱「政府應該改革」而無具體趨勢內容。</w:t>
      </w:r>
    </w:p>
    <w:p>
      <w:pPr>
        <w:pStyle w:val="ListParagraph"/>
        <w:numPr>
          <w:ilvl w:val="0"/>
          <w:numId w:val="2"/>
        </w:numPr>
        <w:spacing w:after="120" w:line="340"/>
      </w:pPr>
      <w:r>
        <w:rPr>
          <w:rFonts w:ascii="微軟正黑體" w:cs="微軟正黑體" w:eastAsia="微軟正黑體" w:hAnsi="微軟正黑體"/>
          <w:sz w:val="22"/>
          <w:szCs w:val="22"/>
        </w:rPr>
        <w:t xml:space="preserve">宜適度連結財政管理與績效管理（第二十三章）之資源配置邏輯，展現跨章節之整合分析能力。</w:t>
      </w:r>
    </w:p>
    <w:p>
      <w:pPr>
        <w:spacing w:after="100" w:before="160"/>
      </w:pPr>
      <w:r>
        <w:rPr>
          <w:rFonts w:ascii="微軟正黑體" w:cs="微軟正黑體" w:eastAsia="微軟正黑體" w:hAnsi="微軟正黑體"/>
          <w:b/>
          <w:bCs/>
          <w:color w:val="444444"/>
          <w:sz w:val="21"/>
          <w:szCs w:val="21"/>
        </w:rPr>
        <w:t xml:space="preserve">【常見失分】</w:t>
      </w:r>
    </w:p>
    <w:p>
      <w:pPr>
        <w:pStyle w:val="ListParagraph"/>
        <w:numPr>
          <w:ilvl w:val="0"/>
          <w:numId w:val="2"/>
        </w:numPr>
        <w:spacing w:after="120" w:line="340"/>
      </w:pPr>
      <w:r>
        <w:rPr>
          <w:rFonts w:ascii="微軟正黑體" w:cs="微軟正黑體" w:eastAsia="微軟正黑體" w:hAnsi="微軟正黑體"/>
          <w:sz w:val="22"/>
          <w:szCs w:val="22"/>
        </w:rPr>
        <w:t xml:space="preserve">❌ 僅列舉變革趨勢名稱，未能扣合財政緊迫、人民期待、科技創新三項驅動因素之具體因果分析。</w:t>
      </w:r>
    </w:p>
    <w:p>
      <w:pPr>
        <w:pStyle w:val="ListParagraph"/>
        <w:numPr>
          <w:ilvl w:val="0"/>
          <w:numId w:val="2"/>
        </w:numPr>
        <w:spacing w:after="120" w:line="340"/>
      </w:pPr>
      <w:r>
        <w:rPr>
          <w:rFonts w:ascii="微軟正黑體" w:cs="微軟正黑體" w:eastAsia="微軟正黑體" w:hAnsi="微軟正黑體"/>
          <w:sz w:val="22"/>
          <w:szCs w:val="22"/>
        </w:rPr>
        <w:t xml:space="preserve">❌ 變革趨勢論述空泛籠統（如僅稱「政府應該數位化」），未具體展開電子化政府相關理論內涵。</w:t>
      </w:r>
    </w:p>
    <w:p>
      <w:pPr>
        <w:spacing w:after="100" w:before="160"/>
      </w:pPr>
      <w:r>
        <w:rPr>
          <w:rFonts w:ascii="微軟正黑體" w:cs="微軟正黑體" w:eastAsia="微軟正黑體" w:hAnsi="微軟正黑體"/>
          <w:b/>
          <w:bCs/>
          <w:color w:val="444444"/>
          <w:sz w:val="21"/>
          <w:szCs w:val="21"/>
        </w:rPr>
        <w:t xml:space="preserve">【高分加分點】</w:t>
      </w:r>
    </w:p>
    <w:p>
      <w:pPr>
        <w:pStyle w:val="ListParagraph"/>
        <w:numPr>
          <w:ilvl w:val="0"/>
          <w:numId w:val="2"/>
        </w:numPr>
        <w:spacing w:after="120" w:line="340"/>
      </w:pPr>
      <w:r>
        <w:rPr>
          <w:rFonts w:ascii="微軟正黑體" w:cs="微軟正黑體" w:eastAsia="微軟正黑體" w:hAnsi="微軟正黑體"/>
          <w:sz w:val="22"/>
          <w:szCs w:val="22"/>
        </w:rPr>
        <w:t xml:space="preserve">可援引數位落差2.0（算力落差與提示落差）之概念，說明公部門變革若僅追求技術導入而忽略組織能力落差，恐使變革效益侷限於少數具備AI素養之機關或人員，深化論述之批判層次。</w:t>
      </w:r>
    </w:p>
    <w:p>
      <w:pPr>
        <w:pStyle w:val="ListParagraph"/>
        <w:numPr>
          <w:ilvl w:val="0"/>
          <w:numId w:val="2"/>
        </w:numPr>
        <w:spacing w:after="120" w:line="340"/>
      </w:pPr>
      <w:r>
        <w:rPr>
          <w:rFonts w:ascii="微軟正黑體" w:cs="微軟正黑體" w:eastAsia="微軟正黑體" w:hAnsi="微軟正黑體"/>
          <w:sz w:val="22"/>
          <w:szCs w:val="22"/>
        </w:rPr>
        <w:t xml:space="preserve">可補充DEG第三波（AI與演算法治理）之理論脈絡，說明公部門變革已從單純之流程電子化，進一步走向以資料、算力與智慧服務重塑職能之典範轉移。</w:t>
      </w:r>
    </w:p>
    <w:p>
      <w:pPr>
        <w:pStyle w:val="ListParagraph"/>
        <w:numPr>
          <w:ilvl w:val="0"/>
          <w:numId w:val="2"/>
        </w:numPr>
        <w:spacing w:after="120" w:line="340"/>
      </w:pPr>
      <w:r>
        <w:rPr>
          <w:rFonts w:ascii="微軟正黑體" w:cs="微軟正黑體" w:eastAsia="微軟正黑體" w:hAnsi="微軟正黑體"/>
          <w:sz w:val="22"/>
          <w:szCs w:val="22"/>
        </w:rPr>
        <w:t xml:space="preserve">可援引我國數位發展部2022年成立與TAIDE主權AI之具體實務，說明財政緊迫、人民期待、科技創新三重驅動力如何具體轉化為我國之制度性回應，強化理論與臺灣實務之整合深度。</w:t>
      </w:r>
    </w:p>
    <w:p>
      <w:pPr>
        <w:pStyle w:val="ListParagraph"/>
        <w:numPr>
          <w:ilvl w:val="0"/>
          <w:numId w:val="2"/>
        </w:numPr>
        <w:spacing w:after="120" w:line="340"/>
      </w:pPr>
      <w:r>
        <w:rPr>
          <w:rFonts w:ascii="微軟正黑體" w:cs="微軟正黑體" w:eastAsia="微軟正黑體" w:hAnsi="微軟正黑體"/>
          <w:sz w:val="22"/>
          <w:szCs w:val="22"/>
        </w:rPr>
        <w:t xml:space="preserve">可補充「政府作為平台（GaaP）」之財政意涵，說明政府透過提供基礎設施而非直接供給服務，能以較低之財政投入槓桿更大規模之民間創新動能，是回應財政緊迫最具槓桿效益之變革趨勢。</w:t>
      </w:r>
    </w:p>
    <w:p>
      <w:pPr>
        <w:spacing w:after="220"/>
      </w:pPr>
    </w:p>
    <w:p>
      <w:pPr>
        <w:spacing w:after="180" w:before="360"/>
      </w:pPr>
      <w:r>
        <w:rPr>
          <w:rFonts w:ascii="微軟正黑體" w:cs="微軟正黑體" w:eastAsia="微軟正黑體" w:hAnsi="微軟正黑體"/>
          <w:b/>
          <w:bCs/>
          <w:color w:val="1F4E79"/>
          <w:sz w:val="26"/>
          <w:szCs w:val="26"/>
        </w:rPr>
        <w:t xml:space="preserve">題目三（C級綜合題·模擬命題）</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FF3CD" w:sz="2"/>
              <w:left w:val="single" w:color="C9971A" w:sz="24"/>
              <w:bottom w:val="single" w:color="FFF3CD" w:sz="2"/>
              <w:right w:val="single" w:color="FFF3CD" w:sz="2"/>
            </w:tcBorders>
            <w:shd w:fill="FFF3CD" w:val="clear"/>
            <w:tcMar>
              <w:top w:type="dxa" w:w="160"/>
              <w:left w:type="dxa" w:w="220"/>
              <w:bottom w:type="dxa" w:w="160"/>
              <w:right w:type="dxa" w:w="220"/>
            </w:tcMar>
          </w:tcPr>
          <w:p>
            <w:pPr>
              <w:spacing w:after="100"/>
            </w:pPr>
            <w:r>
              <w:rPr>
                <w:rFonts w:ascii="微軟正黑體" w:cs="微軟正黑體" w:eastAsia="微軟正黑體" w:hAnsi="微軟正黑體"/>
                <w:b/>
                <w:bCs/>
                <w:color w:val="C9971A"/>
                <w:sz w:val="22"/>
                <w:szCs w:val="22"/>
              </w:rPr>
              <w:t xml:space="preserve">考題出處（重要說明）</w:t>
            </w:r>
          </w:p>
          <w:p>
            <w:pPr>
              <w:spacing w:line="340"/>
              <w:jc w:val="both"/>
            </w:pPr>
            <w:r>
              <w:rPr>
                <w:rFonts w:ascii="微軟正黑體" w:cs="微軟正黑體" w:eastAsia="微軟正黑體" w:hAnsi="微軟正黑體"/>
                <w:sz w:val="21"/>
                <w:szCs w:val="21"/>
              </w:rPr>
              <w:t xml:space="preserve">本題並非歷屆試題，而是依本章第四節母體教材「AI鑲嵌下的危機管理與雙軌韌性治理」及案例思考「斯洛伐克大選深偽錄音事件」「中央流行疫情指揮中心人機協作模式」自行設計之模擬命題。本語料庫（107-111年）中，本章尚未查得與深偽危機溝通或AI輿情治理直接對應之申論真題，爰以模擬題形式呈現，並於此明確標示，避免與真實歷屆試題混淆。</w:t>
            </w:r>
          </w:p>
        </w:tc>
      </w:tr>
    </w:tbl>
    <w:p>
      <w:pPr>
        <w:spacing w:after="120"/>
      </w:pPr>
    </w:p>
    <w:p>
      <w:pPr>
        <w:spacing w:after="200" w:line="360"/>
        <w:ind w:firstLine="431"/>
        <w:jc w:val="both"/>
      </w:pPr>
      <w:r>
        <w:rPr>
          <w:rFonts w:ascii="微軟正黑體" w:cs="微軟正黑體" w:eastAsia="微軟正黑體" w:hAnsi="微軟正黑體"/>
          <w:sz w:val="22"/>
          <w:szCs w:val="22"/>
        </w:rPr>
        <w:t xml:space="preserve">「某縣市於重大天然災害期間，社群平台出現大量疑似深偽影音，內容為「首長」宣布錯誤疏散指令，並迅速在Line群組與社群平台擴散，造成部分民眾恐慌性移動、影響實際救災動線。該縣市同時運用AI輿情系統即時監測社群異常訊息，並以生成式AI快速產製多語言闢謠圖卡。請說明此一事件對危機溝通治理之啟示，並運用『人類在迴圈（HITL）』原則與『三層防禦』架構，設計一套化解機制。（25分）」</w:t>
      </w:r>
    </w:p>
    <w:p>
      <w:pPr>
        <w:spacing w:after="100" w:before="160"/>
      </w:pPr>
      <w:r>
        <w:rPr>
          <w:rFonts w:ascii="微軟正黑體" w:cs="微軟正黑體" w:eastAsia="微軟正黑體" w:hAnsi="微軟正黑體"/>
          <w:b/>
          <w:bCs/>
          <w:color w:val="444444"/>
          <w:sz w:val="21"/>
          <w:szCs w:val="21"/>
        </w:rPr>
        <w:t xml:space="preserve">【題型判斷】</w:t>
      </w:r>
    </w:p>
    <w:p>
      <w:pPr>
        <w:spacing w:after="200" w:line="360"/>
        <w:ind w:firstLine="431"/>
        <w:jc w:val="both"/>
      </w:pPr>
      <w:r>
        <w:rPr>
          <w:rFonts w:ascii="微軟正黑體" w:cs="微軟正黑體" w:eastAsia="微軟正黑體" w:hAnsi="微軟正黑體"/>
          <w:sz w:val="22"/>
          <w:szCs w:val="22"/>
        </w:rPr>
        <w:t xml:space="preserve">這是一題「事件分析＋理論應用＋制度設計綜合題」，考生須依序完成：說明此一深偽危機事件對危機溝通治理之啟示、運用人類在迴圈（HITL）原則分析、運用三層防禦架構設計化解機制——若僅提出「加強闢謠」等籠統建議而未具體對應HITL原則與三層防禦架構，屬論述深度不足。</w:t>
      </w:r>
    </w:p>
    <w:p>
      <w:pPr>
        <w:spacing w:after="100" w:before="160"/>
      </w:pPr>
      <w:r>
        <w:rPr>
          <w:rFonts w:ascii="微軟正黑體" w:cs="微軟正黑體" w:eastAsia="微軟正黑體" w:hAnsi="微軟正黑體"/>
          <w:b/>
          <w:bCs/>
          <w:color w:val="444444"/>
          <w:sz w:val="21"/>
          <w:szCs w:val="21"/>
        </w:rPr>
        <w:t xml:space="preserve">【關鍵字】</w:t>
      </w:r>
    </w:p>
    <w:p>
      <w:pPr>
        <w:spacing w:after="200" w:line="360"/>
        <w:ind w:firstLine="431"/>
        <w:jc w:val="both"/>
      </w:pPr>
      <w:r>
        <w:rPr>
          <w:rFonts w:ascii="微軟正黑體" w:cs="微軟正黑體" w:eastAsia="微軟正黑體" w:hAnsi="微軟正黑體"/>
          <w:sz w:val="22"/>
          <w:szCs w:val="22"/>
        </w:rPr>
        <w:t xml:space="preserve">危機源頭AI化 ＋ 人類在迴圈（HITL）＋ 三層防禦（事前C2PA╱事中AI偵測╱事後澄清）。</w:t>
      </w:r>
    </w:p>
    <w:p>
      <w:pPr>
        <w:spacing w:after="100" w:before="160"/>
      </w:pPr>
      <w:r>
        <w:rPr>
          <w:rFonts w:ascii="微軟正黑體" w:cs="微軟正黑體" w:eastAsia="微軟正黑體" w:hAnsi="微軟正黑體"/>
          <w:b/>
          <w:bCs/>
          <w:color w:val="444444"/>
          <w:sz w:val="21"/>
          <w:szCs w:val="21"/>
        </w:rPr>
        <w:t xml:space="preserve">【答題架構】</w:t>
      </w:r>
    </w:p>
    <w:p>
      <w:pPr>
        <w:pStyle w:val="ListParagraph"/>
        <w:numPr>
          <w:ilvl w:val="0"/>
          <w:numId w:val="2"/>
        </w:numPr>
        <w:spacing w:after="120" w:line="340"/>
      </w:pPr>
      <w:r>
        <w:rPr>
          <w:rFonts w:ascii="微軟正黑體" w:cs="微軟正黑體" w:eastAsia="微軟正黑體" w:hAnsi="微軟正黑體"/>
          <w:sz w:val="22"/>
          <w:szCs w:val="22"/>
        </w:rPr>
        <w:t xml:space="preserve">一、前言：災難現場最危險的，可能不是災害本身，而是一段偽造的疏散指令</w:t>
      </w:r>
    </w:p>
    <w:p>
      <w:pPr>
        <w:pStyle w:val="ListParagraph"/>
        <w:numPr>
          <w:ilvl w:val="0"/>
          <w:numId w:val="2"/>
        </w:numPr>
        <w:spacing w:after="120" w:line="340"/>
      </w:pPr>
      <w:r>
        <w:rPr>
          <w:rFonts w:ascii="微軟正黑體" w:cs="微軟正黑體" w:eastAsia="微軟正黑體" w:hAnsi="微軟正黑體"/>
          <w:sz w:val="22"/>
          <w:szCs w:val="22"/>
        </w:rPr>
        <w:t xml:space="preserve">二、此一事件對危機溝通治理之啟示</w:t>
      </w:r>
    </w:p>
    <w:p>
      <w:pPr>
        <w:pStyle w:val="ListParagraph"/>
        <w:numPr>
          <w:ilvl w:val="0"/>
          <w:numId w:val="2"/>
        </w:numPr>
        <w:spacing w:after="120" w:line="340"/>
      </w:pPr>
      <w:r>
        <w:rPr>
          <w:rFonts w:ascii="微軟正黑體" w:cs="微軟正黑體" w:eastAsia="微軟正黑體" w:hAnsi="微軟正黑體"/>
          <w:sz w:val="22"/>
          <w:szCs w:val="22"/>
        </w:rPr>
        <w:t xml:space="preserve">三、以人類在迴圈（HITL）原則分析此案例</w:t>
      </w:r>
    </w:p>
    <w:p>
      <w:pPr>
        <w:pStyle w:val="ListParagraph"/>
        <w:numPr>
          <w:ilvl w:val="0"/>
          <w:numId w:val="2"/>
        </w:numPr>
        <w:spacing w:after="120" w:line="340"/>
      </w:pPr>
      <w:r>
        <w:rPr>
          <w:rFonts w:ascii="微軟正黑體" w:cs="微軟正黑體" w:eastAsia="微軟正黑體" w:hAnsi="微軟正黑體"/>
          <w:sz w:val="22"/>
          <w:szCs w:val="22"/>
        </w:rPr>
        <w:t xml:space="preserve">四、以三層防禦架構設計化解機制</w:t>
      </w:r>
    </w:p>
    <w:p>
      <w:pPr>
        <w:pStyle w:val="ListParagraph"/>
        <w:numPr>
          <w:ilvl w:val="0"/>
          <w:numId w:val="2"/>
        </w:numPr>
        <w:spacing w:after="120" w:line="340"/>
      </w:pPr>
      <w:r>
        <w:rPr>
          <w:rFonts w:ascii="微軟正黑體" w:cs="微軟正黑體" w:eastAsia="微軟正黑體" w:hAnsi="微軟正黑體"/>
          <w:sz w:val="22"/>
          <w:szCs w:val="22"/>
        </w:rPr>
        <w:t xml:space="preserve">五、結論</w:t>
      </w:r>
    </w:p>
    <w:p>
      <w:pPr>
        <w:spacing w:after="100" w:before="160"/>
      </w:pPr>
      <w:r>
        <w:rPr>
          <w:rFonts w:ascii="微軟正黑體" w:cs="微軟正黑體" w:eastAsia="微軟正黑體" w:hAnsi="微軟正黑體"/>
          <w:b/>
          <w:bCs/>
          <w:color w:val="444444"/>
          <w:sz w:val="21"/>
          <w:szCs w:val="21"/>
        </w:rPr>
        <w:t xml:space="preserve">【參考答案·標準版】（約1,300字）</w:t>
      </w:r>
    </w:p>
    <w:p>
      <w:pPr>
        <w:spacing w:after="200" w:line="360"/>
        <w:ind w:firstLine="431"/>
        <w:jc w:val="both"/>
      </w:pPr>
      <w:r>
        <w:rPr>
          <w:rFonts w:ascii="微軟正黑體" w:cs="微軟正黑體" w:eastAsia="微軟正黑體" w:hAnsi="微軟正黑體"/>
          <w:sz w:val="22"/>
          <w:szCs w:val="22"/>
        </w:rPr>
        <w:t xml:space="preserve">一、前言</w:t>
      </w:r>
    </w:p>
    <w:p>
      <w:pPr>
        <w:spacing w:after="200" w:line="360"/>
        <w:ind w:firstLine="431"/>
        <w:jc w:val="both"/>
      </w:pPr>
      <w:r>
        <w:rPr>
          <w:rFonts w:ascii="微軟正黑體" w:cs="微軟正黑體" w:eastAsia="微軟正黑體" w:hAnsi="微軟正黑體"/>
          <w:sz w:val="22"/>
          <w:szCs w:val="22"/>
        </w:rPr>
        <w:t xml:space="preserve">天然災害本身已是對應變能力的考驗，若此時再混入一段偽造的首長疏散指令，民眾恐慌性移動所造成的次生風險，可能比原本的災害本身更難收拾——這正是本案例對危機溝通治理最直接的警示。</w:t>
      </w:r>
    </w:p>
    <w:p>
      <w:pPr>
        <w:spacing w:after="200" w:line="360"/>
        <w:ind w:firstLine="431"/>
        <w:jc w:val="both"/>
      </w:pPr>
      <w:r>
        <w:rPr>
          <w:rFonts w:ascii="微軟正黑體" w:cs="微軟正黑體" w:eastAsia="微軟正黑體" w:hAnsi="微軟正黑體"/>
          <w:sz w:val="22"/>
          <w:szCs w:val="22"/>
        </w:rPr>
        <w:t xml:space="preserve">二、此一事件對危機溝通治理之啟示</w:t>
      </w:r>
    </w:p>
    <w:p>
      <w:pPr>
        <w:spacing w:after="200" w:line="360"/>
        <w:ind w:firstLine="431"/>
        <w:jc w:val="both"/>
      </w:pPr>
      <w:r>
        <w:rPr>
          <w:rFonts w:ascii="微軟正黑體" w:cs="微軟正黑體" w:eastAsia="微軟正黑體" w:hAnsi="微軟正黑體"/>
          <w:sz w:val="22"/>
          <w:szCs w:val="22"/>
        </w:rPr>
        <w:t xml:space="preserve">本案例印證本章「危機源頭AI化」與「危機處理AI化」之雙重性同時發生：一方面，深偽影音成為危機本身的成因，偽造之首長疏散指令直接干擾實際救災動線，凸顯深偽技術已從單純之假訊息問題，升級為足以實質妨礙公共安全行動之治理挑戰；另一方面，AI輿情系統與生成式AI闢謠圖卡則成為因應危機之工具，顯示同一套AI技術能力，在治理設計良窳之下，可能是加害者也可能是救援者。此一事件亦凸顯，天然災害期間之「假訊息黃金時間」較平時更短，因深偽疏散指令與真實災情資訊高度混雜，民眾難以在短時間內辨別真偽，對危機溝通之即時性與可信度提出更嚴苛之要求。</w:t>
      </w:r>
    </w:p>
    <w:p>
      <w:pPr>
        <w:spacing w:after="200" w:line="360"/>
        <w:ind w:firstLine="431"/>
        <w:jc w:val="both"/>
      </w:pPr>
      <w:r>
        <w:rPr>
          <w:rFonts w:ascii="微軟正黑體" w:cs="微軟正黑體" w:eastAsia="微軟正黑體" w:hAnsi="微軟正黑體"/>
          <w:sz w:val="22"/>
          <w:szCs w:val="22"/>
        </w:rPr>
        <w:t xml:space="preserve">三、以人類在迴圈（HITL）原則分析此案例</w:t>
      </w:r>
    </w:p>
    <w:p>
      <w:pPr>
        <w:spacing w:after="200" w:line="360"/>
        <w:ind w:firstLine="431"/>
        <w:jc w:val="both"/>
      </w:pPr>
      <w:r>
        <w:rPr>
          <w:rFonts w:ascii="微軟正黑體" w:cs="微軟正黑體" w:eastAsia="微軟正黑體" w:hAnsi="微軟正黑體"/>
          <w:sz w:val="22"/>
          <w:szCs w:val="22"/>
        </w:rPr>
        <w:t xml:space="preserve">以人類在迴圈原則分析，本案例之AI輿情系統與闢謠圖卡生成，皆屬「監測與草擬」之範疇，應由AI負責規模化執行；惟「是否宣布為深偽」「以何種語氣澄清」「是否需同步啟動法律追訴」等高風險價值判斷，仍須保留由指揮官或發言人最終裁量，不可讓AI逕行對外發布「官方澄清」而未經人類核准，否則萬一AI闢謠圖卡本身亦有錯誤或用詞不當，將形成「用AI闢謠AI造謠」之次生信任危機。</w:t>
      </w:r>
    </w:p>
    <w:p>
      <w:pPr>
        <w:spacing w:after="200" w:line="360"/>
        <w:ind w:firstLine="431"/>
        <w:jc w:val="both"/>
      </w:pPr>
      <w:r>
        <w:rPr>
          <w:rFonts w:ascii="微軟正黑體" w:cs="微軟正黑體" w:eastAsia="微軟正黑體" w:hAnsi="微軟正黑體"/>
          <w:sz w:val="22"/>
          <w:szCs w:val="22"/>
        </w:rPr>
        <w:t xml:space="preserve">四、以三層防禦架構設計化解機制</w:t>
      </w:r>
    </w:p>
    <w:p>
      <w:pPr>
        <w:spacing w:after="200" w:line="360"/>
        <w:ind w:firstLine="431"/>
        <w:jc w:val="both"/>
      </w:pPr>
      <w:r>
        <w:rPr>
          <w:rFonts w:ascii="微軟正黑體" w:cs="微軟正黑體" w:eastAsia="微軟正黑體" w:hAnsi="微軟正黑體"/>
          <w:sz w:val="22"/>
          <w:szCs w:val="22"/>
        </w:rPr>
        <w:t xml:space="preserve">以三層防禦架構逐一設計化解機制：其一，事前防禦，平時應要求機關首長之正式對外影音，採用數位浮水印與內容來源驗證（C2PA）技術，使真實影音具備可驗證之來源標記，一旦發生爭議，可迅速比對辨識；其二，事中防禦，AI輿情系統應即時偵測異常擴散模式（如短時間內大量轉傳、特定關鍵字暴增），並與民間事實查核機構協作，同步進行技術辨識（如影音分析）與人工查證，而生成式AI產製之多語言闢謠圖卡，於發布前須經指揮官或發言人核准，並清楚標示「官方澄清」之驗證來源；其三，事後防禦，事件落幕後應立即公布完整事實查核報告與偽造內容之技術分析，並檢討本次深偽事件之擴散路徑，作為下次演練之知識累積，呼應Mitroff模式「學習修正」之精神。</w:t>
      </w:r>
    </w:p>
    <w:p>
      <w:pPr>
        <w:spacing w:after="200" w:line="360"/>
        <w:ind w:firstLine="431"/>
        <w:jc w:val="both"/>
      </w:pPr>
      <w:r>
        <w:rPr>
          <w:rFonts w:ascii="微軟正黑體" w:cs="微軟正黑體" w:eastAsia="微軟正黑體" w:hAnsi="微軟正黑體"/>
          <w:sz w:val="22"/>
          <w:szCs w:val="22"/>
        </w:rPr>
        <w:t xml:space="preserve">五、結論</w:t>
      </w:r>
    </w:p>
    <w:p>
      <w:pPr>
        <w:spacing w:after="200" w:line="360"/>
        <w:ind w:firstLine="431"/>
        <w:jc w:val="both"/>
      </w:pPr>
      <w:r>
        <w:rPr>
          <w:rFonts w:ascii="微軟正黑體" w:cs="微軟正黑體" w:eastAsia="微軟正黑體" w:hAnsi="微軟正黑體"/>
          <w:sz w:val="22"/>
          <w:szCs w:val="22"/>
        </w:rPr>
        <w:t xml:space="preserve">深偽疏散指令事件顯示，AI技術在危機情境下具有加害與救援之雙重性，唯有透過人類在迴圈原則明確保留高風險判斷之人類最終裁量，並搭配事前事中事後三層防禦之制度設計，方能讓AI輿情監測與闢謠工具真正成為守護信任之助力，而非在混亂中製造更多的不確定性。</w:t>
      </w:r>
    </w:p>
    <w:p>
      <w:pPr>
        <w:spacing w:after="100" w:before="160"/>
      </w:pPr>
      <w:r>
        <w:rPr>
          <w:rFonts w:ascii="微軟正黑體" w:cs="微軟正黑體" w:eastAsia="微軟正黑體" w:hAnsi="微軟正黑體"/>
          <w:b/>
          <w:bCs/>
          <w:color w:val="444444"/>
          <w:sz w:val="21"/>
          <w:szCs w:val="21"/>
        </w:rPr>
        <w:t xml:space="preserve">【得分關鍵】</w:t>
      </w:r>
    </w:p>
    <w:p>
      <w:pPr>
        <w:pStyle w:val="ListParagraph"/>
        <w:numPr>
          <w:ilvl w:val="0"/>
          <w:numId w:val="2"/>
        </w:numPr>
        <w:spacing w:after="120" w:line="340"/>
      </w:pPr>
      <w:r>
        <w:rPr>
          <w:rFonts w:ascii="微軟正黑體" w:cs="微軟正黑體" w:eastAsia="微軟正黑體" w:hAnsi="微軟正黑體"/>
          <w:sz w:val="22"/>
          <w:szCs w:val="22"/>
        </w:rPr>
        <w:t xml:space="preserve">須具體指出「危機源頭AI化」與「危機處理AI化」雙重性同時發生於本案例之現象，不可僅單純視為「假訊息事件」而未扣合本章理論架構。</w:t>
      </w:r>
    </w:p>
    <w:p>
      <w:pPr>
        <w:pStyle w:val="ListParagraph"/>
        <w:numPr>
          <w:ilvl w:val="0"/>
          <w:numId w:val="2"/>
        </w:numPr>
        <w:spacing w:after="120" w:line="340"/>
      </w:pPr>
      <w:r>
        <w:rPr>
          <w:rFonts w:ascii="微軟正黑體" w:cs="微軟正黑體" w:eastAsia="微軟正黑體" w:hAnsi="微軟正黑體"/>
          <w:sz w:val="22"/>
          <w:szCs w:val="22"/>
        </w:rPr>
        <w:t xml:space="preserve">須運用人類在迴圈（HITL）原則具體說明AI與人類之分工界線（AI監測草擬╱人類最終裁量），並具體指出本案例中何種決定不可交由AI逕行處理。</w:t>
      </w:r>
    </w:p>
    <w:p>
      <w:pPr>
        <w:pStyle w:val="ListParagraph"/>
        <w:numPr>
          <w:ilvl w:val="0"/>
          <w:numId w:val="2"/>
        </w:numPr>
        <w:spacing w:after="120" w:line="340"/>
      </w:pPr>
      <w:r>
        <w:rPr>
          <w:rFonts w:ascii="微軟正黑體" w:cs="微軟正黑體" w:eastAsia="微軟正黑體" w:hAnsi="微軟正黑體"/>
          <w:sz w:val="22"/>
          <w:szCs w:val="22"/>
        </w:rPr>
        <w:t xml:space="preserve">三層防禦架構之化解機制設計須具體可行且逐一對應事前事中事後，不可僅提及「加強查核」而無具體技術與制度內容。</w:t>
      </w:r>
    </w:p>
    <w:p>
      <w:pPr>
        <w:spacing w:after="100" w:before="160"/>
      </w:pPr>
      <w:r>
        <w:rPr>
          <w:rFonts w:ascii="微軟正黑體" w:cs="微軟正黑體" w:eastAsia="微軟正黑體" w:hAnsi="微軟正黑體"/>
          <w:b/>
          <w:bCs/>
          <w:color w:val="444444"/>
          <w:sz w:val="21"/>
          <w:szCs w:val="21"/>
        </w:rPr>
        <w:t xml:space="preserve">【常見失分】</w:t>
      </w:r>
    </w:p>
    <w:p>
      <w:pPr>
        <w:pStyle w:val="ListParagraph"/>
        <w:numPr>
          <w:ilvl w:val="0"/>
          <w:numId w:val="2"/>
        </w:numPr>
        <w:spacing w:after="120" w:line="340"/>
      </w:pPr>
      <w:r>
        <w:rPr>
          <w:rFonts w:ascii="微軟正黑體" w:cs="微軟正黑體" w:eastAsia="微軟正黑體" w:hAnsi="微軟正黑體"/>
          <w:sz w:val="22"/>
          <w:szCs w:val="22"/>
        </w:rPr>
        <w:t xml:space="preserve">❌ 僅將本案例視為單純假訊息事件，未能扣合「危機源頭AI化」與「危機處理AI化」雙重性之理論架構。</w:t>
      </w:r>
    </w:p>
    <w:p>
      <w:pPr>
        <w:pStyle w:val="ListParagraph"/>
        <w:numPr>
          <w:ilvl w:val="0"/>
          <w:numId w:val="2"/>
        </w:numPr>
        <w:spacing w:after="120" w:line="340"/>
      </w:pPr>
      <w:r>
        <w:rPr>
          <w:rFonts w:ascii="微軟正黑體" w:cs="微軟正黑體" w:eastAsia="微軟正黑體" w:hAnsi="微軟正黑體"/>
          <w:sz w:val="22"/>
          <w:szCs w:val="22"/>
        </w:rPr>
        <w:t xml:space="preserve">❌ HITL原則套用生硬，未能具體指出本案例中AI與人類之分工界線與不可讓AI逕行決定之高風險判斷項目。</w:t>
      </w:r>
    </w:p>
    <w:p>
      <w:pPr>
        <w:pStyle w:val="ListParagraph"/>
        <w:numPr>
          <w:ilvl w:val="0"/>
          <w:numId w:val="2"/>
        </w:numPr>
        <w:spacing w:after="120" w:line="340"/>
      </w:pPr>
      <w:r>
        <w:rPr>
          <w:rFonts w:ascii="微軟正黑體" w:cs="微軟正黑體" w:eastAsia="微軟正黑體" w:hAnsi="微軟正黑體"/>
          <w:sz w:val="22"/>
          <w:szCs w:val="22"/>
        </w:rPr>
        <w:t xml:space="preserve">❌ 三層防禦架構設計空泛，僅提及「要查核」而未具體對應事前浮水印、事中偵測協作、事後澄清學習之各階段內容。</w:t>
      </w:r>
    </w:p>
    <w:p>
      <w:pPr>
        <w:spacing w:after="100" w:before="160"/>
      </w:pPr>
      <w:r>
        <w:rPr>
          <w:rFonts w:ascii="微軟正黑體" w:cs="微軟正黑體" w:eastAsia="微軟正黑體" w:hAnsi="微軟正黑體"/>
          <w:b/>
          <w:bCs/>
          <w:color w:val="444444"/>
          <w:sz w:val="21"/>
          <w:szCs w:val="21"/>
        </w:rPr>
        <w:t xml:space="preserve">【高分加分點】</w:t>
      </w:r>
    </w:p>
    <w:p>
      <w:pPr>
        <w:pStyle w:val="ListParagraph"/>
        <w:numPr>
          <w:ilvl w:val="0"/>
          <w:numId w:val="2"/>
        </w:numPr>
        <w:spacing w:after="120" w:line="340"/>
      </w:pPr>
      <w:r>
        <w:rPr>
          <w:rFonts w:ascii="微軟正黑體" w:cs="微軟正黑體" w:eastAsia="微軟正黑體" w:hAnsi="微軟正黑體"/>
          <w:sz w:val="22"/>
          <w:szCs w:val="22"/>
        </w:rPr>
        <w:t xml:space="preserve">可具體援引2023年斯洛伐克大選深偽錄音案例，說明技術威脅若疊加在既有制度不信任之上殺傷力遠大於技術本身，並指出本案例天然災害期間之特殊情境（黃金時間更短、真假資訊高度混雜），凸顯危機情境下深偽治理之急迫性更甚於選舉情境。</w:t>
      </w:r>
    </w:p>
    <w:p>
      <w:pPr>
        <w:pStyle w:val="ListParagraph"/>
        <w:numPr>
          <w:ilvl w:val="0"/>
          <w:numId w:val="2"/>
        </w:numPr>
        <w:spacing w:after="120" w:line="340"/>
      </w:pPr>
      <w:r>
        <w:rPr>
          <w:rFonts w:ascii="微軟正黑體" w:cs="微軟正黑體" w:eastAsia="微軟正黑體" w:hAnsi="微軟正黑體"/>
          <w:sz w:val="22"/>
          <w:szCs w:val="22"/>
        </w:rPr>
        <w:t xml:space="preserve">可補充我國中央流行疫情指揮中心（CECC）人機協作模式之實務經驗，說明「真人記者會建立信任、AI負責監測與例行諮詢」之分工原則如何具體轉化為天然災害情境下之危機溝通SOP設計。</w:t>
      </w:r>
    </w:p>
    <w:p>
      <w:pPr>
        <w:pStyle w:val="ListParagraph"/>
        <w:numPr>
          <w:ilvl w:val="0"/>
          <w:numId w:val="2"/>
        </w:numPr>
        <w:spacing w:after="120" w:line="340"/>
      </w:pPr>
      <w:r>
        <w:rPr>
          <w:rFonts w:ascii="微軟正黑體" w:cs="微軟正黑體" w:eastAsia="微軟正黑體" w:hAnsi="微軟正黑體"/>
          <w:sz w:val="22"/>
          <w:szCs w:val="22"/>
        </w:rPr>
        <w:t xml:space="preserve">可援引演算法登記簿（Algorithm Register）之治理工具，說明危機期間所使用之AI輿情系統與闢謠圖卡生成工具，宜事後公開揭露其使用範圍與限制，強化民主課責與民眾對危機溝通機制之信任。</w:t>
      </w:r>
    </w:p>
    <w:p>
      <w:pPr>
        <w:pStyle w:val="ListParagraph"/>
        <w:numPr>
          <w:ilvl w:val="0"/>
          <w:numId w:val="2"/>
        </w:numPr>
        <w:spacing w:after="120" w:line="340"/>
      </w:pPr>
      <w:r>
        <w:rPr>
          <w:rFonts w:ascii="微軟正黑體" w:cs="微軟正黑體" w:eastAsia="微軟正黑體" w:hAnsi="微軟正黑體"/>
          <w:sz w:val="22"/>
          <w:szCs w:val="22"/>
        </w:rPr>
        <w:t xml:space="preserve">可補充「民無信不立」之核心提醒，說明數位服務再便利、演算法策展再精準，若人民不再相信眼睛所見耳朵所聞，治理的物質基礎便失去了它所服務的對象，呼應本章作為管理運作總結章之核心命題。</w:t>
      </w:r>
    </w:p>
    <w:p>
      <w:pPr>
        <w:spacing w:after="300"/>
      </w:pPr>
    </w:p>
    <w:p>
      <w:pPr>
        <w:spacing w:after="200" w:before="400"/>
      </w:pPr>
      <w:r>
        <w:rPr>
          <w:rFonts w:ascii="微軟正黑體" w:cs="微軟正黑體" w:eastAsia="微軟正黑體" w:hAnsi="微軟正黑體"/>
          <w:b/>
          <w:bCs/>
          <w:sz w:val="32"/>
          <w:szCs w:val="32"/>
        </w:rPr>
        <w:t xml:space="preserve">【歷屆試題】</w:t>
      </w:r>
    </w:p>
    <w:p>
      <w:pPr>
        <w:spacing w:after="200" w:line="360"/>
        <w:ind w:firstLine="431"/>
        <w:jc w:val="both"/>
      </w:pPr>
      <w:r>
        <w:rPr>
          <w:rFonts w:ascii="微軟正黑體" w:cs="微軟正黑體" w:eastAsia="微軟正黑體" w:hAnsi="微軟正黑體"/>
          <w:sz w:val="22"/>
          <w:szCs w:val="22"/>
        </w:rPr>
        <w:t xml:space="preserve">本章語料庫涵蓋107-111年5個年度之考選部官方公告試題（行政學╱行政學概要科目），經逐題比對，查得4題直接標記本章「數位政府與行政溝通、衝突及危機管理」之申論真題，另有110年-身三一題原標記於第九章，因核心內容更貼近本章電子化政府脈絡而移入本章，合計5題，均查證屬一般行政符合。107年-身三、110年-身三兩題理論內容完整可考，已於本章【申論解題】分別完整解析為題目一與題目二；108年-警察、109年-地三、109年-高考三題亦一般行政符合，因本章已擇二題完整解析，僅列出參照供讀者依本章理論架構自行練習。</w:t>
      </w:r>
    </w:p>
    <w:p>
      <w:pPr>
        <w:spacing w:after="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600"/>
        <w:gridCol w:w="2400"/>
        <w:gridCol w:w="700"/>
        <w:gridCol w:w="2726"/>
        <w:gridCol w:w="1600"/>
      </w:tblGrid>
      <w:tr>
        <w:trPr>
          <w:tblHeader/>
        </w:trPr>
        <w:tc>
          <w:tcPr>
            <w:tcW w:type="dxa" w:w="1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年度／考試</w:t>
            </w:r>
          </w:p>
        </w:tc>
        <w:tc>
          <w:tcPr>
            <w:tcW w:type="dxa" w:w="24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類科</w:t>
            </w:r>
          </w:p>
        </w:tc>
        <w:tc>
          <w:tcPr>
            <w:tcW w:type="dxa" w:w="7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難度</w:t>
            </w:r>
          </w:p>
        </w:tc>
        <w:tc>
          <w:tcPr>
            <w:tcW w:type="dxa" w:w="27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考點</w:t>
            </w:r>
          </w:p>
        </w:tc>
        <w:tc>
          <w:tcPr>
            <w:tcW w:type="dxa" w:w="1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查證狀態</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2"/>
                <w:szCs w:val="12"/>
              </w:rPr>
              <w:t xml:space="preserve">107年-身三</w:t>
            </w:r>
          </w:p>
        </w:tc>
        <w:tc>
          <w:tcPr>
            <w:tcW w:type="dxa" w:w="2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2"/>
                <w:szCs w:val="12"/>
              </w:rPr>
              <w:t xml:space="preserve">一般行政符合</w:t>
            </w:r>
          </w:p>
        </w:tc>
        <w:tc>
          <w:tcPr>
            <w:tcW w:type="dxa" w:w="7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2"/>
                <w:szCs w:val="12"/>
              </w:rPr>
              <w:t xml:space="preserve">A</w:t>
            </w:r>
          </w:p>
        </w:tc>
        <w:tc>
          <w:tcPr>
            <w:tcW w:type="dxa" w:w="27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2"/>
                <w:szCs w:val="12"/>
              </w:rPr>
              <w:t xml:space="preserve">電子治理之定義及其推動追求之公共價值</w:t>
            </w:r>
          </w:p>
        </w:tc>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2"/>
                <w:szCs w:val="12"/>
              </w:rPr>
              <w:t xml:space="preserve">✅一般行政符合，已於題目一完整解析</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2"/>
                <w:szCs w:val="12"/>
              </w:rPr>
              <w:t xml:space="preserve">108年-警察</w:t>
            </w:r>
          </w:p>
        </w:tc>
        <w:tc>
          <w:tcPr>
            <w:tcW w:type="dxa" w:w="2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2"/>
                <w:szCs w:val="12"/>
              </w:rPr>
              <w:t xml:space="preserve">一般行政符合</w:t>
            </w:r>
          </w:p>
        </w:tc>
        <w:tc>
          <w:tcPr>
            <w:tcW w:type="dxa" w:w="7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2"/>
                <w:szCs w:val="12"/>
              </w:rPr>
              <w:t xml:space="preserve">A</w:t>
            </w:r>
          </w:p>
        </w:tc>
        <w:tc>
          <w:tcPr>
            <w:tcW w:type="dxa" w:w="27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2"/>
                <w:szCs w:val="12"/>
              </w:rPr>
              <w:t xml:space="preserve">電子溝通之意義、特色及對行政運作之利弊影響</w:t>
            </w:r>
          </w:p>
        </w:tc>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2"/>
                <w:szCs w:val="12"/>
              </w:rPr>
              <w:t xml:space="preserve">✅一般行政符合，惟本章已擇二題完整解析，讀者可依本章第三節溝通理論內容自行練習</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2"/>
                <w:szCs w:val="12"/>
              </w:rPr>
              <w:t xml:space="preserve">109年-地三</w:t>
            </w:r>
          </w:p>
        </w:tc>
        <w:tc>
          <w:tcPr>
            <w:tcW w:type="dxa" w:w="2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2"/>
                <w:szCs w:val="12"/>
              </w:rPr>
              <w:t xml:space="preserve">一般行政符合</w:t>
            </w:r>
          </w:p>
        </w:tc>
        <w:tc>
          <w:tcPr>
            <w:tcW w:type="dxa" w:w="7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2"/>
                <w:szCs w:val="12"/>
              </w:rPr>
              <w:t xml:space="preserve">A</w:t>
            </w:r>
          </w:p>
        </w:tc>
        <w:tc>
          <w:tcPr>
            <w:tcW w:type="dxa" w:w="27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2"/>
                <w:szCs w:val="12"/>
              </w:rPr>
              <w:t xml:space="preserve">行政溝通與政策溝通之意義、功能及舉例</w:t>
            </w:r>
          </w:p>
        </w:tc>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2"/>
                <w:szCs w:val="12"/>
              </w:rPr>
              <w:t xml:space="preserve">✅一般行政符合，惟本章已擇二題完整解析，讀者可依本章第三節溝通類型內容自行練習</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2"/>
                <w:szCs w:val="12"/>
              </w:rPr>
              <w:t xml:space="preserve">109年-高考</w:t>
            </w:r>
          </w:p>
        </w:tc>
        <w:tc>
          <w:tcPr>
            <w:tcW w:type="dxa" w:w="2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2"/>
                <w:szCs w:val="12"/>
              </w:rPr>
              <w:t xml:space="preserve">一般行政符合</w:t>
            </w:r>
          </w:p>
        </w:tc>
        <w:tc>
          <w:tcPr>
            <w:tcW w:type="dxa" w:w="7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2"/>
                <w:szCs w:val="12"/>
              </w:rPr>
              <w:t xml:space="preserve">A</w:t>
            </w:r>
          </w:p>
        </w:tc>
        <w:tc>
          <w:tcPr>
            <w:tcW w:type="dxa" w:w="27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2"/>
                <w:szCs w:val="12"/>
              </w:rPr>
              <w:t xml:space="preserve">資訊科技運用於政府機關內部管理之影響與衝擊</w:t>
            </w:r>
          </w:p>
        </w:tc>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2"/>
                <w:szCs w:val="12"/>
              </w:rPr>
              <w:t xml:space="preserve">✅一般行政符合，惟本章已擇二題完整解析，讀者可依本章第一、二節電子化政府內容自行練習</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2"/>
                <w:szCs w:val="12"/>
              </w:rPr>
              <w:t xml:space="preserve">110年-身三</w:t>
            </w:r>
          </w:p>
        </w:tc>
        <w:tc>
          <w:tcPr>
            <w:tcW w:type="dxa" w:w="2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2"/>
                <w:szCs w:val="12"/>
              </w:rPr>
              <w:t xml:space="preserve">一般行政符合</w:t>
            </w:r>
          </w:p>
        </w:tc>
        <w:tc>
          <w:tcPr>
            <w:tcW w:type="dxa" w:w="7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2"/>
                <w:szCs w:val="12"/>
              </w:rPr>
              <w:t xml:space="preserve">A</w:t>
            </w:r>
          </w:p>
        </w:tc>
        <w:tc>
          <w:tcPr>
            <w:tcW w:type="dxa" w:w="27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2"/>
                <w:szCs w:val="12"/>
              </w:rPr>
              <w:t xml:space="preserve">財政緊迫、人民期待、科技創新驅動公部門變革之趨勢</w:t>
            </w:r>
          </w:p>
        </w:tc>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2"/>
                <w:szCs w:val="12"/>
              </w:rPr>
              <w:t xml:space="preserve">✅一般行政符合，原標記第九章，已移入本章並於題目二完整解析</w:t>
            </w:r>
          </w:p>
        </w:tc>
      </w:tr>
    </w:tbl>
    <w:p>
      <w:pPr>
        <w:spacing w:after="280" w:before="120"/>
        <w:jc w:val="center"/>
      </w:pPr>
      <w:r>
        <w:rPr>
          <w:rFonts w:ascii="微軟正黑體" w:cs="微軟正黑體" w:eastAsia="微軟正黑體" w:hAnsi="微軟正黑體"/>
          <w:i/>
          <w:iCs/>
          <w:color w:val="555555"/>
          <w:sz w:val="18"/>
          <w:szCs w:val="18"/>
        </w:rPr>
        <w:t xml:space="preserve">表24-K　本章歷屆試題查證狀態</w:t>
      </w:r>
    </w:p>
    <w:p>
      <w:pPr>
        <w:spacing w:after="280"/>
      </w:pPr>
    </w:p>
    <w:p>
      <w:pPr>
        <w:spacing w:after="200" w:before="400"/>
      </w:pPr>
      <w:r>
        <w:rPr>
          <w:rFonts w:ascii="微軟正黑體" w:cs="微軟正黑體" w:eastAsia="微軟正黑體" w:hAnsi="微軟正黑體"/>
          <w:b/>
          <w:bCs/>
          <w:sz w:val="32"/>
          <w:szCs w:val="32"/>
        </w:rPr>
        <w:t xml:space="preserve">【本章一頁掌握】</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電子化政府的意涵、發展階段與服務類型</w:t>
            </w:r>
          </w:p>
          <w:p>
            <w:pPr>
              <w:spacing w:line="340"/>
              <w:jc w:val="both"/>
            </w:pPr>
            <w:r>
              <w:rPr>
                <w:rFonts w:ascii="微軟正黑體" w:cs="微軟正黑體" w:eastAsia="微軟正黑體" w:hAnsi="微軟正黑體"/>
                <w:sz w:val="21"/>
                <w:szCs w:val="21"/>
              </w:rPr>
              <w:t xml:space="preserve">e-Management／e-Government／e-Governance三層次 → Layne&amp;Lee四階段（型錄交易垂直水平）→ 我國六階段（網路化e化優質網路m化智慧開放AI政府）→ G2C-G2N五類型 → MyData／Join</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2F6FA" w:sz="2"/>
              <w:left w:val="single" w:color="555555" w:sz="24"/>
              <w:bottom w:val="single" w:color="F2F6FA" w:sz="2"/>
              <w:right w:val="single" w:color="F2F6FA" w:sz="2"/>
            </w:tcBorders>
            <w:shd w:fill="F2F6FA" w:val="clear"/>
            <w:tcMar>
              <w:top w:type="dxa" w:w="160"/>
              <w:left w:type="dxa" w:w="220"/>
              <w:bottom w:type="dxa" w:w="160"/>
              <w:right w:type="dxa" w:w="220"/>
            </w:tcMar>
          </w:tcPr>
          <w:p>
            <w:pPr>
              <w:spacing w:after="100"/>
            </w:pPr>
            <w:r>
              <w:rPr>
                <w:rFonts w:ascii="微軟正黑體" w:cs="微軟正黑體" w:eastAsia="微軟正黑體" w:hAnsi="微軟正黑體"/>
                <w:b/>
                <w:bCs/>
                <w:color w:val="555555"/>
                <w:sz w:val="22"/>
                <w:szCs w:val="22"/>
              </w:rPr>
              <w:t xml:space="preserve">成功因素、治理挑戰、數位落差2.0與AI政府新興治理模式</w:t>
            </w:r>
          </w:p>
          <w:p>
            <w:pPr>
              <w:spacing w:line="340"/>
              <w:jc w:val="both"/>
            </w:pPr>
            <w:r>
              <w:rPr>
                <w:rFonts w:ascii="微軟正黑體" w:cs="微軟正黑體" w:eastAsia="微軟正黑體" w:hAnsi="微軟正黑體"/>
                <w:sz w:val="21"/>
                <w:szCs w:val="21"/>
              </w:rPr>
              <w:t xml:space="preserve">成功三構面（技術組織制度）→ 五項治理挑戰 → 數位落差2.0（算力落差＋提示落差）→ DEG第三波五模式（GaaP／政府即AI／數位孿生政府／GovTech／主權AI）</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溝通的意涵、類型與障礙、公共關係與衝突管理</w:t>
            </w:r>
          </w:p>
          <w:p>
            <w:pPr>
              <w:spacing w:line="340"/>
              <w:jc w:val="both"/>
            </w:pPr>
            <w:r>
              <w:rPr>
                <w:rFonts w:ascii="微軟正黑體" w:cs="微軟正黑體" w:eastAsia="微軟正黑體" w:hAnsi="微軟正黑體"/>
                <w:sz w:val="21"/>
                <w:szCs w:val="21"/>
              </w:rPr>
              <w:t xml:space="preserve">溝通四方向（下上平斜）→ AI三重障礙（過濾泡泡／深偽／人機語意落差）→ 衝突評價三學派 → Pondy五階段（潛認感顯餘）→ Thomas五策略（規避順應妥協競爭合作）</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DECEA" w:sz="2"/>
              <w:left w:val="single" w:color="C0392B" w:sz="24"/>
              <w:bottom w:val="single" w:color="FDECEA" w:sz="2"/>
              <w:right w:val="single" w:color="FDECEA" w:sz="2"/>
            </w:tcBorders>
            <w:shd w:fill="FDECEA" w:val="clear"/>
            <w:tcMar>
              <w:top w:type="dxa" w:w="160"/>
              <w:left w:type="dxa" w:w="220"/>
              <w:bottom w:type="dxa" w:w="160"/>
              <w:right w:type="dxa" w:w="220"/>
            </w:tcMar>
          </w:tcPr>
          <w:p>
            <w:pPr>
              <w:spacing w:after="100"/>
            </w:pPr>
            <w:r>
              <w:rPr>
                <w:rFonts w:ascii="微軟正黑體" w:cs="微軟正黑體" w:eastAsia="微軟正黑體" w:hAnsi="微軟正黑體"/>
                <w:b/>
                <w:bCs/>
                <w:color w:val="C0392B"/>
                <w:sz w:val="22"/>
                <w:szCs w:val="22"/>
              </w:rPr>
              <w:t xml:space="preserve">AI鑲嵌下的危機管理與雙軌韌性治理</w:t>
            </w:r>
          </w:p>
          <w:p>
            <w:pPr>
              <w:spacing w:line="340"/>
              <w:jc w:val="both"/>
            </w:pPr>
            <w:r>
              <w:rPr>
                <w:rFonts w:ascii="微軟正黑體" w:cs="微軟正黑體" w:eastAsia="微軟正黑體" w:hAnsi="微軟正黑體"/>
                <w:sz w:val="21"/>
                <w:szCs w:val="21"/>
              </w:rPr>
              <w:t xml:space="preserve">危機四特性 → 三模式（FEMA／Nunamaker／Mitroff）→ 危機AI化雙重性（源頭化擴散化vs.處理化）→ HITL人類在迴圈 → 三層防禦（事前C2PA／事中偵測／事後澄清）→ 三種權力移轉 → 四鏈七審 → 斯洛伐克深偽案例／CECC人機協作</w:t>
            </w:r>
          </w:p>
        </w:tc>
      </w:tr>
    </w:tbl>
    <w:p>
      <w:pPr>
        <w:spacing w:after="18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申論核心句（可直接用於破題或結論）</w:t>
            </w:r>
          </w:p>
          <w:p>
            <w:pPr>
              <w:spacing w:line="340"/>
              <w:jc w:val="both"/>
            </w:pPr>
            <w:r>
              <w:rPr>
                <w:rFonts w:ascii="微軟正黑體" w:cs="微軟正黑體" w:eastAsia="微軟正黑體" w:hAnsi="微軟正黑體"/>
                <w:sz w:val="21"/>
                <w:szCs w:val="21"/>
              </w:rPr>
              <w:t xml:space="preserve">民無信不立——當政府能以最快速度回應每一則陳情、以最精準的語言安撫每一次不滿，卻換不回人民的信任，那麼再先進的數位政府，也只是一座沒有人願意走進去的漂亮建築。</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48" w:hanging="288"/>
      </w:pPr>
    </w:lvl>
    <w:lvl w:ilvl="1" w15:tentative="1">
      <w:start w:val="1"/>
      <w:numFmt w:val="bullet"/>
      <w:lvlText w:val="◦"/>
      <w:lvlJc w:val="left"/>
      <w:pPr>
        <w:ind w:left="1080"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微軟正黑體" w:cs="微軟正黑體" w:eastAsia="微軟正黑體" w:hAnsi="微軟正黑體"/>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2026-09-02T22:11:17.556Z</dcterms:created>
  <dcterms:modified xsi:type="dcterms:W3CDTF">2026-09-02T22:11:17.556Z</dcterms:modified>
</cp:coreProperties>
</file>

<file path=docProps/custom.xml><?xml version="1.0" encoding="utf-8"?>
<Properties xmlns="http://schemas.openxmlformats.org/officeDocument/2006/custom-properties" xmlns:vt="http://schemas.openxmlformats.org/officeDocument/2006/docPropsVTypes"/>
</file>