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第二十三章　財務管理與績效管理</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二十三章「財務管理與績效管理：預算循環、公共資源治理與績效課責的人機共構」，為第五層「管理運作」之第四項構面，銜接第二十二章人事管理（回答「以何種人力資本去帶領」）與第二十四章數位政府與行政溝通、衝突及危機管理，本章回答「這些人可以動用多少資源、這些資源又轉化出什麼樣的公共價值」。內容取材自該章十節母體教材（財務行政的意義特性目的、政府財政收支、預算本質制度演變與週期、AI時代財務治理新典範、績效管理的意涵與演進、績效指標SMART原則與衡量限制、績效管理工具、績效管理流程與挑戰、AI增強績效衡量、AI治理專節雙軌演算法課責）及AI鑲嵌後之權力位移專節，依國考「考點化、模組化、背誦＋應用」邏輯重新壓縮改寫為四節：第一節整合原第一、二節（財務行政意涵特性目的、政府財政收支）；第二節整合原第三節（預算本質、制度演進與週期）；第三節整合原第五、六、七、八節（績效管理意涵3E+Q、績效指標與SMART原則、績效管理工具、績效管理流程與公部門挑戰）；第四節整合原第四、九、十節AI治理專節（AI時代財務治理新典範、AI增強績效衡量、雙軌演算法課責），為本章AI內容之集中呈現處。本語料庫（107-111年）中，本章查得7題直接標記之申論真題，其中6題經查證屬一般行政符合：107年-身三「零基預算」與108年-地三「公私部門績效管理機制設計差異」理論內容完整可考，分別列為題目一、題目二完整解析；107年-地三與108年-身三兩題雖一般行政符合，惟其共同考點「參與式預算」之具體理論內涵（定義、機制、與傳統預算過程之差異）未見於本書母體教材涵蓋範圍，為維護學術正確性不逕行杜撰，僅列於【歷屆試題】表供讀者查證；109年-原三與110年-高考兩題亦一般行政符合，因本章題目一、二已擇優完整解析，僅列出參照供讀者自行練習；109年-警察BSC一題經查證非屬一般行政符合，不列入完整解析。另本語料庫中108年-原三「提升服務品質」（自第八章完整解析）與110年-地三「政府績效不彰」（自第九章完整解析）二題亦與本章財務績效治理脈絡相關，故於【歷屆試題】表併列參照。依全書格式定版說明，題目一（A級）維持三種完整答案版本，題目二（B級）與題目三（C級）改為標準版參考答案＋【高分加分點】；AI鑲嵌內容集中於第四節與題目三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財務行政的意涵、特性與政府財政收支</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財務行政（形式財政學）指政府對其財務收入與支出所做之一套有系統的管理制度，是行政學與財政學之交會地帶：財政學一般涵蓋公共收入、公共支出、公債與財務行政四大板塊，財務行政聚焦於形式面——處理預算如何籌編、執行與監督。財政為庶政之母，政府一切政策皆須以預算為基礎，無預算即無行政，此為理解本章之根本前提。</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財務行政具三項特性：基礎性（政府一切政策皆須以預算為基礎）、連環性（以預算為樞紐，歷經預算、會計、決算、審計四階段環環相扣，形成完整管理循環）、管制性（預算之編審為立法對行政之控制，會計為執行紀錄，審計為事後課責，皆具控制機能）。歸納張潤書教授見解，財務行政之目的有五：獲得財政收入、繁榮經濟發展、控制行政收支、提高行政效率、分配社會財富；現代觀點再增「促進財政永續與代間正義」一項，回應公債與氣候風險對後代負擔之關切。</w:t>
      </w:r>
    </w:p>
    <w:p>
      <w:pPr>
        <w:pStyle w:val="ListParagraph"/>
        <w:numPr>
          <w:ilvl w:val="0"/>
          <w:numId w:val="2"/>
        </w:numPr>
        <w:spacing w:after="120" w:line="340"/>
      </w:pPr>
      <w:r>
        <w:rPr>
          <w:rFonts w:ascii="微軟正黑體" w:cs="微軟正黑體" w:eastAsia="微軟正黑體" w:hAnsi="微軟正黑體"/>
          <w:sz w:val="22"/>
          <w:szCs w:val="22"/>
        </w:rPr>
        <w:t xml:space="preserve">我國財務行政四大機關分工明確：行政院主計總處負責歲計、預算彙編、會計與決算彙編；財政部負責國庫行政；中央銀行受委託辦理國庫出納；監察院審計部負責財務監督與審計——四機關各司其職，構成我國財務課責的制度骨架，此一分工架構是國考申論常考之基礎考點。</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200"/>
        <w:gridCol w:w="28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收入類型</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強制性</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對價性</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學理定位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賦稅收入</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強制</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無對價</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實質收入核心</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規費</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半強制</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具特定對價</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受益者付費</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營業收入</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非強制</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具對價</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市場性收入</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公債</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非強制</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需償還</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非實質收入（財務調度）</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罰鍰</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強制</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無對價</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偶發性收入</w:t>
            </w:r>
          </w:p>
        </w:tc>
      </w:tr>
    </w:tbl>
    <w:p>
      <w:pPr>
        <w:spacing w:after="280" w:before="120"/>
        <w:jc w:val="center"/>
      </w:pPr>
      <w:r>
        <w:rPr>
          <w:rFonts w:ascii="微軟正黑體" w:cs="微軟正黑體" w:eastAsia="微軟正黑體" w:hAnsi="微軟正黑體"/>
          <w:i/>
          <w:iCs/>
          <w:color w:val="555555"/>
          <w:sz w:val="18"/>
          <w:szCs w:val="18"/>
        </w:rPr>
        <w:t xml:space="preserve">表23-A　政府收入類型與課責基礎比較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賦稅收入依性質分為所得稅、消費稅與財產稅三類；所得稅課徵方式又分累進稅制（所得級距愈高稅率愈高，具重分配效果）、齊頭稅制（單一固定稅率，強調效率）與累退稅制（依稅基占收入比例觀察，低所得者負擔比例反居於高，常見於獎勵投資之租稅優惠）三種。公債收入應以具自償性之資本建設為限，避免債留子孫、違反代間正義。Musgrave理論指出政府支出具配置功能（導引資源至市場失靈領域）、分配功能（透過移轉性支出促進區域與所得均衡）、穩定功能（以反景氣循環支出穩定總體經濟）與成長功能（以公共投資促進長期經濟成長）。對於政府支出持續成長之現象，凱因斯學派視赤字預算為穩定經濟之工具，華格納法則主張經濟發展本身即導致政府活動擴張，1980年代供給面經濟學則主張減稅、解除管制與撙節支出，惟Stuckler與Basu之研究指出，過度撙節對國民健康與社會資本具顯著負面衝擊，提醒財政紀律不能自外於社會代價之權衡。</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政府收入分類體系（賦稅╱規費╱營業╱公債╱罰鍰）</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依強制性與對價性明確劃分財源屬性，提供財政紀律與公債自償性原則之判準依據，避免債留子孫</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所得稅三種課徵方式（累進╱齊頭╱累退）之選擇涉及重分配與效率之價值取捨，實務上易受政治因素影響而偏離理論最適</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Musgrave政府支出四功能（配置╱分配╱穩定╱成長）</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提供評估政府支出正當性之系統性架構，說明市場失靈領域之資源導引與反景氣循環穩定總體經濟之理論基礎</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華格納法則預示政府支出持續擴張之結構性壓力，供給面經濟學減稅撙節主張與Stuckler撙節負面健康衝擊之實證發現相互抵觸，財政紀律與社會代價之權衡缺乏明確共識</w:t>
            </w:r>
          </w:p>
        </w:tc>
      </w:tr>
    </w:tbl>
    <w:p>
      <w:pPr>
        <w:spacing w:after="280" w:before="120"/>
        <w:jc w:val="center"/>
      </w:pPr>
      <w:r>
        <w:rPr>
          <w:rFonts w:ascii="微軟正黑體" w:cs="微軟正黑體" w:eastAsia="微軟正黑體" w:hAnsi="微軟正黑體"/>
          <w:i/>
          <w:iCs/>
          <w:color w:val="555555"/>
          <w:sz w:val="18"/>
          <w:szCs w:val="18"/>
        </w:rPr>
        <w:t xml:space="preserve">表23-B　財政收入與支出理論之貢獻與限制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透過政府開放資料與視覺化儀表板，人民得以即時檢視預算執行率，財務透明度隨之提升，強化社會課責；此一由「事後記帳與控制」轉向「即時預測與治理」之典範轉移，其完整意涵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自民國59年修正國庫法後施行集中支付制度，由國庫統一辦理支付，避免機關閒置現金，強化庫款調度、防止挪墊流用，並提升內部審核效率；依財政收支劃分法，國稅由中央徵收支用（所得稅、遺產及贈與稅、營業稅、貨物稅、關稅等），地方稅則由地方政府徵收支用（地價稅、土地增值稅、房屋稅、使用牌照稅等），此一中央地方財政分工架構亦為國考申論常見之延伸考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財務行政三特性（基礎性╱連環性╱管制性）與五大目的（收入╱經濟╱控制╱效率╱分配）＋代間正義。</w:t>
            </w:r>
          </w:p>
          <w:p>
            <w:pPr>
              <w:spacing w:after="80" w:line="320"/>
            </w:pPr>
            <w:r>
              <w:rPr>
                <w:rFonts w:ascii="微軟正黑體" w:cs="微軟正黑體" w:eastAsia="微軟正黑體" w:hAnsi="微軟正黑體"/>
                <w:sz w:val="21"/>
                <w:szCs w:val="21"/>
              </w:rPr>
              <w:t xml:space="preserve">•　我國財務行政四機關分工：主計總處（歲計會計預算）╱財政部（國庫行政）╱中央銀行（國庫出納）╱審計部（財務監督審計）。</w:t>
            </w:r>
          </w:p>
          <w:p>
            <w:pPr>
              <w:spacing w:after="0" w:line="320"/>
            </w:pPr>
            <w:r>
              <w:rPr>
                <w:rFonts w:ascii="微軟正黑體" w:cs="微軟正黑體" w:eastAsia="微軟正黑體" w:hAnsi="微軟正黑體"/>
                <w:sz w:val="21"/>
                <w:szCs w:val="21"/>
              </w:rPr>
              <w:t xml:space="preserve">•　Musgrave政府支出四功能（配置╱分配╱穩定╱成長）＋政府支出持續成長三學派（凱因斯╱華格納法則╱供給面經濟學）。</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財政收入五類型：賦稅（強制無對價）→規費（半強制有對價）→營業收入（非強制有對價）→公債（非強制需償還）→罰鍰（強制無對價，偶發）。</w:t>
            </w:r>
          </w:p>
          <w:p>
            <w:pPr>
              <w:spacing w:after="0" w:line="320"/>
            </w:pPr>
            <w:r>
              <w:rPr>
                <w:rFonts w:ascii="微軟正黑體" w:cs="微軟正黑體" w:eastAsia="微軟正黑體" w:hAnsi="微軟正黑體"/>
                <w:sz w:val="21"/>
                <w:szCs w:val="21"/>
              </w:rPr>
              <w:t xml:space="preserve">•　財務行政四機關口訣：主計管帳、財政管庫、央行管出納、審計管監督。</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「財政學」與「財務行政」不同——財政學涵蓋公共收入、公共支出、公債與財務行政四大板塊，財務行政僅聚焦於形式面（預算籌編執行監督），故又稱形式財政學，考生不宜將兩者範圍等同視之。</w:t>
            </w:r>
          </w:p>
          <w:p>
            <w:pPr>
              <w:spacing w:after="0" w:line="320"/>
            </w:pPr>
            <w:r>
              <w:rPr>
                <w:rFonts w:ascii="微軟正黑體" w:cs="微軟正黑體" w:eastAsia="微軟正黑體" w:hAnsi="微軟正黑體"/>
                <w:sz w:val="21"/>
                <w:szCs w:val="21"/>
              </w:rPr>
              <w:t xml:space="preserve">•　「累退稅制」不是「稅率隨所得遞減」，而是依稅基占收入比例觀察，低所得者實際負擔比例反而較高之現象（如定額稅或消費稅相對於低所得者之負擔比例較重），與「累進稅制」（稅率隨所得遞增）之字面對照易生誤解。</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第二節　預算的本質、制度演進與週期</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預算係一定期間內（通常一年）以數字表達之施政計畫，經立法程序通過後具有法律效力。其特徵有五：作為國家公共政策之基本藍圖，顯示資源配置之優先順序；作為行政管理手段，落實政策工具；作為經濟政策方向之宣示；作為政治文件，記載誰獲益、誰負擔之權力競逐；以及作為政府課責與公開之依據。</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傳統預算原則包括公開、確實、完整、單一、年度、平衡與不指定用途七項，分別要求預算須公開取信於民、收支估計應覈實、所有收支應納入總預算、一政府一預算、以年度為期間、量入為出，以及收入統收統支避免零碎化。為因應實務彈性需求，制度另設追加預算（因法律增設機關或重大事故經費不敷而提出）、特別預算（因國防緊急、重大變故或不定期重大政事於總預算外提出）、第一預備金（於各機關單位預算內設定，不得超過經常支出總額百分之一）與第二預備金（於總預算中設定，須經行政院核准並送立法院審議），連同經費流用與留用，共同構成預算執行彈性四機制。</w:t>
      </w:r>
    </w:p>
    <w:p>
      <w:pPr>
        <w:pStyle w:val="ListParagraph"/>
        <w:numPr>
          <w:ilvl w:val="0"/>
          <w:numId w:val="2"/>
        </w:numPr>
        <w:spacing w:after="120" w:line="340"/>
      </w:pPr>
      <w:r>
        <w:rPr>
          <w:rFonts w:ascii="微軟正黑體" w:cs="微軟正黑體" w:eastAsia="微軟正黑體" w:hAnsi="微軟正黑體"/>
          <w:sz w:val="22"/>
          <w:szCs w:val="22"/>
        </w:rPr>
        <w:t xml:space="preserve">預算制度之演進，反映行政價值從控制走向績效、再走向策略之典範轉移：項目列舉預算（單式預算）以控制為核心，僅見投入不見產出；複式預算將經常預算與資本預算分立；績效預算引入成本會計，開啟現代化預算；PPBS整合規劃計畫預算三階段，以成本效益分析選定方案；目標基準預算（TBB）由行政首長核定支出上限，機關於額度內自主分配；零基預算（ZBB）主張每年自零重新評估所有計畫存續理由；成果預算則以彈性、結果導向與績效掛帥為特徵，標誌預算與績效管理正式接軌——這正是本章將財務管理與績效管理合併討論的制度根源。</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2800"/>
        <w:gridCol w:w="28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制度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時代</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核心價值</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項目列舉預算</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1930前</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控制、依法行政</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只見投入不見績效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複式預算</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1930-1950</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經濟穩定</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債務風險</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績效預算</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1951-</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效率、管理</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量化迷思</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PPBS</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1965-</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效能、理性分析</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分析成本高、本位主義</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零基預算ZBB</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1977-1981</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全面檢討、反漸增</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行政負擔過重</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目標基準TBB</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1981-1992</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撙節、集權</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立法行政對立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成果預算</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1993至今</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成果、彈性、課責</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績效指標建構不易</w:t>
            </w:r>
          </w:p>
        </w:tc>
      </w:tr>
    </w:tbl>
    <w:p>
      <w:pPr>
        <w:spacing w:after="280" w:before="120"/>
        <w:jc w:val="center"/>
      </w:pPr>
      <w:r>
        <w:rPr>
          <w:rFonts w:ascii="微軟正黑體" w:cs="微軟正黑體" w:eastAsia="微軟正黑體" w:hAnsi="微軟正黑體"/>
          <w:i/>
          <w:iCs/>
          <w:color w:val="555555"/>
          <w:sz w:val="18"/>
          <w:szCs w:val="18"/>
        </w:rPr>
        <w:t xml:space="preserve">表23-C　預算制度演進與價值轉移</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200"/>
        <w:gridCol w:w="32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階段</w:t>
            </w:r>
          </w:p>
        </w:tc>
        <w:tc>
          <w:tcPr>
            <w:tcW w:type="dxa" w:w="4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主辦機關與核心內容</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課責機制</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籌編</w:t>
            </w:r>
          </w:p>
        </w:tc>
        <w:tc>
          <w:tcPr>
            <w:tcW w:type="dxa" w:w="4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各機關提出概算，經行政院主計總處彙編、行政院會議核定為總預算案送立法院審議；我國採曆年制，會計年度自1月1日至12月31日</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立法審議前之行政內部審核</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審議</w:t>
            </w:r>
          </w:p>
        </w:tc>
        <w:tc>
          <w:tcPr>
            <w:tcW w:type="dxa" w:w="4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立法院審議總預算案，具高度政治協商性質，反映政黨與利益團體對資源分配之競逐</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立法對行政之預算控制權</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執行</w:t>
            </w:r>
          </w:p>
        </w:tc>
        <w:tc>
          <w:tcPr>
            <w:tcW w:type="dxa" w:w="4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主計總處核定分配數並配合集中支付制撥付；採政府採購法公開╱選擇性╱限制性三種招標；政府會計採應計基礎；遵循利益、經濟、認可、剩餘四項支出原則，並保留預備金、流用、追加、特別預算等彈性空間</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國庫署撥付紀錄、政府會計帳目</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決算與審計</w:t>
            </w:r>
          </w:p>
        </w:tc>
        <w:tc>
          <w:tcPr>
            <w:tcW w:type="dxa" w:w="4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決算為執行結果總報告，經行政查核（機關編造）→監察審核（審計部三個月內完成審核並提審核報告）→立法審議（解除政府責任）三階段；審計範疇並從財務合規審計逐步擴及績效審計</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審計部獨立審計、立法院解除責任決議</w:t>
            </w:r>
          </w:p>
        </w:tc>
      </w:tr>
    </w:tbl>
    <w:p>
      <w:pPr>
        <w:spacing w:after="280" w:before="120"/>
        <w:jc w:val="center"/>
      </w:pPr>
      <w:r>
        <w:rPr>
          <w:rFonts w:ascii="微軟正黑體" w:cs="微軟正黑體" w:eastAsia="微軟正黑體" w:hAnsi="微軟正黑體"/>
          <w:i/>
          <w:iCs/>
          <w:color w:val="555555"/>
          <w:sz w:val="18"/>
          <w:szCs w:val="18"/>
        </w:rPr>
        <w:t xml:space="preserve">表23-D　預算週期四階段與課責機制</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預算制度演進之整體優點在於：從單純控制走向績效證成再走向策略彈性，逐步回應「錢花得好不好」而非僅「錢有沒有花超支」之課責需求；惟其共同限制在於，愈朝向績效與彈性導向之制度（如PPBS、ZBB、成果預算），愈依賴績效指標之精確建構，而績效指標之建構本身即涉及高度政治協商與技術困難，此一限制正是本章第三節績效管理理論登場之制度銜接點。</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演算法預算與AI審計已成為預算制度演進之最新階段，其如何延續甚至活化ZBB「全面歸零檢討」之精神，留待第四節AI治理專節深入闡述。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現採應計基礎會計，將應收未收、應付未付均納入帳目，較現金基礎更能反映真實財務狀況；政府採購依政府採購法分公開招標、選擇性招標與限制性招標三種，強調公平、公開與效率，此三種招標方式之適用時機辨析亦為國考申論常見延伸考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預算七項傳統原則（公開╱確實╱完整╱單一╱年度╱平衡╱不指定用途）與四項彈性機制（追加╱特別╱第一預備金╱第二預備金）之區辨。</w:t>
            </w:r>
          </w:p>
          <w:p>
            <w:pPr>
              <w:spacing w:after="80" w:line="320"/>
            </w:pPr>
            <w:r>
              <w:rPr>
                <w:rFonts w:ascii="微軟正黑體" w:cs="微軟正黑體" w:eastAsia="微軟正黑體" w:hAnsi="微軟正黑體"/>
                <w:sz w:val="21"/>
                <w:szCs w:val="21"/>
              </w:rPr>
              <w:t xml:space="preserve">•　預算制度七次演進（項目列舉→複式→績效→PPBS→ZBB→TBB→成果）之時代順序與核心價值，為國考申論高頻考點。</w:t>
            </w:r>
          </w:p>
          <w:p>
            <w:pPr>
              <w:spacing w:after="0" w:line="320"/>
            </w:pPr>
            <w:r>
              <w:rPr>
                <w:rFonts w:ascii="微軟正黑體" w:cs="微軟正黑體" w:eastAsia="微軟正黑體" w:hAnsi="微軟正黑體"/>
                <w:sz w:val="21"/>
                <w:szCs w:val="21"/>
              </w:rPr>
              <w:t xml:space="preserve">•　預算週期四階段（籌編╱審議╱執行╱決算審計）與審計三階段（行政查核╱監察審核╱立法審議）之對應。</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預算制度七演進口訣：項目控制→複式穩定→績效管理→PPBS理性→零基歸零→目標基準集權→成果彈性。</w:t>
            </w:r>
          </w:p>
          <w:p>
            <w:pPr>
              <w:spacing w:after="0" w:line="320"/>
            </w:pPr>
            <w:r>
              <w:rPr>
                <w:rFonts w:ascii="微軟正黑體" w:cs="微軟正黑體" w:eastAsia="微軟正黑體" w:hAnsi="微軟正黑體"/>
                <w:sz w:val="21"/>
                <w:szCs w:val="21"/>
              </w:rPr>
              <w:t xml:space="preserve">•　支出彈性四機制：追加（法律╱事故）、特別（國防╱重大變故）、第一預備金（機關內╱1%上限）、第二預備金（總預算╱需行政院核准送立院）。</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零基預算（ZBB）」與「目標基準預算（TBB）」常被混淆——ZBB強調每年對「所有計畫」重新從零評估存續理由，行政負擔沉重；TBB則是由上而下核定支出「上限」，機關於額度內自主分配，集權於首長而非逐項歸零，兩者反漸增主義之邏輯路徑並不相同。</w:t>
            </w:r>
          </w:p>
          <w:p>
            <w:pPr>
              <w:spacing w:after="0" w:line="320"/>
            </w:pPr>
            <w:r>
              <w:rPr>
                <w:rFonts w:ascii="微軟正黑體" w:cs="微軟正黑體" w:eastAsia="微軟正黑體" w:hAnsi="微軟正黑體"/>
                <w:sz w:val="21"/>
                <w:szCs w:val="21"/>
              </w:rPr>
              <w:t xml:space="preserve">•　「第一預備金」與「第二預備金」不同——第一預備金於各機關單位預算內設定且有1%上限，機關可逕行動支；第二預備金於總預算中設定，須經行政院核准並送立法院審議，動支門檻遠高於第一預備金。</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第三節　績效管理的意涵、指標設計與管理工具</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績效（Performance）指組織或個人在特定時間內，為達成既定目標所展現之行為與所產出結果之總和。其內涵常區分為三層次：經濟（Economy）強調投入成本之節約；效率（Efficiency）強調投入與產出之比率，即「把事情做對」；效能（Effectiveness）強調結果達成目標之程度，即「做對的事情」。公共行政學者進一步納入公平（Equity）與品質（Quality），形成3E+Q之整合觀——績效並非單一數字，而是多重價值權衡後的社會建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依美國國家績效評鑑委員會績效衡量研究小組之經典定義，績效管理係指「利用績效資訊協助設定合意的績效目標，進行資源配置與優先順序排列，以告知管理者維持或改變既定計畫目標，並報告成功符合目標之管理過程」，其間必然同時處理組織績效、部門（團體）績效與個人績效三層次之連結，避免「組織達標但個人挫敗」或「個人高分但政策失效」之脫鉤現象。行政學對績效之重視與典範演進相呼應：傳統官僚典範強調依法行政與程序控制，績效被簡化為「守法與服從」；新公共管理（NPM）自1980年代起將企業經營理念帶入政府，高舉結果導向、顧客導向與競爭機制；2000年後，數位治理與整體政府思潮補充NPM之不足，強調跨域協作績效；2020年後，生成式AI與代理式AI使績效管理進入「AI增強」階段。</w:t>
      </w:r>
    </w:p>
    <w:p>
      <w:pPr>
        <w:pStyle w:val="ListParagraph"/>
        <w:numPr>
          <w:ilvl w:val="0"/>
          <w:numId w:val="2"/>
        </w:numPr>
        <w:spacing w:after="120" w:line="340"/>
      </w:pPr>
      <w:r>
        <w:rPr>
          <w:rFonts w:ascii="微軟正黑體" w:cs="微軟正黑體" w:eastAsia="微軟正黑體" w:hAnsi="微軟正黑體"/>
          <w:sz w:val="22"/>
          <w:szCs w:val="22"/>
        </w:rPr>
        <w:t xml:space="preserve">指標是績效之操作化，常見二維分類：其一為邏輯模式取向，分為投入（Input）、過程（Process）、輸出（Output）、結果（Outcome）、影響（Impact）；其二為價值取向，分為經濟、效率、效能、公平、品質。優良KPI應符合SMART原則：Specific（具體明確）、Measurable（可衡量）、Achievable（可達成）、Relevant（與策略相關）、Time-bound（有期程），近年加入Equitable（公平）與Robust（穩健）之SMARTER版本，公部門更須補充「公共性檢核」。</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500"/>
        <w:gridCol w:w="27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類型面向</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公部門舉例</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衡量陷阱</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投入</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達成目標所需資源</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預算數、人力FTE</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易膨脹投入以顯示重視</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過程</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資源轉化之活動與程序</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平均公文處理日數、線上申辦比例</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過程合規不等於服務有效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輸出</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直接產出之產品或服務量</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核發津貼件數、辦理場次</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量多不代表質佳</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結果</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政策對目標對象之短期至中期改變</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就業率提升、漏水率下降</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受外在因素干擾，因果難歸因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影響╱公平╱品質</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長期公共價值與分配正義</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弱勢家戶可近性、民眾信任度</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難以量化，需質性與主觀資料輔助</w:t>
            </w:r>
          </w:p>
        </w:tc>
      </w:tr>
    </w:tbl>
    <w:p>
      <w:pPr>
        <w:spacing w:after="280" w:before="120"/>
        <w:jc w:val="center"/>
      </w:pPr>
      <w:r>
        <w:rPr>
          <w:rFonts w:ascii="微軟正黑體" w:cs="微軟正黑體" w:eastAsia="微軟正黑體" w:hAnsi="微軟正黑體"/>
          <w:i/>
          <w:iCs/>
          <w:color w:val="555555"/>
          <w:sz w:val="18"/>
          <w:szCs w:val="18"/>
        </w:rPr>
        <w:t xml:space="preserve">表23-E　績效指標類型與舉例</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813"/>
        <w:gridCol w:w="3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原則</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檢核問題</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常見缺失</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S 具體</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指標是否清楚定義母體、計算式與資料來源？</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定義模糊，如「提升服務品質」無操作定義</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M 可衡量</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是否有可靠資料蒐集方式與基線？</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僅質性描述，無數據支撐</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 可達成</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在現有資源與法制限制下是否務實？</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目標過高，導致造假或挫敗</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R 相關</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是否連結組織策略地圖與公民需求？</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為衡量而衡量，指標與使命脫鉤</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T 時限</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是否有期程與回饋週期？</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長期目標無里程碑，延宕無覺</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 公共性</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是否納入公平、透明與參與？</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忽略分配正義與數位包容</w:t>
            </w:r>
          </w:p>
        </w:tc>
      </w:tr>
    </w:tbl>
    <w:p>
      <w:pPr>
        <w:spacing w:after="280" w:before="120"/>
        <w:jc w:val="center"/>
      </w:pPr>
      <w:r>
        <w:rPr>
          <w:rFonts w:ascii="微軟正黑體" w:cs="微軟正黑體" w:eastAsia="微軟正黑體" w:hAnsi="微軟正黑體"/>
          <w:i/>
          <w:iCs/>
          <w:color w:val="555555"/>
          <w:sz w:val="18"/>
          <w:szCs w:val="18"/>
        </w:rPr>
        <w:t xml:space="preserve">表23-F　SMART原則與公共性檢核</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2500"/>
        <w:gridCol w:w="25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核心邏輯</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優點</w:t>
            </w:r>
          </w:p>
        </w:tc>
        <w:tc>
          <w:tcPr>
            <w:tcW w:type="dxa" w:w="25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目標管理MBO</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主管與部屬共同設定目標，設定組織目標→部門展開→個人承諾→定期檢核→績效回饋</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績效由特質導向轉為結果導向，強化上下溝通</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目標設定形式化易淪為文書作業，忽略動態調整</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平衡計分卡BSC</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財務╱顧客╱內部流程╱學習成長四構面透過策略地圖呈現因果鏈</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突破單一財務指標，公部門轉譯後可將使命置頂、顧客轉為公民與利害關係人</w:t>
            </w:r>
          </w:p>
        </w:tc>
        <w:tc>
          <w:tcPr>
            <w:tcW w:type="dxa" w:w="2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構面因果鏈之驗證不易，公部門KPI選取仍需高度政治協商</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OKR</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野心式目標（質性）＋可量化關鍵成果（2-4項），由下而上設定，季循環頻繁檢視</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適合推動變革型專案（如數位轉型），鼓勵挑戰性目標與敏捷調整</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與KPI混淆易使例行業務失去挑戰性，公部門須保留KPI作維運基線</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360度回饋</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納入同事、部屬、公民與自我評估之多視角考評</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提升考評視角多元性，降低單一主管暈輪效應</w:t>
            </w:r>
          </w:p>
        </w:tc>
        <w:tc>
          <w:tcPr>
            <w:tcW w:type="dxa" w:w="2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信度與匿名安全問題，考評成本較高</w:t>
            </w:r>
          </w:p>
        </w:tc>
      </w:tr>
    </w:tbl>
    <w:p>
      <w:pPr>
        <w:spacing w:after="280" w:before="120"/>
        <w:jc w:val="center"/>
      </w:pPr>
      <w:r>
        <w:rPr>
          <w:rFonts w:ascii="微軟正黑體" w:cs="微軟正黑體" w:eastAsia="微軟正黑體" w:hAnsi="微軟正黑體"/>
          <w:i/>
          <w:iCs/>
          <w:color w:val="555555"/>
          <w:sz w:val="18"/>
          <w:szCs w:val="18"/>
        </w:rPr>
        <w:t xml:space="preserve">表23-G　績效管理工具比較（MBO╱BSC╱OKR╱360度回饋）</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績效管理循PDCA（策略與目標設定→衡量設計→執行與監測→評估與課責→回饋與學習）五階段循環運作，其核心精神在於「衡量不是為了獎懲，而是為了學習」；AI增強績效管理如何嵌入此五階段流程之每一環節，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相對於私部門以利潤為單一且可量化之終極依歸，我國公部門推動績效管理面臨三重差異：機制設計上，績效指標須兼顧公平與程序正義，易流於形式；外部環境上，除顧客外，尚需回應立法、司法、監察、媒體與公民團體，目標隨政治變遷而變；內部環境上，領導者隨政權輪替，政策連續性低，且人事誘因受法規高度限制，績效獎酬效果有限。實務上常見「績效弔詭」：績效越受強調，形式主義與數字遊戲越盛行；成功要件包括高階領導支持、公共價值導向之策略敘事、利害關係人共創指標、資料治理成熟度，以及寬容失敗之學習文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3E+Q（經濟╱效率╱效能＋公平╱品質）之定義與相互關係，特別是效率與效能之區辨（把事情做對vs.做對的事情）。</w:t>
            </w:r>
          </w:p>
          <w:p>
            <w:pPr>
              <w:spacing w:after="80" w:line="320"/>
            </w:pPr>
            <w:r>
              <w:rPr>
                <w:rFonts w:ascii="微軟正黑體" w:cs="微軟正黑體" w:eastAsia="微軟正黑體" w:hAnsi="微軟正黑體"/>
                <w:sz w:val="21"/>
                <w:szCs w:val="21"/>
              </w:rPr>
              <w:t xml:space="preserve">•　SMART原則（含SMARTER之E公平與R穩健）與公共性檢核之對應，為指標設計題型之核心答題架構。</w:t>
            </w:r>
          </w:p>
          <w:p>
            <w:pPr>
              <w:spacing w:after="0" w:line="320"/>
            </w:pPr>
            <w:r>
              <w:rPr>
                <w:rFonts w:ascii="微軟正黑體" w:cs="微軟正黑體" w:eastAsia="微軟正黑體" w:hAnsi="微軟正黑體"/>
                <w:sz w:val="21"/>
                <w:szCs w:val="21"/>
              </w:rPr>
              <w:t xml:space="preserve">•　公部門績效管理三重差異（機制設計╱外部環境╱內部環境）＋績效弔詭現象，為公私部門比較題型之標準架構。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績效工具口訣：MBO重溝通（上下共設目標）、BSC重平衡（四構面因果鏈）、OKR重挑戰（野心目標＋關鍵成果）、360度重多元（同事部屬公民自評）。</w:t>
            </w:r>
          </w:p>
          <w:p>
            <w:pPr>
              <w:spacing w:after="0" w:line="320"/>
            </w:pPr>
            <w:r>
              <w:rPr>
                <w:rFonts w:ascii="微軟正黑體" w:cs="微軟正黑體" w:eastAsia="微軟正黑體" w:hAnsi="微軟正黑體"/>
                <w:sz w:val="21"/>
                <w:szCs w:val="21"/>
              </w:rPr>
              <w:t xml:space="preserve">•　績效衡量五大結構限制：目標不一致、指標難量化、資訊不完全、品質難訂、因果難確認——理解限制是避免績效暴政之第一步。</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OKR」與「KPI」不同——KPI為維運型、穩定型指標，適合例行業務之常態監測；OKR強調野心式目標與可量化關鍵成果之連結，適合推動變革型專案，若以OKR執行例行業務，將失去其挑戰性本質，公部門導入OKR時須同時保留KPI作為基線維運。</w:t>
            </w:r>
          </w:p>
          <w:p>
            <w:pPr>
              <w:spacing w:after="0" w:line="320"/>
            </w:pPr>
            <w:r>
              <w:rPr>
                <w:rFonts w:ascii="微軟正黑體" w:cs="微軟正黑體" w:eastAsia="微軟正黑體" w:hAnsi="微軟正黑體"/>
                <w:sz w:val="21"/>
                <w:szCs w:val="21"/>
              </w:rPr>
              <w:t xml:space="preserve">•　「效率（Efficiency）」與「效能（Effectiveness）」不同——效率關注投入產出之比率（把事情做對），效能關注結果達成目標之程度（做對的事情），公部門常見以高效率掩蓋低效能之「隧道視野」病態效應。</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第四節　AI鑲嵌下的財務與績效管理：演算法預算、AI審計與雙軌演算法課責</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財務與績效管理自2024年前後邁入雙重典範轉移：財務面由「事後記帳與控制」轉向「即時預測與治理」，績效面則由年度、事後、樣本性評估，轉向即時、預測、全量式監測，由人力驅動分析轉向人機協作之增強智慧（Augmented Intelligence）——AI負責模式識別與趨勢預警，人類專注價值判斷與倫理審視。</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演算法預算（Algorithmic Budgeting）指運用演算法與大數據自動化進行預算需求預測、支出優先順序建議，甚至預算草案初步生成，其核心並非取代政治決定，而是提供證據基礎，降低漸增主義與本位主義偏誤；AI可自動化梳理各計畫歷史KPI、預算執行率、審計缺失與民眾陳情情緒分析，生成決策套組初稿及終止、縮減、維持、擴張建議，使零基預算（ZBB）得以在AI時代重生。在審計面，AI審計以全量掃描取代傳統抽樣，透過異常偵測辨識偏離常態之採購單價與重複報支，透過跨資料庫勾稽偵測人頭廠商與圍標，並以自然語言處理分析契約文字識別不合理限制性條款。</w:t>
      </w:r>
    </w:p>
    <w:p>
      <w:pPr>
        <w:pStyle w:val="ListParagraph"/>
        <w:numPr>
          <w:ilvl w:val="0"/>
          <w:numId w:val="2"/>
        </w:numPr>
        <w:spacing w:after="120" w:line="340"/>
      </w:pPr>
      <w:r>
        <w:rPr>
          <w:rFonts w:ascii="微軟正黑體" w:cs="微軟正黑體" w:eastAsia="微軟正黑體" w:hAnsi="微軟正黑體"/>
          <w:sz w:val="22"/>
          <w:szCs w:val="22"/>
        </w:rPr>
        <w:t xml:space="preserve">AI輔助KPI設計可協助需求探勘（運用大型語言模型分析公民陳情、社群媒體與立法質詢，自動萃取新興績效議題）、指標庫推薦、動態權重校準與個人化儀表板。然而AI並非中立，若訓練資料反映歷史歧視，績效系統可能複製偏見：資料代表性偏誤導致對偏鄉或多元文化服務者不公；指標選擇偏誤導致「會吵的業務有糖吃」；回饋迴路偏誤導致被標記低績效者獲得更少資源，形成績效「馬太效應」。當績效考核自動化，公務員是否有「陳述意見權」「請求解釋權」與「人工覆核權」，若無，將涉及正當程序課題。</w:t>
      </w:r>
    </w:p>
    <w:p>
      <w:pPr>
        <w:spacing w:after="140" w:before="260"/>
      </w:pPr>
      <w:r>
        <w:rPr>
          <w:rFonts w:ascii="微軟正黑體" w:cs="微軟正黑體" w:eastAsia="微軟正黑體" w:hAnsi="微軟正黑體"/>
          <w:b/>
          <w:bCs/>
          <w:color w:val="2E5C8A"/>
          <w:sz w:val="23"/>
          <w:szCs w:val="23"/>
        </w:rPr>
        <w:t xml:space="preserve">三、主要學者與工具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傳統審計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資料範圍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抽樣</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全量母體掃描</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時機</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事後年度審</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即時連續審計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方法</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人工對帳、憑證核對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機器學習異常偵測、NLP契約分析</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重點</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合規性</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合規＋績效＋風險預測</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產出</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審核報告</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風險儀表板＋預警＋自動化報告草稿</w:t>
            </w:r>
          </w:p>
        </w:tc>
      </w:tr>
    </w:tbl>
    <w:p>
      <w:pPr>
        <w:spacing w:after="280" w:before="120"/>
        <w:jc w:val="center"/>
      </w:pPr>
      <w:r>
        <w:rPr>
          <w:rFonts w:ascii="微軟正黑體" w:cs="微軟正黑體" w:eastAsia="微軟正黑體" w:hAnsi="微軟正黑體"/>
          <w:i/>
          <w:iCs/>
          <w:color w:val="555555"/>
          <w:sz w:val="18"/>
          <w:szCs w:val="18"/>
        </w:rPr>
        <w:t xml:space="preserve">表23-H　傳統審計與AI審計比較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本章援引Busuioc（2020, 2021）演算法課責框架，將Bovens課責三階段擴充為四要件——資訊揭露、解釋與正當化、審議與質詢、後果與矯正，這套框架同時適用於財務與績效兩條治理鏈：財務面要求揭露演算法預算模型之訓練資料與限制，績效面要求揭露績效模型之模型卡與人口結構表現差異；二者共同構成公共資源治理的可問責回饋迴路。</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400"/>
        <w:gridCol w:w="28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Busuioc四要件</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財務治理意涵</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績效治理意涵</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具體機制</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資訊揭露</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揭露演算法預算模型之目的、資料來源與限制</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揭露績效演算法之模型卡與訓練資料人口結構</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模型卡、資料來源清單、預算編列說明書</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解釋與正當化</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說明稅收預測與支出建議之可解釋因子</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對個別績效決定提供反事實解釋</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可解釋AI報告、演算法審計日誌</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審議與質詢</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立法院、審計部得質詢演算法預算模型假設</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考績會與AI倫理會受理受評者異議</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公民審計、專家聽證、申訴管道</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後果與矯正</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模型誤差經確認後應調整科目編列並究責</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錯誤或歧視性績效模型須更正分數並下架</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分數更正、模型下架、補償機制</w:t>
            </w:r>
          </w:p>
        </w:tc>
      </w:tr>
    </w:tbl>
    <w:p>
      <w:pPr>
        <w:spacing w:after="280" w:before="120"/>
        <w:jc w:val="center"/>
      </w:pPr>
      <w:r>
        <w:rPr>
          <w:rFonts w:ascii="微軟正黑體" w:cs="微軟正黑體" w:eastAsia="微軟正黑體" w:hAnsi="微軟正黑體"/>
          <w:i/>
          <w:iCs/>
          <w:color w:val="555555"/>
          <w:sz w:val="18"/>
          <w:szCs w:val="18"/>
        </w:rPr>
        <w:t xml:space="preserve">表23-I　Busuioc演算法課責四要件在財務與績效治理之應用</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治理工具箱之貢獻在於：預測性財務分析、AI審計、主權算力成本治理、AI績效儀表板、模型卡、演算法審計與演算法影響評估（AIA），共同提供財務與績效兩條治理鏈的可操作課責基礎設施；惟其限制在於，主權AI算力預算須面對資本門與經常門界線模糊、生命週期成本高、需獨立科目與透明課責等三項特性，財務治理須從「買設備」轉為「治理算力公共財」，而此一轉型目前仍處於制度建構初期。</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AI鑲嵌後的權力與結構變化——從「誰批准」到「誰被算出」：</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情境建構權（P1）的延伸：AI預算預測模型與績效指標推薦系統決定哪些支出計畫「進入優先視野」、哪些機關或個人被標記為「高績效」，訓練資料之歷史偏誤重新定義了「值得投資」與「值得肯定」的邊界。</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行政裁量權（P2）的移轉：當AI生成之預算建議或績效評分被主管例行性採納，原本應由預算委員會或考績委員會承擔之實質判斷，可能在時間壓力下退化為對演算法輸出的形式化簽核。</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公權力影響力（P3）的擴散：設計預算模型與績效演算法的技術團隊或外部供應商，對「誰的計畫被優先編列」「誰被認定為高績效」擁有實質影響力，卻通常不受立法院或考績會之直接課責機制拘束。</w:t>
      </w:r>
    </w:p>
    <w:p>
      <w:pPr>
        <w:spacing w:after="200" w:line="360"/>
        <w:ind w:firstLine="431"/>
        <w:jc w:val="both"/>
      </w:pPr>
      <w:r>
        <w:rPr>
          <w:rFonts w:ascii="微軟正黑體" w:cs="微軟正黑體" w:eastAsia="微軟正黑體" w:hAnsi="微軟正黑體"/>
          <w:sz w:val="22"/>
          <w:szCs w:val="22"/>
        </w:rPr>
        <w:t xml:space="preserve">三種結構性效應交織下，本章尤須警惕「量入為出」與「用最少資源創造最大公共價值」這兩項古老誡命，是否正被演算法的效率語言悄悄置換為「唯數據可測量者才被看見」。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4013"/>
        <w:gridCol w:w="36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AI預算模型與績效指標推薦系統標記哪些計畫「優先」、哪些機關「達標」</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資料代表性審計、隱私與資安審計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權威鏈</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AI生成之預算建議或績效評分是否僭越預算委員會、考績委員會之正式權威</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責任歸屬審計、民主課責審計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AI預算或績效評分之理由能否回溯至可理解之依據，而非僅呈現分數本身</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理由說明審計、裁量邊界審計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責任鏈</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預算誤差或績效爭議發生時，究責對象是模型設計者、資料供應商抑或機關首長</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表23-J　四鏈追蹤＋七項審計應用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財務面，行政院主計總處推動歲計會計數位化並試辦AI輔助歲出概算合理性檢核，數位發展部則編列主權AI算力與國家算力中心預算並推動AI算力池共用平台，形成「主計總處管財務治理框架、數位部管算力供給與營運」之雙軌治理雛形；績效面則以行政院政府服務獎與數位部myData平台為例，建議由「導入數量」轉向「AI服務績效三角」——服務效能、程序正義與分配正義，並將幻覺率、偏見率、可追溯率納入客服機器人KPI，公開模型卡供立法院監督。2023年美國國稅局（IRS）演算法選案因鎖定申報勞動所得稅抵免（EITC）之申報者，導致黑人納稅人受稽查機率為其他族群之3至5倍，是「技術中立卻結果歧視」之代表性國際案例；我國監察院與審計部2026年4月舉辦「AI×數位審計創新應用」研習，分享生成式AI審計助理、太陽光電政策執行查核之機器學習應用，顯示我國審計實務已從財務合規審計逐步擴及以AI查核政策執行績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演算法預算之定義與功能（降低漸增主義╱本位主義偏誤，非取代政治決定）＋主權AI算力預算三項治理特性（資本經常門模糊╱生命週期成本高╱需獨立科目）。</w:t>
            </w:r>
          </w:p>
          <w:p>
            <w:pPr>
              <w:spacing w:after="80" w:line="320"/>
            </w:pPr>
            <w:r>
              <w:rPr>
                <w:rFonts w:ascii="微軟正黑體" w:cs="微軟正黑體" w:eastAsia="微軟正黑體" w:hAnsi="微軟正黑體"/>
                <w:sz w:val="21"/>
                <w:szCs w:val="21"/>
              </w:rPr>
              <w:t xml:space="preserve">•　Busuioc演算法課責四要件（資訊揭露╱解釋正當化╱審議質詢╱後果矯正）在財務與績效治理之雙軌應用，為AI鑲嵌題型之核心答題架構。</w:t>
            </w:r>
          </w:p>
          <w:p>
            <w:pPr>
              <w:spacing w:after="0" w:line="320"/>
            </w:pPr>
            <w:r>
              <w:rPr>
                <w:rFonts w:ascii="微軟正黑體" w:cs="微軟正黑體" w:eastAsia="微軟正黑體" w:hAnsi="微軟正黑體"/>
                <w:sz w:val="21"/>
                <w:szCs w:val="21"/>
              </w:rPr>
              <w:t xml:space="preserve">•　績效面AI治理挑戰二項：AI績效指標公平性（資料代表性╱指標選擇╱回饋迴路偏誤→馬太效應）與自動化績效考核正當程序（陳述意見權╱請求解釋權╱人工覆核權）。</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財務治理三挑戰：預算科目落後技術現實、演算法財政幻覺、主權AI算力戰略競逐（統籌機制職掌重疊）。</w:t>
            </w:r>
          </w:p>
          <w:p>
            <w:pPr>
              <w:spacing w:after="0" w:line="320"/>
            </w:pPr>
            <w:r>
              <w:rPr>
                <w:rFonts w:ascii="微軟正黑體" w:cs="微軟正黑體" w:eastAsia="微軟正黑體" w:hAnsi="微軟正黑體"/>
                <w:sz w:val="21"/>
                <w:szCs w:val="21"/>
              </w:rPr>
              <w:t xml:space="preserve">•　IRS案例記憶點：不用種族當變數，仍因鎖定EITC申報者產生種族落差——技術中立不等於結果中立。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演算法預算」不是「AI取代預算決策」——其核心功能是提供證據基礎（歷史KPI、執行率、審計缺失、民眾陳情分析）以降低漸增主義與本位主義偏誤，最終預算配置仍須經立法院實質審議，考生答題時不宜寫成「AI直接決定預算」。</w:t>
            </w:r>
          </w:p>
          <w:p>
            <w:pPr>
              <w:spacing w:after="0" w:line="320"/>
            </w:pPr>
            <w:r>
              <w:rPr>
                <w:rFonts w:ascii="微軟正黑體" w:cs="微軟正黑體" w:eastAsia="微軟正黑體" w:hAnsi="微軟正黑體"/>
                <w:sz w:val="21"/>
                <w:szCs w:val="21"/>
              </w:rPr>
              <w:t xml:space="preserve">•　「資料代表性偏誤」「指標選擇偏誤」與「回饋迴路偏誤」三者屬績效面AI偏見之不同環節，不宜混用——資料代表性偏誤是訓練資料本身失衡，指標選擇偏誤是易量化任務被過度獎勵，回饋迴路偏誤則是低績效標記導致資源減少、績效更難提升之馬太效應循環。</w:t>
            </w:r>
          </w:p>
        </w:tc>
      </w:tr>
    </w:tbl>
    <w:p>
      <w:pPr>
        <w:spacing w:after="28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共查得7題直接標記本章「財務管理與績效管理」且經標記之申論真題，其中6題查證屬一般行政符合。107年-身三「零基預算」（一般行政符合，難度A）與108年-地三「公私部門績效管理機制設計差異」（一般行政符合，難度B），因理論內容完整可考，分別列為題目一、題目二完整解析；題目三為依本章第四節AI治理內容自行設計之模擬命題。依全書格式定版說明，題目一（A級）提供基本得分版、標準版、高分版三種完整答案；題目二（B級）與題目三（C級）改為標準版參考答案＋【高分加分點】；AI鑲嵌內容集中於第四節與題目三C級綜合題。</w:t>
      </w:r>
    </w:p>
    <w:p>
      <w:pPr>
        <w:spacing w:after="160"/>
      </w:pPr>
    </w:p>
    <w:p>
      <w:pPr>
        <w:spacing w:after="180" w:before="360"/>
      </w:pPr>
      <w:r>
        <w:rPr>
          <w:rFonts w:ascii="微軟正黑體" w:cs="微軟正黑體" w:eastAsia="微軟正黑體" w:hAnsi="微軟正黑體"/>
          <w:b/>
          <w:bCs/>
          <w:color w:val="1F4E79"/>
          <w:sz w:val="26"/>
          <w:szCs w:val="26"/>
        </w:rPr>
        <w:t xml:space="preserve">題目一（A級基本題·107年公務人員特種考試身心障礙人員三等考試）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本題為107年公務人員特種考試身心障礙人員三等考試真實歷屆試題，經查證其類科（一般行政）符合本書「一般行政」類科適用範圍，屬本章對應之真實申論題。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「請說明零基預算制度（Zero-Base Budgeting System）的起源、概念與運用，並請以中央或地方政府機關預算編列為例，闡述零基預算的優勢及限制。（25分）」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起源沿革＋概念說明＋運用舉例＋優劣評析題」，考生須依序完成：說明零基預算之起源與概念、以中央或地方政府機關預算編列為例闡述其運用、評析零基預算之優勢及限制——若僅背誦定義而未能舉例說明運用方式，或優劣評析未能扣合公部門特性，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零基預算（ZBB）＋ 每年歸零重新評估存續理由 ＋ 1977年卡特總統推行 ＋ 反漸增主義 ＋ 優勢與限制。</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一、前言：如果每一項計畫都得從零開始證明自己值得存在</w:t>
      </w:r>
    </w:p>
    <w:p>
      <w:pPr>
        <w:pStyle w:val="ListParagraph"/>
        <w:numPr>
          <w:ilvl w:val="0"/>
          <w:numId w:val="2"/>
        </w:numPr>
        <w:spacing w:after="120" w:line="340"/>
      </w:pPr>
      <w:r>
        <w:rPr>
          <w:rFonts w:ascii="微軟正黑體" w:cs="微軟正黑體" w:eastAsia="微軟正黑體" w:hAnsi="微軟正黑體"/>
          <w:sz w:val="22"/>
          <w:szCs w:val="22"/>
        </w:rPr>
        <w:t xml:space="preserve">二、零基預算之起源與概念</w:t>
      </w:r>
    </w:p>
    <w:p>
      <w:pPr>
        <w:pStyle w:val="ListParagraph"/>
        <w:numPr>
          <w:ilvl w:val="0"/>
          <w:numId w:val="2"/>
        </w:numPr>
        <w:spacing w:after="120" w:line="340"/>
      </w:pPr>
      <w:r>
        <w:rPr>
          <w:rFonts w:ascii="微軟正黑體" w:cs="微軟正黑體" w:eastAsia="微軟正黑體" w:hAnsi="微軟正黑體"/>
          <w:sz w:val="22"/>
          <w:szCs w:val="22"/>
        </w:rPr>
        <w:t xml:space="preserve">三、零基預算之運用方式（以政府機關預算編列為例）</w:t>
      </w:r>
    </w:p>
    <w:p>
      <w:pPr>
        <w:pStyle w:val="ListParagraph"/>
        <w:numPr>
          <w:ilvl w:val="0"/>
          <w:numId w:val="2"/>
        </w:numPr>
        <w:spacing w:after="120" w:line="340"/>
      </w:pPr>
      <w:r>
        <w:rPr>
          <w:rFonts w:ascii="微軟正黑體" w:cs="微軟正黑體" w:eastAsia="微軟正黑體" w:hAnsi="微軟正黑體"/>
          <w:sz w:val="22"/>
          <w:szCs w:val="22"/>
        </w:rPr>
        <w:t xml:space="preserve">四、零基預算之優勢與限制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零基預算（Zero-Base Budgeting, ZBB）由Peter Pyhrr於1970年代發展，並於1977年由美國卡特總統推行至聯邦政府，主張打破傳統預算之「漸增主義」慣性，要求每一年度對所有計畫重新從零評估其存續必要性，而非僅以上年度預算為基礎增減估算。</w:t>
      </w:r>
    </w:p>
    <w:p>
      <w:pPr>
        <w:spacing w:after="200" w:line="360"/>
        <w:ind w:firstLine="431"/>
        <w:jc w:val="both"/>
      </w:pPr>
      <w:r>
        <w:rPr>
          <w:rFonts w:ascii="微軟正黑體" w:cs="微軟正黑體" w:eastAsia="微軟正黑體" w:hAnsi="微軟正黑體"/>
          <w:sz w:val="22"/>
          <w:szCs w:val="22"/>
        </w:rPr>
        <w:t xml:space="preserve">其運用方式為：各單位將業務拆解為若干「決策套組」（decision package），依重要性排序後由上級依可用資源逐層核定取捨，藉此打破本位主義與既得利益之預算僵化現象，強迫每一項計畫重新證明其存續之必要性與效益。</w:t>
      </w:r>
    </w:p>
    <w:p>
      <w:pPr>
        <w:spacing w:after="200" w:line="360"/>
        <w:ind w:firstLine="431"/>
        <w:jc w:val="both"/>
      </w:pPr>
      <w:r>
        <w:rPr>
          <w:rFonts w:ascii="微軟正黑體" w:cs="微軟正黑體" w:eastAsia="微軟正黑體" w:hAnsi="微軟正黑體"/>
          <w:sz w:val="22"/>
          <w:szCs w:val="22"/>
        </w:rPr>
        <w:t xml:space="preserve">零基預算之優勢在於強制全面檢討計畫績效與存續理由，有助於淘汰過時或低效之施政項目，呼應「用最少資源創造最大公共價值」之誡命；惟其限制在於，每年皆須重新評估所有計畫，行政作業負擔極為沉重，且各機關須投入大量人力編制決策套組說明書，故美國聯邦政府已於1981年後終止全面推行，回歸較具彈性之目標基準預算（TBB）等制度。</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如果每一項政府計畫，都得像新創提案一樣，每年重新向上級證明自己值得繼續存在——這正是零基預算試圖打破漸增主義惰性的核心精神，也是理解其優勢與沉重代價的起點。</w:t>
      </w:r>
    </w:p>
    <w:p>
      <w:pPr>
        <w:spacing w:after="200" w:line="360"/>
        <w:ind w:firstLine="431"/>
        <w:jc w:val="both"/>
      </w:pPr>
      <w:r>
        <w:rPr>
          <w:rFonts w:ascii="微軟正黑體" w:cs="微軟正黑體" w:eastAsia="微軟正黑體" w:hAnsi="微軟正黑體"/>
          <w:sz w:val="22"/>
          <w:szCs w:val="22"/>
        </w:rPr>
        <w:t xml:space="preserve">二、零基預算之起源與概念</w:t>
      </w:r>
    </w:p>
    <w:p>
      <w:pPr>
        <w:spacing w:after="200" w:line="360"/>
        <w:ind w:firstLine="431"/>
        <w:jc w:val="both"/>
      </w:pPr>
      <w:r>
        <w:rPr>
          <w:rFonts w:ascii="微軟正黑體" w:cs="微軟正黑體" w:eastAsia="微軟正黑體" w:hAnsi="微軟正黑體"/>
          <w:sz w:val="22"/>
          <w:szCs w:val="22"/>
        </w:rPr>
        <w:t xml:space="preserve">零基預算由Peter Pyhrr於德州儀器公司發展成形，1977年由美國卡特總統推行至聯邦政府層級。其核心概念在於反對傳統預算編列僅以「上年度預算加減若干百分比」之漸增主義做法，主張每一會計年度，所有計畫（不論舊有或新提案）皆須從「零基礎」重新評估其存續必要性、目標與預期效益，而非預設舊有計畫理所當然應獲延續之預算額度。</w:t>
      </w:r>
    </w:p>
    <w:p>
      <w:pPr>
        <w:spacing w:after="200" w:line="360"/>
        <w:ind w:firstLine="431"/>
        <w:jc w:val="both"/>
      </w:pPr>
      <w:r>
        <w:rPr>
          <w:rFonts w:ascii="微軟正黑體" w:cs="微軟正黑體" w:eastAsia="微軟正黑體" w:hAnsi="微軟正黑體"/>
          <w:sz w:val="22"/>
          <w:szCs w:val="22"/>
        </w:rPr>
        <w:t xml:space="preserve">三、零基預算之運用方式（以政府機關預算編列為例）</w:t>
      </w:r>
    </w:p>
    <w:p>
      <w:pPr>
        <w:spacing w:after="200" w:line="360"/>
        <w:ind w:firstLine="431"/>
        <w:jc w:val="both"/>
      </w:pPr>
      <w:r>
        <w:rPr>
          <w:rFonts w:ascii="微軟正黑體" w:cs="微軟正黑體" w:eastAsia="微軟正黑體" w:hAnsi="微軟正黑體"/>
          <w:sz w:val="22"/>
          <w:szCs w:val="22"/>
        </w:rPr>
        <w:t xml:space="preserve">零基預算之具體運用步驟為：其一，各業務單位將所辦理之業務拆解為若干「決策套組」（decision package），每一套組須載明計畫目標、替代方案、成本效益分析與不辦理之後果；其二，各單位依重要性將決策套組排序；其三，由上級依可用資源總額，逐層由高至低核定取捨，未獲核定之套組即代表該項業務或其擴充部分不予編列預算。以我國中央或地方政府機關為例，若某機關擬編列下年度預算，依零基預算精神，不應僅以上年度預算為基礎微幅調整，而須就每一項業務計畫（包括長期辦理之例行業務）重新檢視其辦理必要性、績效表現與資源投入之合理性，避免「舊計畫理所當然延續、新計畫才需要證明自己」之漸增主義慣性。</w:t>
      </w:r>
    </w:p>
    <w:p>
      <w:pPr>
        <w:spacing w:after="200" w:line="360"/>
        <w:ind w:firstLine="431"/>
        <w:jc w:val="both"/>
      </w:pPr>
      <w:r>
        <w:rPr>
          <w:rFonts w:ascii="微軟正黑體" w:cs="微軟正黑體" w:eastAsia="微軟正黑體" w:hAnsi="微軟正黑體"/>
          <w:sz w:val="22"/>
          <w:szCs w:val="22"/>
        </w:rPr>
        <w:t xml:space="preserve">四、零基預算之優勢與限制</w:t>
      </w:r>
    </w:p>
    <w:p>
      <w:pPr>
        <w:spacing w:after="200" w:line="360"/>
        <w:ind w:firstLine="431"/>
        <w:jc w:val="both"/>
      </w:pPr>
      <w:r>
        <w:rPr>
          <w:rFonts w:ascii="微軟正黑體" w:cs="微軟正黑體" w:eastAsia="微軟正黑體" w:hAnsi="微軟正黑體"/>
          <w:sz w:val="22"/>
          <w:szCs w:val="22"/>
        </w:rPr>
        <w:t xml:space="preserve">零基預算之優勢有三：其一，全面檢討有助於淘汰過時或低效之施政項目，避免資源被歷史慣性鎖定；其二，決策套組之排序機制強迫各單位以成本效益思維重新論證計畫價值，提升資源配置之理性程度；其三，打破本位主義與既得利益，減少「因為去年有編、今年理所當然要編」之預算僵化現象。惟其限制亦十分明顯：其一，行政作業負擔極為沉重，每年皆須重新評估所有計畫（而非僅新增或變動部分），對人力有限之基層機關構成沉重負擔；其二，決策套組之編製與排序涉及大量文書作業與跨單位協調，時間成本高昂；其三，若評估標準未能客觀量化，排序過程仍可能受政治協商與部門角力影響，未必能真正達成理性資源配置之初衷。正因這些限制，美國聯邦政府已於1981年後終止全面推行零基預算，轉而採行較具彈性之目標基準預算（TBB）等制度。</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零基預算以「全面歸零重新評估」之激進精神，回應了漸增主義預算慣性所累積之資源錯置風險，其強制全面檢討之優勢值得肯定；惟其沉重之行政負擔，也提醒制度設計者：任何反漸增主義之預算改革，皆須在「理性檢討之徹底性」與「行政作業之可行性」之間，尋求務實的平衡。</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制度比較視角：可援引目標基準預算（TBB）作為對照——TBB由行政首長由上而下核定支出「上限」，機關於額度內自主分配，集權於首長而非逐項歸零；ZBB則要求「所有計畫」逐項重新評估存續理由，兩者雖同屬反漸增主義之改革，但集權邏輯與作業負擔並不相同，凸顯預算制度演進中「控制精細度」與「行政可行性」之持續拉鋸。</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AI時代之演算法預算，可自動化梳理各計畫歷史KPI、預算執行率、審計缺失與民眾陳情情緒分析，生成決策套組初稿及終止、縮減、維持、擴張建議，使零基預算「全面歸零檢討」之精神得以在大幅降低行政負擔之前提下於AI時代重生，呼應本章第四節AI鑲嵌內容。</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指出我國雖未全面採行零基預算，惟其「歸零檢討」精神已部分融入我國各機關每年度概算編列時須檢討延續性計畫績效之作業要求；亦可援引數位發展部推動AI輔助歲出概算合理性檢核之實務，說明ZBB精神與當代財務治理數位化趨勢之接軌。</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視角：可指出零基預算之「全面理性檢討」預設高度可得之完整資訊與充裕之分析時間，惟現實中之預算編列往往受政治週期與時間壓力限制，此一理性預算模型與漸增主義預算理論（強調資訊有限下之務實決策）之理論張力，正是預算理論發展史上之核心辯論。</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須完整說明零基預算之起源（Peter Pyhrr、1977年卡特總統推行）與核心概念（每年歸零重新評估所有計畫存續理由，反漸增主義），不可僅背誦「Zero-Base」字面意義而無起源脈絡。</w:t>
      </w:r>
    </w:p>
    <w:p>
      <w:pPr>
        <w:pStyle w:val="ListParagraph"/>
        <w:numPr>
          <w:ilvl w:val="0"/>
          <w:numId w:val="2"/>
        </w:numPr>
        <w:spacing w:after="120" w:line="340"/>
      </w:pPr>
      <w:r>
        <w:rPr>
          <w:rFonts w:ascii="微軟正黑體" w:cs="微軟正黑體" w:eastAsia="微軟正黑體" w:hAnsi="微軟正黑體"/>
          <w:sz w:val="22"/>
          <w:szCs w:val="22"/>
        </w:rPr>
        <w:t xml:space="preserve">須具體說明零基預算之運用方式（決策套組編製、排序、逐層核定取捨），並以政府機關預算編列為例具體闡述，不可僅抽象陳述而無操作流程說明。</w:t>
      </w:r>
    </w:p>
    <w:p>
      <w:pPr>
        <w:pStyle w:val="ListParagraph"/>
        <w:numPr>
          <w:ilvl w:val="0"/>
          <w:numId w:val="2"/>
        </w:numPr>
        <w:spacing w:after="120" w:line="340"/>
      </w:pPr>
      <w:r>
        <w:rPr>
          <w:rFonts w:ascii="微軟正黑體" w:cs="微軟正黑體" w:eastAsia="微軟正黑體" w:hAnsi="微軟正黑體"/>
          <w:sz w:val="22"/>
          <w:szCs w:val="22"/>
        </w:rPr>
        <w:t xml:space="preserve">優勢與限制之評析須對應具體制度特徵（優勢：全面檢討╱理性排序╱打破本位主義；限制：行政負擔沉重╱作業成本高╱政治協商仍可能扭曲排序），不可空泛籠統。</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僅背誦「零基預算就是從零開始編列」之字面定義，未能說明起源脈絡與具體運用之決策套組機制。</w:t>
      </w:r>
    </w:p>
    <w:p>
      <w:pPr>
        <w:pStyle w:val="ListParagraph"/>
        <w:numPr>
          <w:ilvl w:val="0"/>
          <w:numId w:val="2"/>
        </w:numPr>
        <w:spacing w:after="120" w:line="340"/>
      </w:pPr>
      <w:r>
        <w:rPr>
          <w:rFonts w:ascii="微軟正黑體" w:cs="微軟正黑體" w:eastAsia="微軟正黑體" w:hAnsi="微軟正黑體"/>
          <w:sz w:val="22"/>
          <w:szCs w:val="22"/>
        </w:rPr>
        <w:t xml:space="preserve">❌ 未能結合政府機關實例具體闡述運用方式，答題止於抽象概念陳述。</w:t>
      </w:r>
    </w:p>
    <w:p>
      <w:pPr>
        <w:pStyle w:val="ListParagraph"/>
        <w:numPr>
          <w:ilvl w:val="0"/>
          <w:numId w:val="2"/>
        </w:numPr>
        <w:spacing w:after="120" w:line="340"/>
      </w:pPr>
      <w:r>
        <w:rPr>
          <w:rFonts w:ascii="微軟正黑體" w:cs="微軟正黑體" w:eastAsia="微軟正黑體" w:hAnsi="微軟正黑體"/>
          <w:sz w:val="22"/>
          <w:szCs w:val="22"/>
        </w:rPr>
        <w:t xml:space="preserve">❌ 優勢與限制之論述空泛籠統（如僅稱「優點是理性，缺點是麻煩」），未具體扣合零基預算之制度特徵。</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題目二（B級比較題·108年公務人員特種考試地方政府公務人員三等考試）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本題為108年公務人員特種考試地方政府公務人員三等考試真實歷屆試題，經查證其類科（一般行政）符合本書「一般行政」類科適用範圍，屬本章對應之真實申論題。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「公部門和私部門在施行績效管理時，其機制設計和組織所面臨的內外環境之差異為何？（25分）」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公私部門異同比較題」，考生須依序完成：分析公私部門績效管理在機制設計面之差異、分析外部環境面之差異、分析內部環境面之差異——若僅籠統稱「公部門較沒效率」而未具體扣合機制設計、外部環境、內部環境三面向之理論架構，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績效管理三重差異（機制設計╱外部環境╱內部環境）＋ 私部門利潤單一依歸 ＋ 績效弔詭。</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一、前言：私部門看盈虧一個數字就夠，公部門的「好」卻沒有單一答案</w:t>
      </w:r>
    </w:p>
    <w:p>
      <w:pPr>
        <w:pStyle w:val="ListParagraph"/>
        <w:numPr>
          <w:ilvl w:val="0"/>
          <w:numId w:val="2"/>
        </w:numPr>
        <w:spacing w:after="120" w:line="340"/>
      </w:pPr>
      <w:r>
        <w:rPr>
          <w:rFonts w:ascii="微軟正黑體" w:cs="微軟正黑體" w:eastAsia="微軟正黑體" w:hAnsi="微軟正黑體"/>
          <w:sz w:val="22"/>
          <w:szCs w:val="22"/>
        </w:rPr>
        <w:t xml:space="preserve">二、機制設計面之差異</w:t>
      </w:r>
    </w:p>
    <w:p>
      <w:pPr>
        <w:pStyle w:val="ListParagraph"/>
        <w:numPr>
          <w:ilvl w:val="0"/>
          <w:numId w:val="2"/>
        </w:numPr>
        <w:spacing w:after="120" w:line="340"/>
      </w:pPr>
      <w:r>
        <w:rPr>
          <w:rFonts w:ascii="微軟正黑體" w:cs="微軟正黑體" w:eastAsia="微軟正黑體" w:hAnsi="微軟正黑體"/>
          <w:sz w:val="22"/>
          <w:szCs w:val="22"/>
        </w:rPr>
        <w:t xml:space="preserve">三、外部環境面之差異</w:t>
      </w:r>
    </w:p>
    <w:p>
      <w:pPr>
        <w:pStyle w:val="ListParagraph"/>
        <w:numPr>
          <w:ilvl w:val="0"/>
          <w:numId w:val="2"/>
        </w:numPr>
        <w:spacing w:after="120" w:line="340"/>
      </w:pPr>
      <w:r>
        <w:rPr>
          <w:rFonts w:ascii="微軟正黑體" w:cs="微軟正黑體" w:eastAsia="微軟正黑體" w:hAnsi="微軟正黑體"/>
          <w:sz w:val="22"/>
          <w:szCs w:val="22"/>
        </w:rPr>
        <w:t xml:space="preserve">四、內部環境面之差異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私部門判斷一家公司經營得好不好，最終總能回到「有沒有賺錢」這一個相對單純的數字；但政府機關做得好不好，卻沒有一個同樣單純的答案——這正是公私部門施行績效管理時，機制設計與內外環境會產生根本差異之根源。</w:t>
      </w:r>
    </w:p>
    <w:p>
      <w:pPr>
        <w:spacing w:after="200" w:line="360"/>
        <w:ind w:firstLine="431"/>
        <w:jc w:val="both"/>
      </w:pPr>
      <w:r>
        <w:rPr>
          <w:rFonts w:ascii="微軟正黑體" w:cs="微軟正黑體" w:eastAsia="微軟正黑體" w:hAnsi="微軟正黑體"/>
          <w:sz w:val="22"/>
          <w:szCs w:val="22"/>
        </w:rPr>
        <w:t xml:space="preserve">二、機制設計面之差異</w:t>
      </w:r>
    </w:p>
    <w:p>
      <w:pPr>
        <w:spacing w:after="200" w:line="360"/>
        <w:ind w:firstLine="431"/>
        <w:jc w:val="both"/>
      </w:pPr>
      <w:r>
        <w:rPr>
          <w:rFonts w:ascii="微軟正黑體" w:cs="微軟正黑體" w:eastAsia="微軟正黑體" w:hAnsi="微軟正黑體"/>
          <w:sz w:val="22"/>
          <w:szCs w:val="22"/>
        </w:rPr>
        <w:t xml:space="preserve">私部門以利潤極大化為單一且可量化之終極依歸，績效指標設計相對單純，可直接連結財務數字；公部門則須同時兼顧3E+Q多重價值（經濟、效率、效能、公平、品質），績效指標之機制設計須特別兼顧公平與程序正義，例如社福機關之績效不能僅以「服務件數」衡量，尚須考量弱勢群體之可近性與服務過程之正當程序，此一多重價值權衡使公部門績效指標之機制設計，遠比私部門單一利潤指標更易流於形式化——為了同時「看起來」兼顧多重價值，指標數量膨脹但實質衡量效力卻可能被稀釋。</w:t>
      </w:r>
    </w:p>
    <w:p>
      <w:pPr>
        <w:spacing w:after="200" w:line="360"/>
        <w:ind w:firstLine="431"/>
        <w:jc w:val="both"/>
      </w:pPr>
      <w:r>
        <w:rPr>
          <w:rFonts w:ascii="微軟正黑體" w:cs="微軟正黑體" w:eastAsia="微軟正黑體" w:hAnsi="微軟正黑體"/>
          <w:sz w:val="22"/>
          <w:szCs w:val="22"/>
        </w:rPr>
        <w:t xml:space="preserve">三、外部環境面之差異</w:t>
      </w:r>
    </w:p>
    <w:p>
      <w:pPr>
        <w:spacing w:after="200" w:line="360"/>
        <w:ind w:firstLine="431"/>
        <w:jc w:val="both"/>
      </w:pPr>
      <w:r>
        <w:rPr>
          <w:rFonts w:ascii="微軟正黑體" w:cs="微軟正黑體" w:eastAsia="微軟正黑體" w:hAnsi="微軟正黑體"/>
          <w:sz w:val="22"/>
          <w:szCs w:val="22"/>
        </w:rPr>
        <w:t xml:space="preserve">私部門主要面對市場競爭與股東監督之外部環境，課責對象相對集中；公部門除服務對象（相當於私部門之顧客）外，尚須回應立法機關、司法機關、監察機關、媒體與公民團體等多元利害關係人之監督，且施政目標常隨政黨輪替與政治情勢變遷而調整，此一多元且不穩定之外部環境，使公部門績效管理之目標設定，遠比私部門受市場機制驅動之目標設定更為複雜且易受政治因素干擾。</w:t>
      </w:r>
    </w:p>
    <w:p>
      <w:pPr>
        <w:spacing w:after="200" w:line="360"/>
        <w:ind w:firstLine="431"/>
        <w:jc w:val="both"/>
      </w:pPr>
      <w:r>
        <w:rPr>
          <w:rFonts w:ascii="微軟正黑體" w:cs="微軟正黑體" w:eastAsia="微軟正黑體" w:hAnsi="微軟正黑體"/>
          <w:sz w:val="22"/>
          <w:szCs w:val="22"/>
        </w:rPr>
        <w:t xml:space="preserve">四、內部環境面之差異</w:t>
      </w:r>
    </w:p>
    <w:p>
      <w:pPr>
        <w:spacing w:after="200" w:line="360"/>
        <w:ind w:firstLine="431"/>
        <w:jc w:val="both"/>
      </w:pPr>
      <w:r>
        <w:rPr>
          <w:rFonts w:ascii="微軟正黑體" w:cs="微軟正黑體" w:eastAsia="微軟正黑體" w:hAnsi="微軟正黑體"/>
          <w:sz w:val="22"/>
          <w:szCs w:val="22"/>
        </w:rPr>
        <w:t xml:space="preserve">私部門經營團隊之穩定性與人事誘因彈性相對較高，管理者可較自主地將績效與獎酬連結；公部門則因政權輪替導致領導者更迭頻繁，政策連續性較低，且人事誘因受公務人員俸給法、考績法等法規高度限制，績效與俸給獎酬之連結彈性遠不及私部門，使績效管理作為激勵工具之實際效果相對有限。</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公部門在機制設計、外部環境與內部環境三個面向，均與私部門存在結構性差異，這些差異不代表公部門不應追求績效，而是提醒績效管理制度設計者：不能將私部門以利潤為核心之績效管理邏輯機械式移植至公部門，而須發展兼顧公平、多元課責與政治現實之公部門績效管理特有模式，方能避免「績效越受強調、形式主義越盛行」之績效弔詭。</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須以「機制設計、外部環境、內部環境」三重差異之理論架構逐一展開論述，不可僅籠統比較公私部門優劣而無明確分析架構。</w:t>
      </w:r>
    </w:p>
    <w:p>
      <w:pPr>
        <w:pStyle w:val="ListParagraph"/>
        <w:numPr>
          <w:ilvl w:val="0"/>
          <w:numId w:val="2"/>
        </w:numPr>
        <w:spacing w:after="120" w:line="340"/>
      </w:pPr>
      <w:r>
        <w:rPr>
          <w:rFonts w:ascii="微軟正黑體" w:cs="微軟正黑體" w:eastAsia="微軟正黑體" w:hAnsi="微軟正黑體"/>
          <w:sz w:val="22"/>
          <w:szCs w:val="22"/>
        </w:rPr>
        <w:t xml:space="preserve">須具體點出私部門利潤單一依歸之特性，作為對照公部門3E+Q多重價值權衡之論述基礎，不可僅泛稱「公部門比較複雜」而無具體對比內容。</w:t>
      </w:r>
    </w:p>
    <w:p>
      <w:pPr>
        <w:pStyle w:val="ListParagraph"/>
        <w:numPr>
          <w:ilvl w:val="0"/>
          <w:numId w:val="2"/>
        </w:numPr>
        <w:spacing w:after="120" w:line="340"/>
      </w:pPr>
      <w:r>
        <w:rPr>
          <w:rFonts w:ascii="微軟正黑體" w:cs="微軟正黑體" w:eastAsia="微軟正黑體" w:hAnsi="微軟正黑體"/>
          <w:sz w:val="22"/>
          <w:szCs w:val="22"/>
        </w:rPr>
        <w:t xml:space="preserve">內部環境面向須扣合政權輪替與人事法規限制對績效誘因之具體影響，展現對公部門制度特殊性之掌握。</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僅籠統稱「公部門較無效率、私部門較有效率」，未扣合機制設計、外部環境、內部環境之具體理論架構。</w:t>
      </w:r>
    </w:p>
    <w:p>
      <w:pPr>
        <w:pStyle w:val="ListParagraph"/>
        <w:numPr>
          <w:ilvl w:val="0"/>
          <w:numId w:val="2"/>
        </w:numPr>
        <w:spacing w:after="120" w:line="340"/>
      </w:pPr>
      <w:r>
        <w:rPr>
          <w:rFonts w:ascii="微軟正黑體" w:cs="微軟正黑體" w:eastAsia="微軟正黑體" w:hAnsi="微軟正黑體"/>
          <w:sz w:val="22"/>
          <w:szCs w:val="22"/>
        </w:rPr>
        <w:t xml:space="preserve">❌ 未點出私部門利潤單一依歸與公部門多重價值權衡之根本差異，答題流於表面現象羅列。</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可補充「績效弔詭」概念，說明績效越受強調，形式主義與數字遊戲越盛行之現象，正是公部門三重差異交織下之典型病理表現，深化論述之批判層次。</w:t>
      </w:r>
    </w:p>
    <w:p>
      <w:pPr>
        <w:pStyle w:val="ListParagraph"/>
        <w:numPr>
          <w:ilvl w:val="0"/>
          <w:numId w:val="2"/>
        </w:numPr>
        <w:spacing w:after="120" w:line="340"/>
      </w:pPr>
      <w:r>
        <w:rPr>
          <w:rFonts w:ascii="微軟正黑體" w:cs="微軟正黑體" w:eastAsia="微軟正黑體" w:hAnsi="微軟正黑體"/>
          <w:sz w:val="22"/>
          <w:szCs w:val="22"/>
        </w:rPr>
        <w:t xml:space="preserve">可援引OECD建議之公部門績效管理成功要件（高階領導支持、公共價值導向之策略敘事、利害關係人共創指標、資料治理成熟度、寬容失敗之學習文化），具體回應「如何克服三重差異」之延伸提問。</w:t>
      </w:r>
    </w:p>
    <w:p>
      <w:pPr>
        <w:pStyle w:val="ListParagraph"/>
        <w:numPr>
          <w:ilvl w:val="0"/>
          <w:numId w:val="2"/>
        </w:numPr>
        <w:spacing w:after="120" w:line="340"/>
      </w:pPr>
      <w:r>
        <w:rPr>
          <w:rFonts w:ascii="微軟正黑體" w:cs="微軟正黑體" w:eastAsia="微軟正黑體" w:hAnsi="微軟正黑體"/>
          <w:sz w:val="22"/>
          <w:szCs w:val="22"/>
        </w:rPr>
        <w:t xml:space="preserve">可補充AI治理視角：說明AI輔助績效儀表板雖可部分緩解公部門績效資訊蒐集之技術限制，惟演算法偏見與正當程序課題，反而可能在多元課責之外部環境下引發新的政治爭議，呼應本章第四節AI鑲嵌內容，展現跨節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可援引平衡計分卡（BSC）公部門轉譯之例（使命置頂、顧客轉譯為公民與利害關係人），具體說明公部門績效管理工具設計如何回應機制設計面之多重價值權衡課題，強化理論與工具之整合分析。</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的財務與績效管理：演算法預算、AI審計與雙軌演算法課責」及Busuioc演算法課責四要件、四鏈七審框架自行設計之模擬命題，情境並援引本章「回饋迴路偏誤」與「績效馬太效應」之理論內涵改寫而成。本語料庫（107-111年）中，本章尚未查得與AI輔助預算編列或AI績效儀表板治理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部會擬導入AI輔助預算與績效治理系統：一方面由AI模型預測各項計畫未來三年之預算需求與執行率，作為編列參考；另一方面以AI績效儀表板即時評比各地方分支機構之服務效能分數，並將分數與年度預算爭取順位掛鉤。上線後發現，資源本就較為充裕之都會型分支機構，其AI績效分數持續偏高，進而在下一年度預算爭取中取得優先順位；資源匱乏之偏鄉分支機構則陷入「低分→低預算→更低分」的循環。請說明此現象可能違反財務與績效治理之哪些價值，並運用『Busuioc演算法課責四要件』與『四鏈七審』框架，設計一套化解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診斷＋理論應用＋制度設計綜合題」，考生須依序完成：說明此現象可能違反財務與績效治理之哪些價值、運用Busuioc演算法課責四要件逐一分析、運用四鏈七審框架設計化解機制——若僅提出「增加人工審核」等籠統建議而未具體對應Busuioc四要件與四鏈七審框架，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回饋迴路偏誤＋績效馬太效應 ＋ Busuioc演算法課責四要件 ＋ 四鏈七審化解機制設計。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一、前言：分數越低、資源越少、下次分數只會更低——這不是績效不彰，是制度設計的陷阱</w:t>
      </w:r>
    </w:p>
    <w:p>
      <w:pPr>
        <w:pStyle w:val="ListParagraph"/>
        <w:numPr>
          <w:ilvl w:val="0"/>
          <w:numId w:val="2"/>
        </w:numPr>
        <w:spacing w:after="120" w:line="340"/>
      </w:pPr>
      <w:r>
        <w:rPr>
          <w:rFonts w:ascii="微軟正黑體" w:cs="微軟正黑體" w:eastAsia="微軟正黑體" w:hAnsi="微軟正黑體"/>
          <w:sz w:val="22"/>
          <w:szCs w:val="22"/>
        </w:rPr>
        <w:t xml:space="preserve">二、此現象可能違反之財務與績效治理價值</w:t>
      </w:r>
    </w:p>
    <w:p>
      <w:pPr>
        <w:pStyle w:val="ListParagraph"/>
        <w:numPr>
          <w:ilvl w:val="0"/>
          <w:numId w:val="2"/>
        </w:numPr>
        <w:spacing w:after="120" w:line="340"/>
      </w:pPr>
      <w:r>
        <w:rPr>
          <w:rFonts w:ascii="微軟正黑體" w:cs="微軟正黑體" w:eastAsia="微軟正黑體" w:hAnsi="微軟正黑體"/>
          <w:sz w:val="22"/>
          <w:szCs w:val="22"/>
        </w:rPr>
        <w:t xml:space="preserve">三、以Busuioc演算法課責四要件分析此案例</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四、以四鏈七審框架設計化解機制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當AI績效分數與下一年度預算爭取順位直接掛鉤，「分數低→預算少→表現更難提升→分數更低」的循環，往往不是偏鄉分支機構真的不努力，而是制度設計本身，把既有的資源落差，透過演算法悄悄放大成看似客觀的「績效落差」。</w:t>
      </w:r>
    </w:p>
    <w:p>
      <w:pPr>
        <w:spacing w:after="200" w:line="360"/>
        <w:ind w:firstLine="431"/>
        <w:jc w:val="both"/>
      </w:pPr>
      <w:r>
        <w:rPr>
          <w:rFonts w:ascii="微軟正黑體" w:cs="微軟正黑體" w:eastAsia="微軟正黑體" w:hAnsi="微軟正黑體"/>
          <w:sz w:val="22"/>
          <w:szCs w:val="22"/>
        </w:rPr>
        <w:t xml:space="preserve">二、此現象可能違反之財務與績效治理價值</w:t>
      </w:r>
    </w:p>
    <w:p>
      <w:pPr>
        <w:spacing w:after="200" w:line="360"/>
        <w:ind w:firstLine="431"/>
        <w:jc w:val="both"/>
      </w:pPr>
      <w:r>
        <w:rPr>
          <w:rFonts w:ascii="微軟正黑體" w:cs="微軟正黑體" w:eastAsia="微軟正黑體" w:hAnsi="微軟正黑體"/>
          <w:sz w:val="22"/>
          <w:szCs w:val="22"/>
        </w:rPr>
        <w:t xml:space="preserve">本案例可能同時違反財務與績效治理之核心價值：其一，財務面違反資源配置之公平性與代間╱地域正義，預算配置理應考量地區發展落差與資源匱乏地區之特殊需求，若逕以AI績效分數作為預算爭取順位之主要依據，恐使資源持續向本已充裕之都會地區集中，加劇區域資源失衡；其二，績效面違反績效指標之「回饋迴路偏誤」防範原則，被標記低績效者獲得更少資源，形成績效「馬太效應」，使績效分數不再反映真實努力程度或治理能力，而是反映初始資源稟賦之差異；其三，違反SMART原則中之公共性檢核，此一績效與預算掛鉤機制未能納入公平與分配正義之考量，看似「客觀量化」，實質上卻可能系統性懲罰資源本就匱乏之偏鄉機構。</w:t>
      </w:r>
    </w:p>
    <w:p>
      <w:pPr>
        <w:spacing w:after="200" w:line="360"/>
        <w:ind w:firstLine="431"/>
        <w:jc w:val="both"/>
      </w:pPr>
      <w:r>
        <w:rPr>
          <w:rFonts w:ascii="微軟正黑體" w:cs="微軟正黑體" w:eastAsia="微軟正黑體" w:hAnsi="微軟正黑體"/>
          <w:sz w:val="22"/>
          <w:szCs w:val="22"/>
        </w:rPr>
        <w:t xml:space="preserve">三、以Busuioc演算法課責四要件分析此案例</w:t>
      </w:r>
    </w:p>
    <w:p>
      <w:pPr>
        <w:spacing w:after="200" w:line="360"/>
        <w:ind w:firstLine="431"/>
        <w:jc w:val="both"/>
      </w:pPr>
      <w:r>
        <w:rPr>
          <w:rFonts w:ascii="微軟正黑體" w:cs="微軟正黑體" w:eastAsia="微軟正黑體" w:hAnsi="微軟正黑體"/>
          <w:sz w:val="22"/>
          <w:szCs w:val="22"/>
        </w:rPr>
        <w:t xml:space="preserve">以Busuioc演算法課責四要件逐一分析：其一，資訊揭露，應要求AI績效儀表板揭露其評分模型之訓練資料組成、各地方分支機構之資源稟賦差異是否已納入評分校正，以及預算需求預測模型之訓練資料來源與限制；其二，解釋與正當化，應對每一分支機構之績效分數提供可解釋因子，說明該分數多大程度反映「努力與治理能力」、多大程度反映「既有資源稟賦」，避免以單一分數掩蓋成因之複雜性；其三，審議與質詢，應建立偏鄉分支機構對績效分數與預算配置結果表達異議之正式管道，並由立法院、審計部或跨部會審議機制，得以質詢AI模型之評分假設與預算預測邏輯；其四，後果與矯正，一旦確認績效分數與預算配置機制存在系統性偏誤（如回饋迴路偏誤），應立即調整評分模型或預算科目編列邏輯，並針對已受影響之分支機構提出資源補償或優先扶助機制。</w:t>
      </w:r>
    </w:p>
    <w:p>
      <w:pPr>
        <w:spacing w:after="200" w:line="360"/>
        <w:ind w:firstLine="431"/>
        <w:jc w:val="both"/>
      </w:pPr>
      <w:r>
        <w:rPr>
          <w:rFonts w:ascii="微軟正黑體" w:cs="微軟正黑體" w:eastAsia="微軟正黑體" w:hAnsi="微軟正黑體"/>
          <w:sz w:val="22"/>
          <w:szCs w:val="22"/>
        </w:rPr>
        <w:t xml:space="preserve">四、以四鏈七審框架設計化解機制</w:t>
      </w:r>
    </w:p>
    <w:p>
      <w:pPr>
        <w:spacing w:after="200" w:line="360"/>
        <w:ind w:firstLine="431"/>
        <w:jc w:val="both"/>
      </w:pPr>
      <w:r>
        <w:rPr>
          <w:rFonts w:ascii="微軟正黑體" w:cs="微軟正黑體" w:eastAsia="微軟正黑體" w:hAnsi="微軟正黑體"/>
          <w:sz w:val="22"/>
          <w:szCs w:val="22"/>
        </w:rPr>
        <w:t xml:space="preserve">以四鏈七審框架逐一設計化解機制：其一，情境建構鏈，應於AI績效指標推薦系統設計階段，即納入資源稟賦差異之校正變數，避免訓練資料之歷史資源落差未經檢視即逕行複製為績效落差，對應資料代表性審計；其二，權威鏈，應明訂AI績效分數僅作為預算配置之參考因子之一，不得單獨決定預算爭取順位，最終配置須經預算委員會綜合考量資源稟賦、政策優先性與績效表現後決定，對應責任歸屬審計與民主課責審計；其三，理由鏈，應要求系統對每一分支機構之績效分數與預算建議，提供可回溯之理由說明，區分「努力可控因素」與「資源稟賦不可控因素」，對應理由說明審計與裁量邊界審計；其四，責任鏈，應明確劃分模型設計者、主計人員與部會首長之責任分工，若確認回饋迴路偏誤持續存在，應啟動模型全面複查與資源補償機制，對應責任歸屬審計與組織能力審計。</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AI輔助預算與績效治理系統之導入，本意在提升資源配置之理性與即時性，惟若未能正視「回饋迴路偏誤」之結構性風險，效率提升可能是以放大既有資源落差為代價。唯有透過Busuioc演算法課責四要件之完整揭露、解釋、審議與矯正機制，並搭配四鏈七審之治理框架，特別是明確保留預算委員會之最終配置權威，方能確保AI真正成為「用最少資源創造最大公共價值」之助力，而非成為系統性懲罰資源弱勢地區之隱性機制。</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須具體指出本案例可能違反之財務與績效治理價值（資源配置公平性、回饋迴路偏誤與績效馬太效應、SMART原則之公共性檢核），不可僅籠統稱「不公平」而未連結具體理論概念。</w:t>
      </w:r>
    </w:p>
    <w:p>
      <w:pPr>
        <w:pStyle w:val="ListParagraph"/>
        <w:numPr>
          <w:ilvl w:val="0"/>
          <w:numId w:val="2"/>
        </w:numPr>
        <w:spacing w:after="120" w:line="340"/>
      </w:pPr>
      <w:r>
        <w:rPr>
          <w:rFonts w:ascii="微軟正黑體" w:cs="微軟正黑體" w:eastAsia="微軟正黑體" w:hAnsi="微軟正黑體"/>
          <w:sz w:val="22"/>
          <w:szCs w:val="22"/>
        </w:rPr>
        <w:t xml:space="preserve">須運用Busuioc演算法課責四要件逐一分析（資訊揭露、解釋正當化、審議質詢、後果矯正），並具體對應本案例情境，不可僅提及要件名稱而無案例對應內容。</w:t>
      </w:r>
    </w:p>
    <w:p>
      <w:pPr>
        <w:pStyle w:val="ListParagraph"/>
        <w:numPr>
          <w:ilvl w:val="0"/>
          <w:numId w:val="2"/>
        </w:numPr>
        <w:spacing w:after="120" w:line="340"/>
      </w:pPr>
      <w:r>
        <w:rPr>
          <w:rFonts w:ascii="微軟正黑體" w:cs="微軟正黑體" w:eastAsia="微軟正黑體" w:hAnsi="微軟正黑體"/>
          <w:sz w:val="22"/>
          <w:szCs w:val="22"/>
        </w:rPr>
        <w:t xml:space="preserve">四鏈七審之化解機制設計須具體可行，尤須點出「AI績效分數僅作預算配置參考因子之一、最終配置權威應保留於預算委員會」之權威鏈核心設計。</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未能具體指出「回饋迴路偏誤」與「績效馬太效應」之概念，僅籠統稱「AI對偏鄉機構不公平」。</w:t>
      </w:r>
    </w:p>
    <w:p>
      <w:pPr>
        <w:pStyle w:val="ListParagraph"/>
        <w:numPr>
          <w:ilvl w:val="0"/>
          <w:numId w:val="2"/>
        </w:numPr>
        <w:spacing w:after="120" w:line="340"/>
      </w:pPr>
      <w:r>
        <w:rPr>
          <w:rFonts w:ascii="微軟正黑體" w:cs="微軟正黑體" w:eastAsia="微軟正黑體" w:hAnsi="微軟正黑體"/>
          <w:sz w:val="22"/>
          <w:szCs w:val="22"/>
        </w:rPr>
        <w:t xml:space="preserve">❌ Busuioc四要件套用生硬，僅提及要件名稱而未具體展開分析內容與案例對應。</w:t>
      </w:r>
    </w:p>
    <w:p>
      <w:pPr>
        <w:pStyle w:val="ListParagraph"/>
        <w:numPr>
          <w:ilvl w:val="0"/>
          <w:numId w:val="2"/>
        </w:numPr>
        <w:spacing w:after="120" w:line="340"/>
      </w:pPr>
      <w:r>
        <w:rPr>
          <w:rFonts w:ascii="微軟正黑體" w:cs="微軟正黑體" w:eastAsia="微軟正黑體" w:hAnsi="微軟正黑體"/>
          <w:sz w:val="22"/>
          <w:szCs w:val="22"/>
        </w:rPr>
        <w:t xml:space="preserve">❌ 治理機制設計空泛，未點出預算委員會應保留最終配置權威之核心設計，或未區分「努力可控」與「資源稟賦不可控」因素。</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可具體援引美國IRS演算法選案案例（鎖定EITC申報者導致黑人納稅人受稽查機率為其他族群3至5倍），說明「技術中立卻結果歧視」之治理教訓——演算法未必以敏感屬性為輸入變數，卻可能因替代變數（proxy variable，如本案例中的既有資源水準）產生系統性歧視效果，佐證本題治理機制設計之必要性。</w:t>
      </w:r>
    </w:p>
    <w:p>
      <w:pPr>
        <w:pStyle w:val="ListParagraph"/>
        <w:numPr>
          <w:ilvl w:val="0"/>
          <w:numId w:val="2"/>
        </w:numPr>
        <w:spacing w:after="120" w:line="340"/>
      </w:pPr>
      <w:r>
        <w:rPr>
          <w:rFonts w:ascii="微軟正黑體" w:cs="微軟正黑體" w:eastAsia="微軟正黑體" w:hAnsi="微軟正黑體"/>
          <w:sz w:val="22"/>
          <w:szCs w:val="22"/>
        </w:rPr>
        <w:t xml:space="preserve">可補充主權AI算力預算治理視角，說明若資源分配機制長期由AI績效分數主導，恐使算力與數位基礎設施投資亦向都會地區集中，形成「數位資源集中—績效分數集中—預算配置集中」之三重疊加落差，深化論述之系統性批判層次。</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主計總處試辦AI輔助歲出概算合理性檢核與數位部myData平台「AI服務績效三角」（服務效能、程序正義、分配正義）之實務發展，具體說明本案例化解機制與現行制度規劃之銜接可行性，展現理論與臺灣實務之整合深度。</w:t>
      </w:r>
    </w:p>
    <w:p>
      <w:pPr>
        <w:pStyle w:val="ListParagraph"/>
        <w:numPr>
          <w:ilvl w:val="0"/>
          <w:numId w:val="2"/>
        </w:numPr>
        <w:spacing w:after="120" w:line="340"/>
      </w:pPr>
      <w:r>
        <w:rPr>
          <w:rFonts w:ascii="微軟正黑體" w:cs="微軟正黑體" w:eastAsia="微軟正黑體" w:hAnsi="微軟正黑體"/>
          <w:sz w:val="22"/>
          <w:szCs w:val="22"/>
        </w:rPr>
        <w:t xml:space="preserve">可補充「量入為出」誡命遭「靜默置換」之概念，說明若不加以治理，AI財務績效系統可能使「用最少資源創造最大公共價值」悄悄置換為「唯AI可測量之效率分數才被看見」，那些難以被量化卻真實存在之地域正義考量反而被系統性邊緣化。</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查得7題直接標記本章「財務管理與績效管理」之申論真題，其中6題查證屬一般行政符合。107年-身三、108年-地三兩題理論內容完整可考，已於本章【申論解題】分別完整解析為題目一與題目二；107年-地三、108年-身三兩題雖一般行政符合，惟其共同考點「參與式預算」之具體理論內涵未見於本書母體教材涵蓋範圍，不逕行杜撰內容，僅列於下表供讀者查證；109年-原三、110年-高考兩題亦一般行政符合，因本章已擇二題完整解析，僅列出參照供讀者依本章理論架構自行練習；109年-警察一題經查證非屬一般行政符合，不列入完整解析。另108年-原三、110年-地三兩題與本章財務績效治理脈絡相關，已分別於第八章、第九章完整解析，於下表併列參照。</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700"/>
        <w:gridCol w:w="2726"/>
        <w:gridCol w:w="1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107年-地三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B</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參與式預算之定義及與傳統預算過程之差異</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⚠️一般行政符合，惟「參與式預算」具體理論內涵未見於本書母體教材涵蓋範圍，僅列存查，不列入完整解析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107年-身三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零基預算制度之起源、概念與運用</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✅一般行政符合，已於題目一完整解析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108年-原三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B</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提升服務品質：政府與企業之異同及配套作為</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✅一般行政符合，已於第八章完整解析，本章財務績效治理脈絡併列參照</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108年-地三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B</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公私部門績效管理機制設計與內外環境差異</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✅一般行政符合，已於題目二完整解析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108年-身三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參與式預算對政府預算資源配置及官僚組織之影響</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⚠️一般行政符合，惟「參與式預算」具體理論內涵未見於本書母體教材涵蓋範圍，僅列存查，不列入完整解析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109年-原三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績效管理工具舉例及其於政府機關推行不易之原因</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✅一般行政符合，惟本章已擇二題完整解析，讀者可依本章第三節績效管理工具與挑戰內容自行練習</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109年-警察</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非一般行政符合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平衡計分卡之內涵、構面及KPI舉例</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❌經查證非屬一般行政類科，不列入完整解析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110年-地三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政府績效不彰之原因及政府再造原則</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✅一般行政符合，已於第九章完整解析，本章財務績效治理脈絡併列參照</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110年-高考</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B</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績效管理是否必然帶來正面效益及其確保之道</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✅一般行政符合，惟本章已擇二題完整解析，讀者可依本章第三節績效弔詭與成功要件內容自行練習</w:t>
            </w:r>
          </w:p>
        </w:tc>
      </w:tr>
    </w:tbl>
    <w:p>
      <w:pPr>
        <w:spacing w:after="280" w:before="120"/>
        <w:jc w:val="center"/>
      </w:pPr>
      <w:r>
        <w:rPr>
          <w:rFonts w:ascii="微軟正黑體" w:cs="微軟正黑體" w:eastAsia="微軟正黑體" w:hAnsi="微軟正黑體"/>
          <w:i/>
          <w:iCs/>
          <w:color w:val="555555"/>
          <w:sz w:val="18"/>
          <w:szCs w:val="18"/>
        </w:rPr>
        <w:t xml:space="preserve">表23-K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財務行政的意涵、特性與政府財政收支</w:t>
            </w:r>
          </w:p>
          <w:p>
            <w:pPr>
              <w:spacing w:line="340"/>
              <w:jc w:val="both"/>
            </w:pPr>
            <w:r>
              <w:rPr>
                <w:rFonts w:ascii="微軟正黑體" w:cs="微軟正黑體" w:eastAsia="微軟正黑體" w:hAnsi="微軟正黑體"/>
                <w:sz w:val="21"/>
                <w:szCs w:val="21"/>
              </w:rPr>
              <w:t xml:space="preserve">財務行政三特性（基礎連環管制）→ 五大目的＋代間正義 → 四機關分工（主計╱財政╱央行╱審計）→ 收入五類型（賦稅規費營業公債罰鍰）→ Musgrave支出四功能（配置分配穩定成長）</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預算的本質、制度演進與週期</w:t>
            </w:r>
          </w:p>
          <w:p>
            <w:pPr>
              <w:spacing w:line="340"/>
              <w:jc w:val="both"/>
            </w:pPr>
            <w:r>
              <w:rPr>
                <w:rFonts w:ascii="微軟正黑體" w:cs="微軟正黑體" w:eastAsia="微軟正黑體" w:hAnsi="微軟正黑體"/>
                <w:sz w:val="21"/>
                <w:szCs w:val="21"/>
              </w:rPr>
              <w:t xml:space="preserve">預算七原則＋彈性四機制（追加特別一備二備）→ 預算制度七演進（項目複式績效PPBS零基目標基準成果）→ 預算週期四階段（籌編審議執行決算審計）</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績效管理的意涵、指標設計與管理工具</w:t>
            </w:r>
          </w:p>
          <w:p>
            <w:pPr>
              <w:spacing w:line="340"/>
              <w:jc w:val="both"/>
            </w:pPr>
            <w:r>
              <w:rPr>
                <w:rFonts w:ascii="微軟正黑體" w:cs="微軟正黑體" w:eastAsia="微軟正黑體" w:hAnsi="微軟正黑體"/>
                <w:sz w:val="21"/>
                <w:szCs w:val="21"/>
              </w:rPr>
              <w:t xml:space="preserve">3E+Q（經濟效率效能＋公平品質）→ 績效指標五類型（投入過程輸出結果影響）→ SMART╱SMARTER原則＋公共性檢核 → 績效工具四種（MBO/BSC/OKR/360度回饋）→ 公部門三重差異＋績效弔詭</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AI鑲嵌下的財務與績效管理：演算法預算、AI審計與雙軌演算法課責</w:t>
            </w:r>
          </w:p>
          <w:p>
            <w:pPr>
              <w:spacing w:line="340"/>
              <w:jc w:val="both"/>
            </w:pPr>
            <w:r>
              <w:rPr>
                <w:rFonts w:ascii="微軟正黑體" w:cs="微軟正黑體" w:eastAsia="微軟正黑體" w:hAnsi="微軟正黑體"/>
                <w:sz w:val="21"/>
                <w:szCs w:val="21"/>
              </w:rPr>
              <w:t xml:space="preserve">即時預測治理範式轉移 → 演算法預算（ZBB在AI時代重生）→ AI審計（全量掃描異常偵測）→ 回饋迴路偏誤與績效馬太效應 → Busuioc四要件（揭露解釋審議矯正）→ 三種權力移轉 → 四鏈七審 → IRS演算法選案╱監察院AI數位審計研習</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倉廩實而知禮節——財政充盈或績效分數再亮眼，若無法回答「為何而充盈、為誰而亮眼」，便只是一堆空洞的數字；唯有讓「錢從哪裡來」與「錢創造了什麼」都能被誠實回答，公共資源治理才算真正完整。</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2026-09-02T22:03:00.535Z</dcterms:created>
  <dcterms:modified xsi:type="dcterms:W3CDTF">2026-09-02T22:03:00.535Z</dcterms:modified>
</cp:coreProperties>
</file>

<file path=docProps/custom.xml><?xml version="1.0" encoding="utf-8"?>
<Properties xmlns="http://schemas.openxmlformats.org/officeDocument/2006/custom-properties" xmlns:vt="http://schemas.openxmlformats.org/officeDocument/2006/docPropsVTypes"/>
</file>