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國家考試行政學：從行政學理論到申論實戰</w:t>
      </w:r>
    </w:p>
    <w:p>
      <w:pPr>
        <w:spacing w:after="60"/>
        <w:jc w:val="center"/>
      </w:pPr>
      <w:r>
        <w:rPr>
          <w:rFonts w:ascii="微軟正黑體" w:cs="微軟正黑體" w:eastAsia="微軟正黑體" w:hAnsi="微軟正黑體"/>
          <w:b/>
          <w:bCs/>
          <w:color w:val="444444"/>
          <w:sz w:val="28"/>
          <w:szCs w:val="28"/>
        </w:rPr>
        <w:t xml:space="preserve">第二十二章　人事管理</w:t>
      </w:r>
    </w:p>
    <w:p>
      <w:pPr>
        <w:spacing w:after="400"/>
        <w:jc w:val="center"/>
      </w:pPr>
      <w:r>
        <w:rPr>
          <w:rFonts w:ascii="微軟正黑體" w:cs="微軟正黑體" w:eastAsia="微軟正黑體" w:hAnsi="微軟正黑體"/>
          <w:i/>
          <w:iCs/>
          <w:color w:val="777777"/>
          <w:sz w:val="22"/>
          <w:szCs w:val="22"/>
        </w:rPr>
        <w:t xml:space="preserve">適用：高考三級／普考　一般行政類科　行政學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本章定位</w:t>
            </w:r>
          </w:p>
          <w:p>
            <w:pPr>
              <w:spacing w:line="340"/>
              <w:jc w:val="both"/>
            </w:pPr>
            <w:r>
              <w:rPr>
                <w:rFonts w:ascii="微軟正黑體" w:cs="微軟正黑體" w:eastAsia="微軟正黑體" w:hAnsi="微軟正黑體"/>
                <w:sz w:val="21"/>
                <w:szCs w:val="21"/>
              </w:rPr>
              <w:t xml:space="preserve">本章對應大學教科書《行政學》第二十二章「人事管理：考銓制度、功績制與AI時代的人機共構人力」，為第五層「管理運作」之第三項構面，銜接第二十一章行政領導（回答「如何影響成員行動」）與第二十三章財務管理與績效管理，本章回答「以何種人力資本去帶領」。內容取材自該章八節母體教材（人事行政的基本意涵、人事行政體制與職位分類、甄補、訓練與能力發展、考績與課責、俸給保障與倫理、AI時代人事管理變異、AI治理專節）及AI鑲嵌後之權力位移專節，依國考「考點化、模組化、背誦＋應用」邏輯重新壓縮改寫為四節：第一節整合原第一、二節（人事行政意涵、功績制核心理念、我國人事體制、職位分類）；第二節整合原第三、四節（甄補：考選與任用、訓練與能力發展）；第三節整合原第五、六節（考績與課責、俸給保障與倫理）；第四節整合原第七、八節AI治理專節（AI時代人事管理四大功能變異、人機共構人力），為本章AI內容之集中呈現處。本語料庫（107-111年）中，本章查得3題經標記之申論真題：107年-原三「公務人員的權利類別及其內涵」（一般行政符合，難度A）、108年-身三「公務人員俸給制度設計原則及落實障礙」（一般行政符合，難度A）、109年-外交「中央政府機關總員額法之理論基礎及影響評估」（非一般行政符合，不列入完整解析）。前二題經查證屬一般行政符合且理論內容完整可考，分別列為題目一、題目二完整解析。依全書格式定版說明，題目一（A級）維持三種完整答案版本，題目二（B級）與題目三（C級）改為標準版參考答案＋【高分加分點】；AI鑲嵌內容集中於第四節與題目三C級綜合題。</w:t>
            </w:r>
          </w:p>
        </w:tc>
      </w:tr>
    </w:tbl>
    <w:p>
      <w:pPr>
        <w:spacing w:after="200"/>
      </w:pPr>
    </w:p>
    <w:p>
      <w:pPr>
        <w:spacing w:after="180" w:before="360"/>
      </w:pPr>
      <w:r>
        <w:rPr>
          <w:rFonts w:ascii="微軟正黑體" w:cs="微軟正黑體" w:eastAsia="微軟正黑體" w:hAnsi="微軟正黑體"/>
          <w:b/>
          <w:bCs/>
          <w:color w:val="1F4E79"/>
          <w:sz w:val="26"/>
          <w:szCs w:val="26"/>
        </w:rPr>
        <w:t xml:space="preserve">第一節　人事行政的基本意涵與我國人事體制、職位分類</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人事行政又稱考銓制度、公務員制度，係政府機關對其所需人員所為之選拔、任用、培育、評核、激勵與管理的一套法制與實務體系，範圍涵蓋考選、銓敘、任免、考績、級俸、升遷、褒獎、保障、撫卹、退休、訓練、福利與倫理等，主要以功績制下常任文官為對象，有別於基於政治任命、隨政黨進退之政務官。</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許南雄教授歸納人事制度四個要旨，構成人事哲學基礎：人才主義強調用人唯才、選賢舉能；人本主義強調滿足人員生理心理需求，發揮人性與潛能；合作主義強調團隊精神與協調整合；效率主義強調人盡其才、物盡其用，達致效能。此四要旨從工具理性擴展至價值理性，預示當代策略性人力資源管理以人為本、兼顧效率與公平之取向。功績制（Merit System）係現代人事制度之基石，包含才能與成就兩因素，主張以個人能力與工作表現為人事管理依據，取代恩賜制與分贓制之人身依附；美國1978年文官改革法揭示功績制九原則：才能取向與公開競爭、平等就業機會、同工同酬與績優獎賞、維護忠勤紀律、維持工作效能、獎優汰劣、健全訓練、防止徇私與政治迫害、保障吹哨者，其中「保障吹哨者」正是後續申訴救濟機制之制度根源。</w:t>
      </w:r>
    </w:p>
    <w:p>
      <w:pPr>
        <w:pStyle w:val="ListParagraph"/>
        <w:numPr>
          <w:ilvl w:val="0"/>
          <w:numId w:val="2"/>
        </w:numPr>
        <w:spacing w:after="120" w:line="340"/>
      </w:pPr>
      <w:r>
        <w:rPr>
          <w:rFonts w:ascii="微軟正黑體" w:cs="微軟正黑體" w:eastAsia="微軟正黑體" w:hAnsi="微軟正黑體"/>
          <w:sz w:val="22"/>
          <w:szCs w:val="22"/>
        </w:rPr>
        <w:t xml:space="preserve">西方文官制度史可依選任基礎分為四階段：恩賜制（君主恩寵授官）、贍養制（退休官員酬庸）、分贓制（政黨勝選酬庸支持者）與功績制（公開競爭、專業化），美國1883年《潘德頓法案》廢除分贓、設立文官委員會，1978年改革法進一步強化功績與彈性。我國人事機關設置反映人事權歸屬：若人事權隸屬於行政首長，稱為幕僚制；若獨立於行政權之外，稱獨立制或院外制；另依是否設獨立機構，可分部外制（行政部門外另設超然人事機構，不受行政首長指揮，如我國考試院）與部內制（各行政部門內設人事單位，人事權由行政首長掌理，如美國現行人事管理局）。我國屬獨立制與一條鞭制之結合：考試院掌理考試、銓敘、保障、撫卹、退休之執行與任免、考績、級俸、升遷、褒獎之法制事項，行政院人事行政總處則掌理人事政策規劃、執行與發展，許南雄教授因而稱之為「雙重首長制」。</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200"/>
        <w:gridCol w:w="4226"/>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要旨</w:t>
            </w:r>
          </w:p>
        </w:tc>
        <w:tc>
          <w:tcPr>
            <w:tcW w:type="dxa" w:w="3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內涵</w:t>
            </w:r>
          </w:p>
        </w:tc>
        <w:tc>
          <w:tcPr>
            <w:tcW w:type="dxa" w:w="4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當代轉化</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人才主義</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用人唯才、選賢任能</w:t>
            </w:r>
          </w:p>
        </w:tc>
        <w:tc>
          <w:tcPr>
            <w:tcW w:type="dxa" w:w="4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由資格導向轉向職能導向，重視職能模型</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人本主義</w:t>
            </w:r>
          </w:p>
        </w:tc>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滿足人員需求、發揮人性</w:t>
            </w:r>
          </w:p>
        </w:tc>
        <w:tc>
          <w:tcPr>
            <w:tcW w:type="dxa" w:w="4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員工協助方案、職場心理健康、工作生活平衡</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合作主義</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團隊精神與協調</w:t>
            </w:r>
          </w:p>
        </w:tc>
        <w:tc>
          <w:tcPr>
            <w:tcW w:type="dxa" w:w="4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跨域團隊、社群實務、公私協力人力網絡</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效率主義</w:t>
            </w:r>
          </w:p>
        </w:tc>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發揮最大潛力、零浪費</w:t>
            </w:r>
          </w:p>
        </w:tc>
        <w:tc>
          <w:tcPr>
            <w:tcW w:type="dxa" w:w="4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績效導向、證據導向之人事決策</w:t>
            </w:r>
          </w:p>
        </w:tc>
      </w:tr>
    </w:tbl>
    <w:p>
      <w:pPr>
        <w:spacing w:after="280" w:before="120"/>
        <w:jc w:val="center"/>
      </w:pPr>
      <w:r>
        <w:rPr>
          <w:rFonts w:ascii="微軟正黑體" w:cs="微軟正黑體" w:eastAsia="微軟正黑體" w:hAnsi="微軟正黑體"/>
          <w:i/>
          <w:iCs/>
          <w:color w:val="555555"/>
          <w:sz w:val="18"/>
          <w:szCs w:val="18"/>
        </w:rPr>
        <w:t xml:space="preserve">表22-A　人事行政制度四要旨</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我國職位分類制度採官等職等並立制（併立制），兼具品位分類制（以人為中心，依人員資格地位分等，官等可有官無職，具彈性與名位激勵效果，但易有官大職小）與職位分類制（以事為中心，依工作性質、難易、責任、資格條件區分職系職等職級，符合同工同酬、專業分工，但程序繁複、彈性低）兩者之長：官等分簡任（10-14職等，國家元首任命）、薦任（6-9職等，用人機關薦請總統任命）、委任（1-5職等，用人機關委任）；職等分為1至14等，為職責程度區分；職系為工作性質與學識相似之職務集合，計96職系；職組為性質相近職系集合，計43職組。此制兼顧激勵與專業，但亦有列等僵化、升遷塞車等問題，此為國考申論高頻考點。</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13"/>
        <w:gridCol w:w="3213"/>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功績制與人事四要旨</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功績制以公開競爭與客觀標準取代人身依附，確保常任文官體系之專業中立與連續性；四要旨從工具理性擴展至價值理性，兼顧效率與人本，提供人事制度設計之哲學基礎</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功績制之九原則在實務操作上易生形式化風險（如考試取才但訓練與晉升未能持續銜接才能發展）；四要旨之間亦可能存在張力，如效率主義與人本主義在人力精簡情境下未必相容</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雙重首長制（獨立制＋一條鞭制）與官職併立制</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獨立制確保考選銓敘之客觀公正，一條鞭制則兼顧各機關人事業務之機動配合；官職併立制兼具品位制之激勵彈性與職位制之專業分工，理論上取兩制之長</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雙重首長制之決策與執行協調成本較高，考試院與人事行政總處權責分工實務上易生摩擦；官職併立制實務上常見職務列等僵化、升遷塞車問題，未能完全避免兩制各自之限制</w:t>
            </w:r>
          </w:p>
        </w:tc>
      </w:tr>
    </w:tbl>
    <w:p>
      <w:pPr>
        <w:spacing w:after="280" w:before="120"/>
        <w:jc w:val="center"/>
      </w:pPr>
      <w:r>
        <w:rPr>
          <w:rFonts w:ascii="微軟正黑體" w:cs="微軟正黑體" w:eastAsia="微軟正黑體" w:hAnsi="微軟正黑體"/>
          <w:i/>
          <w:iCs/>
          <w:color w:val="555555"/>
          <w:sz w:val="18"/>
          <w:szCs w:val="18"/>
        </w:rPr>
        <w:t xml:space="preserve">表22-B　人事行政基礎理論之貢獻與限制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現代文官制度趨勢朝向民主化（平權、代表性官僚）、彈性化（多元進用、活化退休）、人性化與策略化發展，近年更因AI與數位治理而出現智慧官僚（Cyber-bureaucracy）之新脈動，此一轉型之完整意涵留待第四節AI治理專節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考試院與行政院人事行政總處共理人事之雙重首長制，於實務上展現為：考試院負責考選銓敘等法制事項之客觀公正把關，人事行政總處則負責人事政策之機動規劃與執行，兩者分工雖偶有協調成本，惟亦體現憲政分權對人事權公正性之制度性保障。</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①人事行政之定義與範圍；許南雄人事制度四要旨：人才主義╱人本主義╱合作主義╱效率主義</w:t>
            </w:r>
          </w:p>
          <w:p>
            <w:pPr>
              <w:spacing w:after="80" w:line="320"/>
            </w:pPr>
            <w:r>
              <w:rPr>
                <w:rFonts w:ascii="微軟正黑體" w:cs="微軟正黑體" w:eastAsia="微軟正黑體" w:hAnsi="微軟正黑體"/>
                <w:sz w:val="21"/>
                <w:szCs w:val="21"/>
              </w:rPr>
              <w:t xml:space="preserve">•　②功績制九原則，特別是「保障吹哨者」與其他八項原則之關係，及其與恩賜制╱贍養制╱分贓制之區辨</w:t>
            </w:r>
          </w:p>
          <w:p>
            <w:pPr>
              <w:spacing w:after="80" w:line="320"/>
            </w:pPr>
            <w:r>
              <w:rPr>
                <w:rFonts w:ascii="微軟正黑體" w:cs="微軟正黑體" w:eastAsia="微軟正黑體" w:hAnsi="微軟正黑體"/>
                <w:sz w:val="21"/>
                <w:szCs w:val="21"/>
              </w:rPr>
              <w:t xml:space="preserve">•　③部外制vs部內制、獨立制vs幕僚制之區辨；我國「雙重首長制」（考試院＋人事行政總處）之具體內涵</w:t>
            </w:r>
          </w:p>
          <w:p>
            <w:pPr>
              <w:spacing w:after="0" w:line="320"/>
            </w:pPr>
            <w:r>
              <w:rPr>
                <w:rFonts w:ascii="微軟正黑體" w:cs="微軟正黑體" w:eastAsia="微軟正黑體" w:hAnsi="微軟正黑體"/>
                <w:sz w:val="21"/>
                <w:szCs w:val="21"/>
              </w:rPr>
              <w:t xml:space="preserve">•　④官職併立制：品位分類制vs職位分類制之特性比較；官等（簡薦委）、職等（1-14等）、職系（96）、職組（43）</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人事四要旨口訣：才（人才主義）、人（人本主義）、合（作主義）、效（率主義）——「才人合效」四字訣</w:t>
            </w:r>
          </w:p>
          <w:p>
            <w:pPr>
              <w:spacing w:after="80" w:line="320"/>
            </w:pPr>
            <w:r>
              <w:rPr>
                <w:rFonts w:ascii="微軟正黑體" w:cs="微軟正黑體" w:eastAsia="微軟正黑體" w:hAnsi="微軟正黑體"/>
                <w:sz w:val="21"/>
                <w:szCs w:val="21"/>
              </w:rPr>
              <w:t xml:space="preserve">•　西方文官制度演進口訣：恩（賜制）、贍（養制）、分（贓制）、功（績制）——「恩贍分功」四字訣，由人身依附走向公開競爭</w:t>
            </w:r>
          </w:p>
          <w:p>
            <w:pPr>
              <w:spacing w:after="0" w:line="320"/>
            </w:pPr>
            <w:r>
              <w:rPr>
                <w:rFonts w:ascii="微軟正黑體" w:cs="微軟正黑體" w:eastAsia="微軟正黑體" w:hAnsi="微軟正黑體"/>
                <w:sz w:val="21"/>
                <w:szCs w:val="21"/>
              </w:rPr>
              <w:t xml:space="preserve">•　官等口訣：簡（任10-14職等）、薦（任6-9職等）、委（任1-5職等）——數字愈大官等愈高</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部外制╱部內制」（依是否另設獨立超然人事機構為判準，關注人事機關是否獨立於行政部門「之外」）與「獨立制╱幕僚制」（依人事權是否隸屬行政首長為判準，關注人事權「垂直隸屬關係」）常被考生視為同一組概念之不同稱呼——兩者判準角度略有差異但高度重疊：部外制通常即為獨立制（如我國考試院），部內制通常即為幕僚制（如美國人事管理局），惟嚴謹作答時仍應清楚交代兩種判準之分析角度，不可僅以單一名詞籠統帶過。</w:t>
            </w:r>
          </w:p>
          <w:p>
            <w:pPr>
              <w:spacing w:after="0" w:line="320"/>
            </w:pPr>
            <w:r>
              <w:rPr>
                <w:rFonts w:ascii="微軟正黑體" w:cs="微軟正黑體" w:eastAsia="微軟正黑體" w:hAnsi="微軟正黑體"/>
                <w:sz w:val="21"/>
                <w:szCs w:val="21"/>
              </w:rPr>
              <w:t xml:space="preserve">•　「品位分類制」（以人為中心，依人員資格地位分等，官等可有官無職）與「職位分類制」（以事為中心，依工作性質難易責任區分職系職等職級）常被考生誤認為我國僅採其中一種——我國實際採「官等職等並立制」，兼採兩制之長：官等（簡薦委）源自品位分類之邏輯，職等（1-14等）與職系職組則源自職位分類之邏輯，兩套邏輯並存於同一制度中，並非二選一，此為官職併立制之精髓所在。</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第二節　甄補：考選與任用、訓練與能力發展</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甄補（Staffing）包括招募、甄選與任用，為組織獲取人力之端口；訓練則是確保人力資本與組織目標同步之機制。兩者共同構成人力發展循環之前端：先透過甄補篩選出合適人才，再透過訓練持續強化其專業能力，使組織人力資本能與策略目標同步演進。</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公務員甄選基本原則為公開競爭、擇優錄取、平等機會、程序與實質公平：程序公平指公開競爭、考試方法多元與標準一致；實質公平指考試效度能預測未來績效，兼顧平權措施。我國採集中式考選權，由考選部主辦，採資格考與任用考結合，錄取者分發任用，考試分高等、普通、初等及特種考試（因應特殊機關性質或保障原住民族、身心障礙者就業權益），考試方法包括筆試、口試、心理測驗、體能測驗與實地測驗等，現代考選趨向職能導向，重視情境判斷測驗與結構式面試。任用指依法派代、送審、銓敘與任命之過程，依官等職等，兼顧學歷、考試等級與職系專長，強調因事擇人，任用來源有初任、升任、轉任、調任。</w:t>
      </w:r>
    </w:p>
    <w:p>
      <w:pPr>
        <w:pStyle w:val="ListParagraph"/>
        <w:numPr>
          <w:ilvl w:val="0"/>
          <w:numId w:val="2"/>
        </w:numPr>
        <w:spacing w:after="120" w:line="340"/>
      </w:pPr>
      <w:r>
        <w:rPr>
          <w:rFonts w:ascii="微軟正黑體" w:cs="微軟正黑體" w:eastAsia="微軟正黑體" w:hAnsi="微軟正黑體"/>
          <w:sz w:val="22"/>
          <w:szCs w:val="22"/>
        </w:rPr>
        <w:t xml:space="preserve">政務官與事務官區分是任用體制重要面向：政務官基於政治信任，職務具政策性、隨政黨進退、負政治責任；事務官基於功績考試，職務具管理與事務性、受身分保障、負行政與法律責任，二者在進入途徑、角色功能、責任類型、任期與退撫皆有差異，此區分旨在兼顧民主回應與行政專業。訓練方面，我國訓練主管機關為保訓會及其所屬國家文官學院，負責考試錄取人員訓練、升任官等訓練與高階文官培訓；公務人力發展學院負責行政院所屬人員之在職訓練，依訓練進修法，公務人員享有終身學習機會，包含國內外進修、數位學習與職務輪調。傳統訓練方法包含講授法、個案法、角色扮演、情境模擬與行動學習，評鑑採Kirkpatrick四層次：反應、學習、行為改變與成果，近年由訓練轉向學習，強調70-20-10法則（70%在職體驗、20%社群學習、10%正式課程）與微學習。</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1800"/>
        <w:gridCol w:w="1800"/>
        <w:gridCol w:w="40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官等</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職等</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任命權</w:t>
            </w:r>
          </w:p>
        </w:tc>
        <w:tc>
          <w:tcPr>
            <w:tcW w:type="dxa" w:w="40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任用資格來源</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簡任</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10-14職等</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總統任命</w:t>
            </w:r>
          </w:p>
        </w:tc>
        <w:tc>
          <w:tcPr>
            <w:tcW w:type="dxa" w:w="4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高考一級、一等特考升等</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薦任</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6-9職等</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總統任命（薦舉）</w:t>
            </w:r>
          </w:p>
        </w:tc>
        <w:tc>
          <w:tcPr>
            <w:tcW w:type="dxa" w:w="4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高考二、三級、二、三等特考</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委任</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1-5職等</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用人機關任命</w:t>
            </w:r>
          </w:p>
        </w:tc>
        <w:tc>
          <w:tcPr>
            <w:tcW w:type="dxa" w:w="4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普考、四等特考、初考</w:t>
            </w:r>
          </w:p>
        </w:tc>
      </w:tr>
    </w:tbl>
    <w:p>
      <w:pPr>
        <w:spacing w:after="280" w:before="120"/>
        <w:jc w:val="center"/>
      </w:pPr>
      <w:r>
        <w:rPr>
          <w:rFonts w:ascii="微軟正黑體" w:cs="微軟正黑體" w:eastAsia="微軟正黑體" w:hAnsi="微軟正黑體"/>
          <w:i/>
          <w:iCs/>
          <w:color w:val="555555"/>
          <w:sz w:val="18"/>
          <w:szCs w:val="18"/>
        </w:rPr>
        <w:t xml:space="preserve">表22-C　我國官等職等並立制對照</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政務官</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事務官</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進入方式</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政治任命</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考選及格</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角色</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政策決定、政務領導</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政策執行、專業管理</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政治責任為主</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行政與法律責任為主</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任期保障</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隨政黨進退，無身分保障</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受憲法保障，屆齡退休</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退撫</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適用政務人員退撫條例</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適用公務人員退撫法</w:t>
            </w:r>
          </w:p>
        </w:tc>
      </w:tr>
    </w:tbl>
    <w:p>
      <w:pPr>
        <w:spacing w:after="280" w:before="120"/>
        <w:jc w:val="center"/>
      </w:pPr>
      <w:r>
        <w:rPr>
          <w:rFonts w:ascii="微軟正黑體" w:cs="微軟正黑體" w:eastAsia="微軟正黑體" w:hAnsi="微軟正黑體"/>
          <w:i/>
          <w:iCs/>
          <w:color w:val="555555"/>
          <w:sz w:val="18"/>
          <w:szCs w:val="18"/>
        </w:rPr>
        <w:t xml:space="preserve">表22-D　政務官與事務官之比較</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政務官與事務官二分之核心命題，在於同時兼顧民主回應與行政專業兩項民主治理不可偏廢之價值：若僅有政務官而無事務官，政策執行將因人事更迭而喪失連續性與專業性；若僅有事務官而無政務官，行政體系將喪失對民意之政治回應性，此一區分與第二十一章Svara政治與行政領導二元模型互補協作之精神一脈相承，考生作答時可援引呼應，展現跨章節理論整合能力。</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13"/>
        <w:gridCol w:w="3213"/>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公開競爭甄選原則與政務官事務官二分</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公開競爭原則確保用人唯才、平等機會，落實功績制核心精神；政務官事務官二分兼顧政治回應與行政專業之制度設計，理論基礎清晰</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考試取才雖公平公正，惟筆試導向之考選方式，未必能有效預測未來實際工作績效與人際協調能力，實質公平之落實仍面臨效度爭議</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訓練體系與70-20-10法則</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多元訓練方法（講授個案角色扮演情境模擬行動學習）與Kirkpatrick四層次評鑑，提供系統性訓練成效檢視架構；70-20-10法則呼應成人學習理論，強調在職體驗之重要性</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訓練資源分配不均，基層人員在職體驗機會受限於工作負荷，難以充分實踐70%在職體驗之理想比例；訓練成效評鑑常止於反應層次（滿意度調查），行為改變與成果層次之長期追蹤較為缺乏</w:t>
            </w:r>
          </w:p>
        </w:tc>
      </w:tr>
    </w:tbl>
    <w:p>
      <w:pPr>
        <w:spacing w:after="280" w:before="120"/>
        <w:jc w:val="center"/>
      </w:pPr>
      <w:r>
        <w:rPr>
          <w:rFonts w:ascii="微軟正黑體" w:cs="微軟正黑體" w:eastAsia="微軟正黑體" w:hAnsi="微軟正黑體"/>
          <w:i/>
          <w:iCs/>
          <w:color w:val="555555"/>
          <w:sz w:val="18"/>
          <w:szCs w:val="18"/>
        </w:rPr>
        <w:t xml:space="preserve">表22-E　甄補與訓練體系之貢獻與限制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AI時代更需重視數位職能與AI素養，從工具使用提升至倫理反思與批判思考，此一轉化在傳統甄補與訓練體系中尚屬新興課題，其完整之四層次分級架構留待第四節深入闡述。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初任公務人員經考選部集中式考試錄取後，須至國家文官學院接受基礎訓練，通過後始得實授，此一「先訓後用」機制兼顧功績制之公開競爭精神與訓練體系對新進人員之專業養成，體現甄補與訓練兩大功能環環相扣之制度設計。</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①甄補基本原則：公開競爭╱擇優錄取╱平等機會；程序公平vs實質公平之區辨</w:t>
            </w:r>
          </w:p>
          <w:p>
            <w:pPr>
              <w:spacing w:after="80" w:line="320"/>
            </w:pPr>
            <w:r>
              <w:rPr>
                <w:rFonts w:ascii="微軟正黑體" w:cs="微軟正黑體" w:eastAsia="微軟正黑體" w:hAnsi="微軟正黑體"/>
                <w:sz w:val="21"/>
                <w:szCs w:val="21"/>
              </w:rPr>
              <w:t xml:space="preserve">•　②我國考試種類：高等╱普通╱初等╱特種考試；考選部集中式考選權</w:t>
            </w:r>
          </w:p>
          <w:p>
            <w:pPr>
              <w:spacing w:after="80" w:line="320"/>
            </w:pPr>
            <w:r>
              <w:rPr>
                <w:rFonts w:ascii="微軟正黑體" w:cs="微軟正黑體" w:eastAsia="微軟正黑體" w:hAnsi="微軟正黑體"/>
                <w:sz w:val="21"/>
                <w:szCs w:val="21"/>
              </w:rPr>
              <w:t xml:space="preserve">•　③政務官vs事務官：進入方式╱角色╱責任╱任期保障╱退撫五面向比較</w:t>
            </w:r>
          </w:p>
          <w:p>
            <w:pPr>
              <w:spacing w:after="0" w:line="320"/>
            </w:pPr>
            <w:r>
              <w:rPr>
                <w:rFonts w:ascii="微軟正黑體" w:cs="微軟正黑體" w:eastAsia="微軟正黑體" w:hAnsi="微軟正黑體"/>
                <w:sz w:val="21"/>
                <w:szCs w:val="21"/>
              </w:rPr>
              <w:t xml:space="preserve">•　④訓練體系：保訓會與國家文官學院╱公務人力發展學院；Kirkpatrick四層次評鑑；70-20-10法則</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程序公平vs實質公平一句話記憶：程序公平問「考試方法是否一致」，實質公平問「考出來的分數能不能預測未來表現」</w:t>
            </w:r>
          </w:p>
          <w:p>
            <w:pPr>
              <w:spacing w:after="80" w:line="320"/>
            </w:pPr>
            <w:r>
              <w:rPr>
                <w:rFonts w:ascii="微軟正黑體" w:cs="微軟正黑體" w:eastAsia="微軟正黑體" w:hAnsi="微軟正黑體"/>
                <w:sz w:val="21"/>
                <w:szCs w:val="21"/>
              </w:rPr>
              <w:t xml:space="preserve">•　Kirkpatrick四層次口訣：反（應）、學（習）、行（為改變）、成（果）——「反學行成」四字訣，層層遞進愈難衡量</w:t>
            </w:r>
          </w:p>
          <w:p>
            <w:pPr>
              <w:spacing w:after="0" w:line="320"/>
            </w:pPr>
            <w:r>
              <w:rPr>
                <w:rFonts w:ascii="微軟正黑體" w:cs="微軟正黑體" w:eastAsia="微軟正黑體" w:hAnsi="微軟正黑體"/>
                <w:sz w:val="21"/>
                <w:szCs w:val="21"/>
              </w:rPr>
              <w:t xml:space="preserve">•　70-20-10法則記憶：七成靠做中學、兩成靠身邊人、一成靠上課本——正式課程只是訓練的一小部分</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程序公平」（公開競爭、考試方法多元與標準一致，關注考試「過程」是否公正）與「實質公平」（考試效度能預測未來績效，兼顧平權措施，關注考試「結果」是否真正選出合適人才）常被考生視為同一件事——一場考試可能程序上完全公開透明（形式合格），但若考試內容與實際工作表現毫無關聯（效度不足），仍不符合實質公平之要求，兩者須同時滿足，缺一不可。</w:t>
            </w:r>
          </w:p>
          <w:p>
            <w:pPr>
              <w:spacing w:after="0" w:line="320"/>
            </w:pPr>
            <w:r>
              <w:rPr>
                <w:rFonts w:ascii="微軟正黑體" w:cs="微軟正黑體" w:eastAsia="微軟正黑體" w:hAnsi="微軟正黑體"/>
                <w:sz w:val="21"/>
                <w:szCs w:val="21"/>
              </w:rPr>
              <w:t xml:space="preserve">•　「訓練」（確保現職人力持續強化專業能力之在職機制，對象為已任用之公務人員）與「甄補」（組織獲取人力之端口，對象為尚未進入組織之應考人或候選人）常被考生混淆其適用階段——甄補發生於「進入組織之前」，訓練發生於「進入組織之後」，兩者雖同屬人力發展循環之環節，惟時間點與對象截然不同，作答時應清楚區分「選人」與「育才」兩個不同階段。</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第三節　考績與課責、俸給保障與倫理</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考績是人事管理核心，功能在獎優汰劣、回饋激勵，作為俸給、升遷、訓練與汰除依據；俸給則是公務員提供勞務之對價，具吸引、留才與激勵功能。兩者共同構成人力發展循環之激勵環節，並須以公務人員權利保障與倫理規範作為制度運作之正當性基礎。</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我國考績種類依考績法分為年終考績、另予考績與專案考績。年終考績綜合工作（65%）、操行（15%）、學識（10%）、才能（10%）評分，等第分甲（80分以上）、乙（70-79）、丙（60-69）、丁（60以下）；另予考績係年中任職未滿一年或重大功過者辦理；專案考績係有重大功過且影響機關績效者，一次記二大功或二大過，二大過即予免職。考績程序須經考績委員會初評與覆核，該會由機關首長指定與票選委員組成，任一性別不得低於三分之一，以確保民主參與與程序正義，年終考績結果須送銓敘部銓敘審定。考績救濟依保障法可提起申訴與再申訴，懲戒與懲處體系並行：懲處屬行政內部處分（申誡、記過等），懲戒則由監察院移送懲戒法院審理，處分包含免職、撤職、減俸、罰款等。</w:t>
      </w:r>
    </w:p>
    <w:p>
      <w:pPr>
        <w:pStyle w:val="ListParagraph"/>
        <w:numPr>
          <w:ilvl w:val="0"/>
          <w:numId w:val="2"/>
        </w:numPr>
        <w:spacing w:after="120" w:line="340"/>
      </w:pPr>
      <w:r>
        <w:rPr>
          <w:rFonts w:ascii="微軟正黑體" w:cs="微軟正黑體" w:eastAsia="微軟正黑體" w:hAnsi="微軟正黑體"/>
          <w:sz w:val="22"/>
          <w:szCs w:val="22"/>
        </w:rPr>
        <w:t xml:space="preserve">俸給決定因素包括經濟考量（社會總體生產力）、市場薪資比較、社會倫理（維持適當生活水準）及福利配套，公平性含內部衡平（同工同酬）、外部衡平（與市場行情相當）與個人衡平（符合個人績效）。我國俸給依俸給法分為本俸（各職等基本給與）、年功俸（高於本俸最高俸級之給與）與加給（職務加給、技術或專業加給、地域加給）。公務員與國家關係已由特別權力關係理論（當事人不平等、義務不確定、無懲戒救濟）轉向公法上職務關係，強調法律保留與基本權保障，我國保障法制包括身分保障（非依法律不得停職、免職）、財產權保障（俸給、退休金）、執行職務保障與救濟權（對違法處分得提復審、對不當管理措施得提申訴、再申訴），公務人員保障法第77至84條明定之申訴、再申訴程序，正是公務人員行使專業異議之法定管道。</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項目</w:t>
            </w:r>
          </w:p>
        </w:tc>
        <w:tc>
          <w:tcPr>
            <w:tcW w:type="dxa" w:w="6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制度設計</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種類</w:t>
            </w:r>
          </w:p>
        </w:tc>
        <w:tc>
          <w:tcPr>
            <w:tcW w:type="dxa" w:w="6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年終考績、另予考績、專案考績</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評分構面</w:t>
            </w:r>
          </w:p>
        </w:tc>
        <w:tc>
          <w:tcPr>
            <w:tcW w:type="dxa" w:w="6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工作65%、操行15%、學識10%、才能10%</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等第</w:t>
            </w:r>
          </w:p>
        </w:tc>
        <w:tc>
          <w:tcPr>
            <w:tcW w:type="dxa" w:w="6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甲等80分以上、乙等70-79、丙等60-69、丁等未滿60</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程序</w:t>
            </w:r>
          </w:p>
        </w:tc>
        <w:tc>
          <w:tcPr>
            <w:tcW w:type="dxa" w:w="6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主管評擬→考績委員會初核→機關長官覆核→銓敘部審定</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效果</w:t>
            </w:r>
          </w:p>
        </w:tc>
        <w:tc>
          <w:tcPr>
            <w:tcW w:type="dxa" w:w="6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甲等晉本俸一級並給與獎金；乙等以上始得升等；丙等留原俸；丁等免職；連續二年丙等或累積亦有汰除機制</w:t>
            </w:r>
          </w:p>
        </w:tc>
      </w:tr>
    </w:tbl>
    <w:p>
      <w:pPr>
        <w:spacing w:after="280" w:before="120"/>
        <w:jc w:val="center"/>
      </w:pPr>
      <w:r>
        <w:rPr>
          <w:rFonts w:ascii="微軟正黑體" w:cs="微軟正黑體" w:eastAsia="微軟正黑體" w:hAnsi="微軟正黑體"/>
          <w:i/>
          <w:iCs/>
          <w:color w:val="555555"/>
          <w:sz w:val="18"/>
          <w:szCs w:val="18"/>
        </w:rPr>
        <w:t xml:space="preserve">表22-F　公務人員考績制度要點</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公務人員權利保障體系之核心命題，在於透過身分保障、財產權保障、執行職務保障與救濟權四道防線，將公務員與國家之關係由傳統特別權力關係（義務不確定、無懲戒救濟）導正為現代公法上職務關係（強調法律保留與基本權保障），此一典範轉移使公務人員得以在依法行政之框架下，安心行使專業判斷而不必過度憂懼恣意懲處，申訴再申訴程序即為此一保障體系之具體法定實踐管道，此為本章題目一之核心命題所在。</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13"/>
        <w:gridCol w:w="3213"/>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考績制度與考績委員會合議機制</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多元評分構面（工作操行學識才能）兼顧績效與品德之綜合評量；考績委員會合議與性別比例規定，強化考績程序之民主參與與程序正義，降低單一主管主觀恣意之風險</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工作構面權重高達65%，操行學識才能等難以量化之面向權重偏低，考績結果易流於「重工作輕品德」之單一維度評量；甲乙丙丁四等第之區隔在實務上常見「甲等比例過高」之考績膨脹現象</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俸給公平性原則（內部外部個人衡平）與權利保障體系</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俸給三重公平性原則提供系統性檢驗框架，兼顧同工同酬市場行情與個人績效；權利保障體系（身分財產職務保障與救濟權）落實公法上職務關係之現代化典範，具憲政意義</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三重公平性原則在實務上常相互競合（如個人衡平強調績效差異，內部衡平強調同工同酬，兩者可能產生張力）；公部門俸給彈性化程度不及私部門，難以完全落實個人衡平</w:t>
            </w:r>
          </w:p>
        </w:tc>
      </w:tr>
    </w:tbl>
    <w:p>
      <w:pPr>
        <w:spacing w:after="280" w:before="120"/>
        <w:jc w:val="center"/>
      </w:pPr>
      <w:r>
        <w:rPr>
          <w:rFonts w:ascii="微軟正黑體" w:cs="微軟正黑體" w:eastAsia="微軟正黑體" w:hAnsi="微軟正黑體"/>
          <w:i/>
          <w:iCs/>
          <w:color w:val="555555"/>
          <w:sz w:val="18"/>
          <w:szCs w:val="18"/>
        </w:rPr>
        <w:t xml:space="preserve">表22-G　考績俸給與權利保障制度之貢獻與限制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勞動權方面，勞動三權（團結權、協商權、爭議權╱罷工權）在公部門受限：我國允許籌組公務人員協會，具準工會性質，有團結與協商權，但基於公共利益與政府運作不中斷，禁止罷工；平權措施（Affirmative Action）亦為人事多元重要環節，透過特種考試保障原住民族、身心障礙者就業，落實代表性官僚與社會公平，倫理面向包括行政中立、利益迴避與廉政，公務人員行政中立法規範政治活動限制，確保依法行政。</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公務人員保障法之申訴、再申訴程序自1996年施行以來已運作近三十年，是落實功績制九原則中「保障吹哨者」與「防止徇私」精神之核心機制；近年年功俸年資主義過重之爭議，亦促使人事行政總處試辦績效加給與彈性薪給，反映俸給制度隨社會期待動態調整之實務趨勢。</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①考績種類（年終、另予、專案）及其適用情形；考績評分四構面權重（工作65%操行15%學識10%才能10%）</w:t>
            </w:r>
          </w:p>
          <w:p>
            <w:pPr>
              <w:spacing w:after="80" w:line="320"/>
            </w:pPr>
            <w:r>
              <w:rPr>
                <w:rFonts w:ascii="微軟正黑體" w:cs="微軟正黑體" w:eastAsia="微軟正黑體" w:hAnsi="微軟正黑體"/>
                <w:sz w:val="21"/>
                <w:szCs w:val="21"/>
              </w:rPr>
              <w:t xml:space="preserve">•　②考績等第效果（甲乙丙丁）；考績委員會組成與性別比例規定</w:t>
            </w:r>
          </w:p>
          <w:p>
            <w:pPr>
              <w:spacing w:after="80" w:line="320"/>
            </w:pPr>
            <w:r>
              <w:rPr>
                <w:rFonts w:ascii="微軟正黑體" w:cs="微軟正黑體" w:eastAsia="微軟正黑體" w:hAnsi="微軟正黑體"/>
                <w:sz w:val="21"/>
                <w:szCs w:val="21"/>
              </w:rPr>
              <w:t xml:space="preserve">•　③俸給公平性三原則：內部衡平（同工同酬）╱外部衡平（市場行情）╱個人衡平（個人績效）</w:t>
            </w:r>
          </w:p>
          <w:p>
            <w:pPr>
              <w:spacing w:after="0" w:line="320"/>
            </w:pPr>
            <w:r>
              <w:rPr>
                <w:rFonts w:ascii="微軟正黑體" w:cs="微軟正黑體" w:eastAsia="微軟正黑體" w:hAnsi="微軟正黑體"/>
                <w:sz w:val="21"/>
                <w:szCs w:val="21"/>
              </w:rPr>
              <w:t xml:space="preserve">•　④特別權力關係vs公法上職務關係；公務人員權利保障四類型：身分保障╱財產權保障╱執行職務保障╱救濟權（申訴再申訴）</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考績評分四構面口訣：工（作65%）、操（行15%）、學（識10%）、才（能10%）——工作權重過半，其餘三項各佔一到一成半</w:t>
            </w:r>
          </w:p>
          <w:p>
            <w:pPr>
              <w:spacing w:after="80" w:line="320"/>
            </w:pPr>
            <w:r>
              <w:rPr>
                <w:rFonts w:ascii="微軟正黑體" w:cs="微軟正黑體" w:eastAsia="微軟正黑體" w:hAnsi="微軟正黑體"/>
                <w:sz w:val="21"/>
                <w:szCs w:val="21"/>
              </w:rPr>
              <w:t xml:space="preserve">•　俸給三重公平口訣：內（部衡平，同工同酬）、外（部衡平，市場行情）、個（人衡平，個人績效）——「內外個」三字訣</w:t>
            </w:r>
          </w:p>
          <w:p>
            <w:pPr>
              <w:spacing w:after="0" w:line="320"/>
            </w:pPr>
            <w:r>
              <w:rPr>
                <w:rFonts w:ascii="微軟正黑體" w:cs="微軟正黑體" w:eastAsia="微軟正黑體" w:hAnsi="微軟正黑體"/>
                <w:sz w:val="21"/>
                <w:szCs w:val="21"/>
              </w:rPr>
              <w:t xml:space="preserve">•　特別權力關係vs公法上職務關係一句話記憶：從前公務員告不贏機關，現在公務員可以依法申訴再申訴——這就是從特別權力關係走向公法上職務關係</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懲處」（行政內部處分，如申誡記過，由機關首長逕行為之）與「懲戒」（由監察院移送懲戒法院審理，處分包含免職撤職減俸罰款，須經司法程序）常被考生視為同一種處分之不同名稱——兩者發動主體與程序嚴謹度截然不同：懲處是機關內部行政程序，懲戒則須經監察院彈劾或糾舉後移送懲戒法院之準司法程序，處分之嚴重性與正當程序保障程度亦不相同。</w:t>
            </w:r>
          </w:p>
          <w:p>
            <w:pPr>
              <w:spacing w:after="0" w:line="320"/>
            </w:pPr>
            <w:r>
              <w:rPr>
                <w:rFonts w:ascii="微軟正黑體" w:cs="微軟正黑體" w:eastAsia="微軟正黑體" w:hAnsi="微軟正黑體"/>
                <w:sz w:val="21"/>
                <w:szCs w:val="21"/>
              </w:rPr>
              <w:t xml:space="preserve">•　「申訴、再申訴」（公務人員保障法規定，對「不當管理措施」或工作條件處置表達異議之救濟程序）與「復審」（對機關所為「違法或顯然不當之行政處分」如免職記過提起之救濟程序）常被考生混為一談——判準在於爭執標的性質：申訴再申訴針對之標的是管理措施（如工作分派、考核方式等相對輕微之管理行為），復審針對之標的則是具體行政處分（如免職記過等對公務人員身分財產有重大影響之處分），兩者救濟門檻與審查密度均有差異。</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第四節　AI鑲嵌下的人事管理：甄補訓練考績俸給的變異與人機共構人力</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生成式AI與代理式AI正重塑人事管理全流程，從招募到離退皆出現人機共構（Human-Machine Teaming）新典範。傳統人事以人為唯一人力資本，AI時代則出現「人類公務員＋AI代理人＋機器人流程自動化」之混合人力，職務分析需新增AI協作任務，職能模型需納入AI素養，此非單純工具導入，而是典範轉移。人事領域AI轉型之核心，不在技術導入，而在如何維繫功績制與公共價值。</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甄補的變異：AI履歷篩選、智慧面試分析與職能預測已廣泛運用於私部門，透過自然語言處理，AI可快速解析履歷、預測適職度，縮短招募時間，但公共部門須警惕演算法偏見——若訓練資料反映既有性別、年齡、族群偏誤，AI可能複製不平等，違反平等就業與功績制核心，公共部門趨勢為AI輔助但人類保留最終決定權（HITL），並公開AI使用與評分邏輯。訓練的變異：公務員AI素養可分四層次——第一層AI認知（理解AI基本原理與限制）、第二層AI使用（能操作生成式AI提升公文資料分析法規檢索效率）、第三層AI評估與批判（能辨識幻覺偏誤隱私風險，進行提示工程與查證）、第四層AI倫理與治理（能在公共價值脈絡下設計AI政策、進行風險評估與課責設計），此四層次對應一般同仁、主管、資訊人員與高階領導者之差異化訓練需求。</w:t>
      </w:r>
    </w:p>
    <w:p>
      <w:pPr>
        <w:pStyle w:val="ListParagraph"/>
        <w:numPr>
          <w:ilvl w:val="0"/>
          <w:numId w:val="2"/>
        </w:numPr>
        <w:spacing w:after="120" w:line="340"/>
      </w:pPr>
      <w:r>
        <w:rPr>
          <w:rFonts w:ascii="微軟正黑體" w:cs="微軟正黑體" w:eastAsia="微軟正黑體" w:hAnsi="微軟正黑體"/>
          <w:sz w:val="22"/>
          <w:szCs w:val="22"/>
        </w:rPr>
        <w:t xml:space="preserve">考績的變異：AI使持續性績效監測成為可能，惟演算法績效考核若設計不當，易導致量化迷思、寒蟬效應與選擇性服從，同仁僅完成可被演算法測量之工作，忽略難以量化但具公共價值之同理、斡旋與關懷，公共部門演算法管理須保留人類裁量空間，重視質性貢獻與團隊協作。俸給的變異：年功俸體現年資主義，AI時代須再思考技能導向，為吸引AI與資安人才，可研議AI加給（AI Allowance），針對具AI實務能力並應用於提升公共服務之人員，給予技術或專業加給，並建立技能認證機制，此需兼顧內部公平與財政可負擔，避免製造同工不同酬之相對剝奪感。理論回應上，人事四功能須重新詮釋：甄補採AI輔助但人類保留最終決定權，考績採人機共評、主觀與客觀並重，俸給研議AI加給與數位技能加給。</w:t>
      </w:r>
    </w:p>
    <w:p>
      <w:pPr>
        <w:spacing w:after="140" w:before="260"/>
      </w:pPr>
      <w:r>
        <w:rPr>
          <w:rFonts w:ascii="微軟正黑體" w:cs="微軟正黑體" w:eastAsia="微軟正黑體" w:hAnsi="微軟正黑體"/>
          <w:b/>
          <w:bCs/>
          <w:color w:val="2E5C8A"/>
          <w:sz w:val="23"/>
          <w:szCs w:val="23"/>
        </w:rPr>
        <w:t xml:space="preserve">三、主要學者與工具</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1800"/>
        <w:gridCol w:w="3200"/>
        <w:gridCol w:w="2426"/>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層次</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對象</w:t>
            </w:r>
          </w:p>
        </w:tc>
        <w:tc>
          <w:tcPr>
            <w:tcW w:type="dxa" w:w="3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核心能力</w:t>
            </w:r>
          </w:p>
        </w:tc>
        <w:tc>
          <w:tcPr>
            <w:tcW w:type="dxa" w:w="24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評量方式</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第一層：AI認知</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全體公務員</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理解AI原理、能力界限、幻覺與偏見</w:t>
            </w:r>
          </w:p>
        </w:tc>
        <w:tc>
          <w:tcPr>
            <w:tcW w:type="dxa" w:w="2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數位素養檢測、基礎課程時數</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第二層：AI使用</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一般公務員、承辦人</w:t>
            </w:r>
          </w:p>
        </w:tc>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提示工程、公文輔助、資料視覺化、RPA</w:t>
            </w:r>
          </w:p>
        </w:tc>
        <w:tc>
          <w:tcPr>
            <w:tcW w:type="dxa" w:w="2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實作演練、工作流程改善提案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第三層：AI評估與批判</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主管與專業人員</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驗證AI輸出、風險辨識、資料品質判斷</w:t>
            </w:r>
          </w:p>
        </w:tc>
        <w:tc>
          <w:tcPr>
            <w:tcW w:type="dxa" w:w="2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個案審查、風險評估報告</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第四層：AI倫理與治理</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高階主管、AI專案負責人</w:t>
            </w:r>
          </w:p>
        </w:tc>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AIA、治理框架設計、法制調適</w:t>
            </w:r>
          </w:p>
        </w:tc>
        <w:tc>
          <w:tcPr>
            <w:tcW w:type="dxa" w:w="2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政策影響評估、演算法稽核</w:t>
            </w:r>
          </w:p>
        </w:tc>
      </w:tr>
    </w:tbl>
    <w:p>
      <w:pPr>
        <w:spacing w:after="280" w:before="120"/>
        <w:jc w:val="center"/>
      </w:pPr>
      <w:r>
        <w:rPr>
          <w:rFonts w:ascii="微軟正黑體" w:cs="微軟正黑體" w:eastAsia="微軟正黑體" w:hAnsi="微軟正黑體"/>
          <w:i/>
          <w:iCs/>
          <w:color w:val="555555"/>
          <w:sz w:val="18"/>
          <w:szCs w:val="18"/>
        </w:rPr>
        <w:t xml:space="preserve">表22-H　公務員AI素養四層次</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AI鑲嵌治理過程中存在三種權力移轉：情境建構權（P1）延伸——AI履歷篩選系統決定哪些候選人「進入視野」、哪些在第一關就被過濾，若訓練資料反映既有偏誤，系統實質上重新定義了「誰算是合格人才」，而這項定義權往往不在人事主管手中，而在演算法設計團隊與訓練資料的歷史軌跡中；行政裁量權（P2）移轉——當AI生成之績效評分或人才排序被主管例行性採納，原本應由人類考績委員會承擔之質性判斷，可能在時間壓力下退化為對演算法輸出的形式性簽核，選擇性服從與寒蟬效應由此而生；公權力影響力（P3）擴散——設計履歷篩選演算法與績效評分模型之技術團隊或外部供應商，對「誰被認定為稱職公務員」擁有實質影響力，卻通常不受公務人員保障法申訴再申訴機制之直接拘束，形成課責空隙。三種結構性效應交織下，本章尤須警惕功績制核心價值遭「靜默置換」之風險：功績制原意是以公開競爭與客觀標準取代人身依附，但若演算法評分標準不透明、訓練資料未經公平性稽核，「唯才是用」可能被悄悄置換為「唯演算法可測量者是用」，那些難以被量化的同理心、跨部門協調能力與價值判斷，反而在AI評分時代被系統性低估。</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13"/>
        <w:gridCol w:w="3213"/>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AI素養四層次與人機共構人力模式</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以認知使用評估批判倫理治理四層次，提供差異化訓練之系統性框架，兼顧全體公務員基礎素養與高階主管治理能力之不同需求；人機共構模式精準描繪甄補訓練考績俸給四大功能之變異全貌</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四層次訓練之落實高度仰賴各機關訓練資源與意願，基層機關可能僅止於第一二層之基礎課程，第三四層之評估批判與治理能力訓練資源相對匱乏</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AI治理工具箱（AIA╱模型卡╱演算法審計╱HITL╱XAI）</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五項工具涵蓋事前評估（AIA）、透明揭露（模型卡）、事後監督（演算法審計）、人類保留（HITL）與決策可解釋性（XAI），構成完整之治理工具鏈，回應功績制核心價值之維護需求</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各項工具之落實仍缺乏統一之法制強制力與稽核標準，不同機關導入AI人事工具之治理成熟度落差甚大，工具箱之存在不必然等同於治理實效之落實</w:t>
            </w:r>
          </w:p>
        </w:tc>
      </w:tr>
    </w:tbl>
    <w:p>
      <w:pPr>
        <w:spacing w:after="280" w:before="120"/>
        <w:jc w:val="center"/>
      </w:pPr>
      <w:r>
        <w:rPr>
          <w:rFonts w:ascii="微軟正黑體" w:cs="微軟正黑體" w:eastAsia="微軟正黑體" w:hAnsi="微軟正黑體"/>
          <w:i/>
          <w:iCs/>
          <w:color w:val="555555"/>
          <w:sz w:val="18"/>
          <w:szCs w:val="18"/>
        </w:rPr>
        <w:t xml:space="preserve">表22-I　AI時代人事管理架構之貢獻與限制</w:t>
      </w:r>
    </w:p>
    <w:p>
      <w:pPr>
        <w:spacing w:after="140" w:before="260"/>
      </w:pPr>
      <w:r>
        <w:rPr>
          <w:rFonts w:ascii="微軟正黑體" w:cs="微軟正黑體" w:eastAsia="微軟正黑體" w:hAnsi="微軟正黑體"/>
          <w:b/>
          <w:bCs/>
          <w:color w:val="2E5C8A"/>
          <w:sz w:val="23"/>
          <w:szCs w:val="23"/>
        </w:rPr>
        <w:t xml:space="preserve">六、當代發展</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826"/>
        <w:gridCol w:w="2600"/>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本章對應內容</w:t>
            </w:r>
          </w:p>
        </w:tc>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情境建構鏈</w:t>
            </w:r>
          </w:p>
        </w:tc>
        <w:tc>
          <w:tcPr>
            <w:tcW w:type="dxa" w:w="4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AI履歷篩選系統標記哪些候選人值得進一步審查，哪些條件被系統性排除</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資料代表性審計、隱私與資安審計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權威鏈</w:t>
            </w:r>
          </w:p>
        </w:tc>
        <w:tc>
          <w:tcPr>
            <w:tcW w:type="dxa" w:w="4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AI生成之甄補建議或績效評分是否僭越考績委員會與甄選委員會之正式權威</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責任歸屬審計、民主課責審計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理由鏈</w:t>
            </w:r>
          </w:p>
        </w:tc>
        <w:tc>
          <w:tcPr>
            <w:tcW w:type="dxa" w:w="4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AI評分之理由能否回溯至可理解之依據，而非僅呈現分數本身</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責任鏈</w:t>
            </w:r>
          </w:p>
        </w:tc>
        <w:tc>
          <w:tcPr>
            <w:tcW w:type="dxa" w:w="4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甄補或考績爭議發生時，究責對象是招募設計者、模型供應商抑或用人主管</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表22-J　人事管理階段四鏈七審應用</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美國2023年EEOC v. iTutorGroup案為AI甄選歧視首宗聯邦和解案，該公司篩選軟體被設定自動拒絕特定年齡以上之應徵者，直接違反反年齡就業歧視法，此案提醒歧視性篩選邏輯未必總是難以察覺的黑箱問題，有時恰恰是甄選流程設計者將既有偏見直接編碼為看似中立的技術規則，為我國引進AI甄選工具提供重要前車之鑑。我國方面，人事行政總處已導入AI於人才資料庫媒合與人事業務問答機器人，試辦人事小幫手協助法規檢索；2023年行政院發布《行政院及所屬機關使用生成式AI參考指引》，要求保密、公開揭露、人工覆核與禁止輸入機敏未公開資料，該指引亦適用於人事場域；國家文官學院並將生成式AI納入中高階培訓。惟公務人員保障法申訴再申訴機制在AI考績時代仍面臨新的檢驗：當機關導入演算法輔助之績效監測儀表板作為考績評分依據時，現行申訴再申訴制度是否具備審查演算法決策依據之能力，保訓會審理此類申訴時是否有管道要求機關提出模型卡或評分邏輯說明，法定救濟管道的存在，不必然等於救濟管道對演算法決策具備實質審查能力，兩者之間仍有待制度銜接。</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①人機共構（Human-Machine Teaming）：人類公務員＋AI代理人＋RPA之混合人力典範</w:t>
            </w:r>
          </w:p>
          <w:p>
            <w:pPr>
              <w:spacing w:after="80" w:line="320"/>
            </w:pPr>
            <w:r>
              <w:rPr>
                <w:rFonts w:ascii="微軟正黑體" w:cs="微軟正黑體" w:eastAsia="微軟正黑體" w:hAnsi="微軟正黑體"/>
                <w:sz w:val="21"/>
                <w:szCs w:val="21"/>
              </w:rPr>
              <w:t xml:space="preserve">•　②公務員AI素養四層次：AI認知╱AI使用╱AI評估與批判╱AI倫理與治理</w:t>
            </w:r>
          </w:p>
          <w:p>
            <w:pPr>
              <w:spacing w:after="80" w:line="320"/>
            </w:pPr>
            <w:r>
              <w:rPr>
                <w:rFonts w:ascii="微軟正黑體" w:cs="微軟正黑體" w:eastAsia="微軟正黑體" w:hAnsi="微軟正黑體"/>
                <w:sz w:val="21"/>
                <w:szCs w:val="21"/>
              </w:rPr>
              <w:t xml:space="preserve">•　③演算法考績風險：量化迷思╱寒蟬效應╱選擇性服從；AI加給（AI Allowance）之研議方向</w:t>
            </w:r>
          </w:p>
          <w:p>
            <w:pPr>
              <w:spacing w:after="80" w:line="320"/>
            </w:pPr>
            <w:r>
              <w:rPr>
                <w:rFonts w:ascii="微軟正黑體" w:cs="微軟正黑體" w:eastAsia="微軟正黑體" w:hAnsi="微軟正黑體"/>
                <w:sz w:val="21"/>
                <w:szCs w:val="21"/>
              </w:rPr>
              <w:t xml:space="preserve">•　④三種權力移轉：P1情境建構權（履歷篩選系統定義合格人才）╱P2行政裁量權（考績委員會退化為形式簽核）╱P3公權力影響力（演算法設計團隊不受申訴機制拘束）</w:t>
            </w:r>
          </w:p>
          <w:p>
            <w:pPr>
              <w:spacing w:after="0" w:line="320"/>
            </w:pPr>
            <w:r>
              <w:rPr>
                <w:rFonts w:ascii="微軟正黑體" w:cs="微軟正黑體" w:eastAsia="微軟正黑體" w:hAnsi="微軟正黑體"/>
                <w:sz w:val="21"/>
                <w:szCs w:val="21"/>
              </w:rPr>
              <w:t xml:space="preserve">•　⑤核心結構性效應「功績制核心價值之靜默置換」；EEOC v. iTutorGroup案例╱我國生成式AI參考指引與保障法申訴機制適用性案例</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AI素養四層次口訣：認（知）、使（用）、評（估批判）、治（理）——「認使評治」四字訣，層層遞進對應不同職級</w:t>
            </w:r>
          </w:p>
          <w:p>
            <w:pPr>
              <w:spacing w:after="80" w:line="320"/>
            </w:pPr>
            <w:r>
              <w:rPr>
                <w:rFonts w:ascii="微軟正黑體" w:cs="微軟正黑體" w:eastAsia="微軟正黑體" w:hAnsi="微軟正黑體"/>
                <w:sz w:val="21"/>
                <w:szCs w:val="21"/>
              </w:rPr>
              <w:t xml:space="preserve">•　演算法考績風險口訣：量（化迷思）、寒（蟬效應）、選（擇性服從）——「量寒選」三字訣</w:t>
            </w:r>
          </w:p>
          <w:p>
            <w:pPr>
              <w:spacing w:after="0" w:line="320"/>
            </w:pPr>
            <w:r>
              <w:rPr>
                <w:rFonts w:ascii="微軟正黑體" w:cs="微軟正黑體" w:eastAsia="微軟正黑體" w:hAnsi="微軟正黑體"/>
                <w:sz w:val="21"/>
                <w:szCs w:val="21"/>
              </w:rPr>
              <w:t xml:space="preserve">•　功績制靜默置換一句話記憶：從前唯才是用，現在悄悄變成唯演算法可測量者是用</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選擇性服從」（人事管理脈絡下，同仁僅完成可被演算法測量之工作，迴避難以量化但具公共價值之貢獻，屬對考績評分機制之行為調適）與「寒蟬效應」（同仁因擔憂演算法監測或究責而不敢誠實回報問題或表達異議，屬對申訴表達之心理抑制）常被考生視為同一現象——前者是「行為上只做被看見的事」，後者是「心理上不敢說出真話」，兩者雖同為演算法績效考核設計不當之後果，機制與作用層面不同，作答時應分別舉例說明。</w:t>
            </w:r>
          </w:p>
          <w:p>
            <w:pPr>
              <w:spacing w:after="0" w:line="320"/>
            </w:pPr>
            <w:r>
              <w:rPr>
                <w:rFonts w:ascii="微軟正黑體" w:cs="微軟正黑體" w:eastAsia="微軟正黑體" w:hAnsi="微軟正黑體"/>
                <w:sz w:val="21"/>
                <w:szCs w:val="21"/>
              </w:rPr>
              <w:t xml:space="preserve">•　「AI影響評估（AIA）」（AI系統導入「前」對資料來源偏見隱私與救濟途徑進行之事前風險評估，屬預防性工具）與「演算法審計」（由內部或第三方對已上線之AI系統「持續」進行公平性與安全性之定期查核，屬監督性工具）常被考生視為同一項治理工具——AIA是「上線前的健檢」，演算法審計是「上線後的定期複查」，兩者是治理工具箱中互補而非替代之環節，缺一不可，僅做AIA而無後續審計，無法確保AI系統長期運作仍符合公平性要求。</w:t>
            </w:r>
          </w:p>
        </w:tc>
      </w:tr>
    </w:tbl>
    <w:p>
      <w:pPr>
        <w:spacing w:after="260"/>
      </w:pPr>
    </w:p>
    <w:p>
      <w:pPr>
        <w:spacing w:after="200" w:before="400"/>
      </w:pPr>
      <w:r>
        <w:rPr>
          <w:rFonts w:ascii="微軟正黑體" w:cs="微軟正黑體" w:eastAsia="微軟正黑體" w:hAnsi="微軟正黑體"/>
          <w:b/>
          <w:bCs/>
          <w:sz w:val="32"/>
          <w:szCs w:val="32"/>
        </w:rPr>
        <w:t xml:space="preserve">【申論解題】</w:t>
      </w:r>
    </w:p>
    <w:p>
      <w:pPr>
        <w:spacing w:after="200" w:line="360"/>
        <w:ind w:firstLine="431"/>
        <w:jc w:val="both"/>
      </w:pPr>
      <w:r>
        <w:rPr>
          <w:rFonts w:ascii="微軟正黑體" w:cs="微軟正黑體" w:eastAsia="微軟正黑體" w:hAnsi="微軟正黑體"/>
          <w:sz w:val="22"/>
          <w:szCs w:val="22"/>
        </w:rPr>
        <w:t xml:space="preserve">本章語料庫（107-111年）查得3題經標記之申論真題：107年-原三「公務人員的權利類別及其內涵」（一般行政符合，難度A），列為題目一完整解析；108年-身三「公務人員俸給制度設計原則及落實障礙」（一般行政符合，難度A），列為題目二完整解析；109年-外交「中央政府機關總員額法之理論基礎及影響評估」（非一般行政符合），不列入完整解析。題目三為依本章第四節AI治理內容自行設計之模擬命題。依全書格式定版說明，題目一（A級）提供基本得分版、標準版、高分版三種完整答案；題目二（B級）與題目三（C級）改為提供【參考答案·標準版】單一版本，並於【得分關鍵】【常見失分】之後新增【高分加分點】。</w:t>
      </w:r>
    </w:p>
    <w:p>
      <w:pPr>
        <w:spacing w:after="180" w:before="360"/>
      </w:pPr>
      <w:r>
        <w:rPr>
          <w:rFonts w:ascii="微軟正黑體" w:cs="微軟正黑體" w:eastAsia="微軟正黑體" w:hAnsi="微軟正黑體"/>
          <w:b/>
          <w:bCs/>
          <w:color w:val="1F4E79"/>
          <w:sz w:val="26"/>
          <w:szCs w:val="26"/>
        </w:rPr>
        <w:t xml:space="preserve">題目一（A級基本題·107年公務人員特種考試原住民族三等考試）</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本題為107年公務人員特種考試原住民族三等考試真實歷屆試題，經查證其類科（一般行政）符合本書「一般行政」類科適用範圍，屬本章對應之真實申論題。</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「試申論公務人員的權利類別及其內涵為何？並以相關公務人力法制舉例說明之。（25分）」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列舉＋內涵說明＋法制舉例題」，考生須依序完成：列舉公務人員權利類別、說明各類別之具體內涵、以相關公務人力法制舉例佐證——若僅列出權利名稱而未逐一說明內涵，或未能援引具體法制條文或制度舉例，均屬答題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公務人員權利類別（身分╱財產權╱執行職務╱救濟權）＋ 特別權力關係轉向公法上職務關係 ＋ 相關人事法制舉例。</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一、前言：公務員不是「特別犧牲」的一群人，而是受法律保障的職務關係當事人</w:t>
      </w:r>
    </w:p>
    <w:p>
      <w:pPr>
        <w:pStyle w:val="ListParagraph"/>
        <w:numPr>
          <w:ilvl w:val="0"/>
          <w:numId w:val="2"/>
        </w:numPr>
        <w:spacing w:after="120" w:line="340"/>
      </w:pPr>
      <w:r>
        <w:rPr>
          <w:rFonts w:ascii="微軟正黑體" w:cs="微軟正黑體" w:eastAsia="微軟正黑體" w:hAnsi="微軟正黑體"/>
          <w:sz w:val="22"/>
          <w:szCs w:val="22"/>
        </w:rPr>
        <w:t xml:space="preserve">二、公務人員權利之理論基礎：從特別權力關係到公法上職務關係</w:t>
      </w:r>
    </w:p>
    <w:p>
      <w:pPr>
        <w:pStyle w:val="ListParagraph"/>
        <w:numPr>
          <w:ilvl w:val="0"/>
          <w:numId w:val="2"/>
        </w:numPr>
        <w:spacing w:after="120" w:line="340"/>
      </w:pPr>
      <w:r>
        <w:rPr>
          <w:rFonts w:ascii="微軟正黑體" w:cs="微軟正黑體" w:eastAsia="微軟正黑體" w:hAnsi="微軟正黑體"/>
          <w:sz w:val="22"/>
          <w:szCs w:val="22"/>
        </w:rPr>
        <w:t xml:space="preserve">三、公務人員權利之類別及其內涵與法制舉例</w:t>
      </w:r>
    </w:p>
    <w:p>
      <w:pPr>
        <w:pStyle w:val="ListParagraph"/>
        <w:numPr>
          <w:ilvl w:val="0"/>
          <w:numId w:val="2"/>
        </w:numPr>
        <w:spacing w:after="120" w:line="340"/>
      </w:pPr>
      <w:r>
        <w:rPr>
          <w:rFonts w:ascii="微軟正黑體" w:cs="微軟正黑體" w:eastAsia="微軟正黑體" w:hAnsi="微軟正黑體"/>
          <w:sz w:val="22"/>
          <w:szCs w:val="22"/>
        </w:rPr>
        <w:t xml:space="preserve">四、結論</w:t>
      </w:r>
    </w:p>
    <w:p>
      <w:pPr>
        <w:spacing w:after="100" w:before="160"/>
      </w:pPr>
      <w:r>
        <w:rPr>
          <w:rFonts w:ascii="微軟正黑體" w:cs="微軟正黑體" w:eastAsia="微軟正黑體" w:hAnsi="微軟正黑體"/>
          <w:b/>
          <w:bCs/>
          <w:color w:val="444444"/>
          <w:sz w:val="21"/>
          <w:szCs w:val="21"/>
        </w:rPr>
        <w:t xml:space="preserve">【參考答案·基本得分版】（約500-700字，考場時間不夠時至少拿到基本分）</w:t>
      </w:r>
    </w:p>
    <w:p>
      <w:pPr>
        <w:spacing w:after="200" w:line="360"/>
        <w:ind w:firstLine="431"/>
        <w:jc w:val="both"/>
      </w:pPr>
      <w:r>
        <w:rPr>
          <w:rFonts w:ascii="微軟正黑體" w:cs="微軟正黑體" w:eastAsia="微軟正黑體" w:hAnsi="微軟正黑體"/>
          <w:sz w:val="22"/>
          <w:szCs w:val="22"/>
        </w:rPr>
        <w:t xml:space="preserve">公務員與國家之關係已由特別權力關係理論（當事人不平等、義務不確定、無懲戒救濟）轉向公法上職務關係，強調法律保留與基本權保障，公務人員之權利即在此一典範轉移下逐步法制化。</w:t>
      </w:r>
    </w:p>
    <w:p>
      <w:pPr>
        <w:spacing w:after="200" w:line="360"/>
        <w:ind w:firstLine="431"/>
        <w:jc w:val="both"/>
      </w:pPr>
      <w:r>
        <w:rPr>
          <w:rFonts w:ascii="微軟正黑體" w:cs="微軟正黑體" w:eastAsia="微軟正黑體" w:hAnsi="微軟正黑體"/>
          <w:sz w:val="22"/>
          <w:szCs w:val="22"/>
        </w:rPr>
        <w:t xml:space="preserve">公務人員權利類別可歸納為四類：其一，身分保障，非依法律不得停職、免職，例如公務人員任用法對免職事由之法定限制；其二，財產權保障，包括俸給與退休金請求權，例如公務人員俸給法、公務人員退休資遣撫卹法之相關規定；其三，執行職務保障，公務人員依法執行職務之行為受國家保障，非有法定原因不受追究；其四，救濟權，對違法處分得提復審，對不當管理措施得提申訴、再申訴，依據公務人員保障法第77至84條規定。</w:t>
      </w:r>
    </w:p>
    <w:p>
      <w:pPr>
        <w:spacing w:after="200" w:line="360"/>
        <w:ind w:firstLine="431"/>
        <w:jc w:val="both"/>
      </w:pPr>
      <w:r>
        <w:rPr>
          <w:rFonts w:ascii="微軟正黑體" w:cs="微軟正黑體" w:eastAsia="微軟正黑體" w:hAnsi="微軟正黑體"/>
          <w:sz w:val="22"/>
          <w:szCs w:val="22"/>
        </w:rPr>
        <w:t xml:space="preserve">此四類權利共同構成公務人員之完整保障體系，使公務人員得以在依法行政框架下安心執行職務，不必過度憂懼恣意懲處。</w:t>
      </w:r>
    </w:p>
    <w:p>
      <w:pPr>
        <w:spacing w:after="100" w:before="160"/>
      </w:pPr>
      <w:r>
        <w:rPr>
          <w:rFonts w:ascii="微軟正黑體" w:cs="微軟正黑體" w:eastAsia="微軟正黑體" w:hAnsi="微軟正黑體"/>
          <w:b/>
          <w:bCs/>
          <w:color w:val="444444"/>
          <w:sz w:val="21"/>
          <w:szCs w:val="21"/>
        </w:rPr>
        <w:t xml:space="preserve">【參考答案·標準版】（約1,150-1,400字，主要示範答案）</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公務員曾經被視為「特別犧牲」的一群人——依附於國家、義務不明確、出了問題也告不贏機關；但這個觀念早已過時，現行法制下的公務人員，是受到法律明確保障之職務關係當事人。</w:t>
      </w:r>
    </w:p>
    <w:p>
      <w:pPr>
        <w:spacing w:after="200" w:line="360"/>
        <w:ind w:firstLine="431"/>
        <w:jc w:val="both"/>
      </w:pPr>
      <w:r>
        <w:rPr>
          <w:rFonts w:ascii="微軟正黑體" w:cs="微軟正黑體" w:eastAsia="微軟正黑體" w:hAnsi="微軟正黑體"/>
          <w:sz w:val="22"/>
          <w:szCs w:val="22"/>
        </w:rPr>
        <w:t xml:space="preserve">二、公務人員權利之理論基礎：從特別權力關係到公法上職務關係</w:t>
      </w:r>
    </w:p>
    <w:p>
      <w:pPr>
        <w:spacing w:after="200" w:line="360"/>
        <w:ind w:firstLine="431"/>
        <w:jc w:val="both"/>
      </w:pPr>
      <w:r>
        <w:rPr>
          <w:rFonts w:ascii="微軟正黑體" w:cs="微軟正黑體" w:eastAsia="微軟正黑體" w:hAnsi="微軟正黑體"/>
          <w:sz w:val="22"/>
          <w:szCs w:val="22"/>
        </w:rPr>
        <w:t xml:space="preserve">傳統特別權力關係理論之特徵為當事人不平等、義務不確定、無懲戒救濟，公務員被視為國家之附屬，權利保障相對薄弱；現代則透過基礎關係與管理關係區分，重要事項須法律明定，公務員與國家之關係轉向公法上職務關係，強調法律保留原則與基本權保障，此一典範轉移，是理解公務人員權利類別得以完整開展之理論前提。</w:t>
      </w:r>
    </w:p>
    <w:p>
      <w:pPr>
        <w:spacing w:after="200" w:line="360"/>
        <w:ind w:firstLine="431"/>
        <w:jc w:val="both"/>
      </w:pPr>
      <w:r>
        <w:rPr>
          <w:rFonts w:ascii="微軟正黑體" w:cs="微軟正黑體" w:eastAsia="微軟正黑體" w:hAnsi="微軟正黑體"/>
          <w:sz w:val="22"/>
          <w:szCs w:val="22"/>
        </w:rPr>
        <w:t xml:space="preserve">三、公務人員權利之類別及其內涵與法制舉例</w:t>
      </w:r>
    </w:p>
    <w:p>
      <w:pPr>
        <w:spacing w:after="200" w:line="360"/>
        <w:ind w:firstLine="431"/>
        <w:jc w:val="both"/>
      </w:pPr>
      <w:r>
        <w:rPr>
          <w:rFonts w:ascii="微軟正黑體" w:cs="微軟正黑體" w:eastAsia="微軟正黑體" w:hAnsi="微軟正黑體"/>
          <w:sz w:val="22"/>
          <w:szCs w:val="22"/>
        </w:rPr>
        <w:t xml:space="preserve">公務人員之權利可歸納為四大類別：其一，身分保障，指非依法律規定不得任意予以停職、免職或其他不利處分，例如公務人員考績法規定，須有法定事由（如年終考績丁等或專案考績二大過）方得免職，並非機關首長得以恣意為之，落實依法行政之精神；其二，財產權保障，包括俸給請求權與退休金請求權，公務人員俸給法明定本俸、年功俸與加給之給與標準，公務人員退休資遣撫卹法則保障公務人員之退休金權益，此類財產性給付一旦依法核發，即受憲法財產權之保障，非經法定程序不得任意剝奪；其三，執行職務保障，公務人員依法執行職務之行為，除有故意或重大過失外，應受國家之適當保障，不因執行職務而遭受不當之個人責任追究，此有助於公務人員在依法行政之框架下，勇於任事而不必過度憂懼因執行公務而遭受個人責任牽連；其四，救濟權，公務人員保障法第77至84條明定，公務人員對於服務機關所為之行政處分認為違法或顯然不當，得提起復審；對於不當之管理措施或有關工作條件之處置認為不當，得依序提起申訴、再申訴，此一救濟權之設計，正是功績制九原則中「保障吹哨者」精神之具體法制實踐，使公務人員面對不當處分或管理措施時，有明確可循之法定救濟管道，而非投訴無門。</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公務人員之權利保障，由身分財產權執行職務保障至救濟權四大類別環環相扣，共同體現公務員與國家關係由特別權力關係邁向公法上職務關係之現代化典範。此一權利保障體系不僅是對公務人員個人之保護，更是確保文官體系能在依法行政之框架下，維持專業中立、勇於任事之制度基石。</w:t>
      </w:r>
    </w:p>
    <w:p>
      <w:pPr>
        <w:spacing w:after="100" w:before="160"/>
      </w:pPr>
      <w:r>
        <w:rPr>
          <w:rFonts w:ascii="微軟正黑體" w:cs="微軟正黑體" w:eastAsia="微軟正黑體" w:hAnsi="微軟正黑體"/>
          <w:b/>
          <w:bCs/>
          <w:color w:val="444444"/>
          <w:sz w:val="21"/>
          <w:szCs w:val="21"/>
        </w:rPr>
        <w:t xml:space="preserve">【參考答案·高分版補充】（在標準版基礎上，加入學者、比較、批判、當代案例、AI治理、臺灣實務）</w:t>
      </w:r>
    </w:p>
    <w:p>
      <w:pPr>
        <w:pStyle w:val="ListParagraph"/>
        <w:numPr>
          <w:ilvl w:val="0"/>
          <w:numId w:val="2"/>
        </w:numPr>
        <w:spacing w:after="120" w:line="340"/>
      </w:pPr>
      <w:r>
        <w:rPr>
          <w:rFonts w:ascii="微軟正黑體" w:cs="微軟正黑體" w:eastAsia="微軟正黑體" w:hAnsi="微軟正黑體"/>
          <w:sz w:val="22"/>
          <w:szCs w:val="22"/>
        </w:rPr>
        <w:t xml:space="preserve">補充功績制九原則視角：可援引美國1978年文官改革法功績制九原則中之「保障吹哨者」，說明我國申訴再申訴制度與此一國際通行之功績制核心原則相互呼應，展現我國人事法制與國際文官制度發展趨勢之接軌。</w:t>
      </w:r>
    </w:p>
    <w:p>
      <w:pPr>
        <w:pStyle w:val="ListParagraph"/>
        <w:numPr>
          <w:ilvl w:val="0"/>
          <w:numId w:val="2"/>
        </w:numPr>
        <w:spacing w:after="120" w:line="340"/>
      </w:pPr>
      <w:r>
        <w:rPr>
          <w:rFonts w:ascii="微軟正黑體" w:cs="微軟正黑體" w:eastAsia="微軟正黑體" w:hAnsi="微軟正黑體"/>
          <w:sz w:val="22"/>
          <w:szCs w:val="22"/>
        </w:rPr>
        <w:t xml:space="preserve">補充勞動權比較視角：可延伸說明，除上述四類權利外，公務人員之勞動權（團結權、協商權）雖受一定保障（如籌組公務人員協會），惟基於公共利益考量禁止罷工權（爭議權），此與私部門勞工權利有本質差異，展現公務人員權利體系之特殊性。</w:t>
      </w:r>
    </w:p>
    <w:p>
      <w:pPr>
        <w:pStyle w:val="ListParagraph"/>
        <w:numPr>
          <w:ilvl w:val="0"/>
          <w:numId w:val="2"/>
        </w:numPr>
        <w:spacing w:after="120" w:line="340"/>
      </w:pPr>
      <w:r>
        <w:rPr>
          <w:rFonts w:ascii="微軟正黑體" w:cs="微軟正黑體" w:eastAsia="微軟正黑體" w:hAnsi="微軟正黑體"/>
          <w:sz w:val="22"/>
          <w:szCs w:val="22"/>
        </w:rPr>
        <w:t xml:space="preserve">補充AI治理視角：可延伸說明，在AI輔助績效監測與人事決策日益普及之情境下，公務人員保障法之申訴再申訴機制，正面臨能否有效審查演算法決策依據之新考驗，若機關以AI評分作為考績依據，公務人員之救濟權是否應相應擴及要求機關提出模型卡或評分邏輯說明，呼應本章第四節AI鑲嵌內容，展現跨節整合之論述廣度。</w:t>
      </w:r>
    </w:p>
    <w:p>
      <w:pPr>
        <w:pStyle w:val="ListParagraph"/>
        <w:numPr>
          <w:ilvl w:val="0"/>
          <w:numId w:val="2"/>
        </w:numPr>
        <w:spacing w:after="120" w:line="340"/>
      </w:pPr>
      <w:r>
        <w:rPr>
          <w:rFonts w:ascii="微軟正黑體" w:cs="微軟正黑體" w:eastAsia="微軟正黑體" w:hAnsi="微軟正黑體"/>
          <w:sz w:val="22"/>
          <w:szCs w:val="22"/>
        </w:rPr>
        <w:t xml:space="preserve">補充臺灣實務視角：可援引公務人員保障法自1996年施行以來近三十年之實務運作經驗，說明此一救濟體系如何具體落實於機關實務，並可延伸討論保訓會受理申訴再申訴案件之實際運作情形，增加論述之實務厚度。</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須完整列舉並具體說明公務人員權利之四大類別（身分保障、財產權保障、執行職務保障、救濟權），不可遺漏任一項或僅列名稱而無內涵說明。</w:t>
      </w:r>
    </w:p>
    <w:p>
      <w:pPr>
        <w:pStyle w:val="ListParagraph"/>
        <w:numPr>
          <w:ilvl w:val="0"/>
          <w:numId w:val="2"/>
        </w:numPr>
        <w:spacing w:after="120" w:line="340"/>
      </w:pPr>
      <w:r>
        <w:rPr>
          <w:rFonts w:ascii="微軟正黑體" w:cs="微軟正黑體" w:eastAsia="微軟正黑體" w:hAnsi="微軟正黑體"/>
          <w:sz w:val="22"/>
          <w:szCs w:val="22"/>
        </w:rPr>
        <w:t xml:space="preserve">須以相關公務人力法制具體舉例佐證（如公務人員任用法、俸給法、退休資遣撫卹法、保障法），不可僅止於抽象概念之陳述而無法制依據。</w:t>
      </w:r>
    </w:p>
    <w:p>
      <w:pPr>
        <w:pStyle w:val="ListParagraph"/>
        <w:numPr>
          <w:ilvl w:val="0"/>
          <w:numId w:val="2"/>
        </w:numPr>
        <w:spacing w:after="120" w:line="340"/>
      </w:pPr>
      <w:r>
        <w:rPr>
          <w:rFonts w:ascii="微軟正黑體" w:cs="微軟正黑體" w:eastAsia="微軟正黑體" w:hAnsi="微軟正黑體"/>
          <w:sz w:val="22"/>
          <w:szCs w:val="22"/>
        </w:rPr>
        <w:t xml:space="preserve">宜適度連結特別權力關係轉向公法上職務關係之理論脈絡，展現對公務人員權利保障典範轉移之整體掌握。</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僅列出權利類別名稱，未具體說明各類別之內涵，亦未援引相關法制條文或制度舉例佐證。</w:t>
      </w:r>
    </w:p>
    <w:p>
      <w:pPr>
        <w:pStyle w:val="ListParagraph"/>
        <w:numPr>
          <w:ilvl w:val="0"/>
          <w:numId w:val="2"/>
        </w:numPr>
        <w:spacing w:after="120" w:line="340"/>
      </w:pPr>
      <w:r>
        <w:rPr>
          <w:rFonts w:ascii="微軟正黑體" w:cs="微軟正黑體" w:eastAsia="微軟正黑體" w:hAnsi="微軟正黑體"/>
          <w:sz w:val="22"/>
          <w:szCs w:val="22"/>
        </w:rPr>
        <w:t xml:space="preserve">❌ 未論及特別權力關係轉向公法上職務關係之理論脈絡，答題止於權利類別之條列，理論深度不足。</w:t>
      </w:r>
    </w:p>
    <w:p>
      <w:pPr>
        <w:pStyle w:val="ListParagraph"/>
        <w:numPr>
          <w:ilvl w:val="0"/>
          <w:numId w:val="2"/>
        </w:numPr>
        <w:spacing w:after="120" w:line="340"/>
      </w:pPr>
      <w:r>
        <w:rPr>
          <w:rFonts w:ascii="微軟正黑體" w:cs="微軟正黑體" w:eastAsia="微軟正黑體" w:hAnsi="微軟正黑體"/>
          <w:sz w:val="22"/>
          <w:szCs w:val="22"/>
        </w:rPr>
        <w:t xml:space="preserve">❌ 混淆申訴再申訴（對管理措施之異議）與復審（對行政處分之救濟）兩種不同性質之救濟權內涵。</w:t>
      </w:r>
    </w:p>
    <w:p>
      <w:pPr>
        <w:spacing w:after="220"/>
      </w:pPr>
    </w:p>
    <w:p>
      <w:pPr>
        <w:spacing w:after="180" w:before="360"/>
      </w:pPr>
      <w:r>
        <w:rPr>
          <w:rFonts w:ascii="微軟正黑體" w:cs="微軟正黑體" w:eastAsia="微軟正黑體" w:hAnsi="微軟正黑體"/>
          <w:b/>
          <w:bCs/>
          <w:color w:val="1F4E79"/>
          <w:sz w:val="26"/>
          <w:szCs w:val="26"/>
        </w:rPr>
        <w:t xml:space="preserve">題目二（B級比較題·108年公務人員特種考試身心障礙人員三等考試）</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本題為108年公務人員特種考試身心障礙人員三等考試真實歷屆試題，經查證其類科（一般行政）符合本書「一般行政」類科適用範圍，屬本章對應之真實申論題。</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「為了達成俸給公平，並建立誘因引導公務人員追求績效，公務人員俸給制度之設計應符合那些原則？政府部門要落實這些原則時，可能面臨那些障礙？（25分）」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原則列舉＋落實障礙分析題」，考生須依序完成：說明俸給制度設計應符合之原則、分析政府部門落實這些原則可能面臨之障礙——若僅列出原則名稱而未析論具體障礙，或障礙分析與所列原則脫節，均屬答題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俸給公平性原則（內部╱外部╱個人衡平）＋ 績效誘因設計 ＋ 政府部門落實之障礙。</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一、前言：薪水發得公平，才留得住人、也才能真正驅動績效</w:t>
      </w:r>
    </w:p>
    <w:p>
      <w:pPr>
        <w:pStyle w:val="ListParagraph"/>
        <w:numPr>
          <w:ilvl w:val="0"/>
          <w:numId w:val="2"/>
        </w:numPr>
        <w:spacing w:after="120" w:line="340"/>
      </w:pPr>
      <w:r>
        <w:rPr>
          <w:rFonts w:ascii="微軟正黑體" w:cs="微軟正黑體" w:eastAsia="微軟正黑體" w:hAnsi="微軟正黑體"/>
          <w:sz w:val="22"/>
          <w:szCs w:val="22"/>
        </w:rPr>
        <w:t xml:space="preserve">二、公務人員俸給制度設計應符合之原則</w:t>
      </w:r>
    </w:p>
    <w:p>
      <w:pPr>
        <w:pStyle w:val="ListParagraph"/>
        <w:numPr>
          <w:ilvl w:val="0"/>
          <w:numId w:val="2"/>
        </w:numPr>
        <w:spacing w:after="120" w:line="340"/>
      </w:pPr>
      <w:r>
        <w:rPr>
          <w:rFonts w:ascii="微軟正黑體" w:cs="微軟正黑體" w:eastAsia="微軟正黑體" w:hAnsi="微軟正黑體"/>
          <w:sz w:val="22"/>
          <w:szCs w:val="22"/>
        </w:rPr>
        <w:t xml:space="preserve">三、政府部門落實這些原則可能面臨之障礙</w:t>
      </w:r>
    </w:p>
    <w:p>
      <w:pPr>
        <w:pStyle w:val="ListParagraph"/>
        <w:numPr>
          <w:ilvl w:val="0"/>
          <w:numId w:val="2"/>
        </w:numPr>
        <w:spacing w:after="120" w:line="340"/>
      </w:pPr>
      <w:r>
        <w:rPr>
          <w:rFonts w:ascii="微軟正黑體" w:cs="微軟正黑體" w:eastAsia="微軟正黑體" w:hAnsi="微軟正黑體"/>
          <w:sz w:val="22"/>
          <w:szCs w:val="22"/>
        </w:rPr>
        <w:t xml:space="preserve">四、結論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同一個機關裡，資深卻少做事的同仁領得比拚命付出的新進同仁還多——這樣的落差若長期存在，俸給制度非但不能吸引留才、引導績效，反而會侵蝕公務人員追求卓越的動機。</w:t>
      </w:r>
    </w:p>
    <w:p>
      <w:pPr>
        <w:spacing w:after="200" w:line="360"/>
        <w:ind w:firstLine="431"/>
        <w:jc w:val="both"/>
      </w:pPr>
      <w:r>
        <w:rPr>
          <w:rFonts w:ascii="微軟正黑體" w:cs="微軟正黑體" w:eastAsia="微軟正黑體" w:hAnsi="微軟正黑體"/>
          <w:sz w:val="22"/>
          <w:szCs w:val="22"/>
        </w:rPr>
        <w:t xml:space="preserve">二、公務人員俸給制度設計應符合之原則</w:t>
      </w:r>
    </w:p>
    <w:p>
      <w:pPr>
        <w:spacing w:after="200" w:line="360"/>
        <w:ind w:firstLine="431"/>
        <w:jc w:val="both"/>
      </w:pPr>
      <w:r>
        <w:rPr>
          <w:rFonts w:ascii="微軟正黑體" w:cs="微軟正黑體" w:eastAsia="微軟正黑體" w:hAnsi="微軟正黑體"/>
          <w:sz w:val="22"/>
          <w:szCs w:val="22"/>
        </w:rPr>
        <w:t xml:space="preserve">俸給是公務員提供勞務之對價，具吸引、留才與激勵功能，其設計應符合三重公平性原則：其一，內部衡平（Internal Equity），指機關內部同工同酬，相同職務、相同工作內容與責任之人員，應獲得相當之俸給待遇，避免因人設事或裙帶關係導致同工不同酬；其二，外部衡平（External Equity），指俸給水準應與外部勞動市場行情相當，尤其對於AI、資安等專業技術人才，若俸給明顯低於民間市場行情，將難以吸引與留任優秀人才；其三，個人衡平（Individual Equity），指俸給應能反映個人績效與貢獻之差異，建立誘因引導公務人員追求績效，而非齊頭式之年資敘薪。除三重公平性原則外，俸給制度設計尚須考量經濟考量（社會總體生產力與財政負擔能力）、社會倫理（維持公務人員適當生活水準）及福利配套之整體搭配，方能兼顧公平與激勵雙重目標。</w:t>
      </w:r>
    </w:p>
    <w:p>
      <w:pPr>
        <w:spacing w:after="200" w:line="360"/>
        <w:ind w:firstLine="431"/>
        <w:jc w:val="both"/>
      </w:pPr>
      <w:r>
        <w:rPr>
          <w:rFonts w:ascii="微軟正黑體" w:cs="微軟正黑體" w:eastAsia="微軟正黑體" w:hAnsi="微軟正黑體"/>
          <w:sz w:val="22"/>
          <w:szCs w:val="22"/>
        </w:rPr>
        <w:t xml:space="preserve">三、政府部門落實這些原則可能面臨之障礙</w:t>
      </w:r>
    </w:p>
    <w:p>
      <w:pPr>
        <w:spacing w:after="200" w:line="360"/>
        <w:ind w:firstLine="431"/>
        <w:jc w:val="both"/>
      </w:pPr>
      <w:r>
        <w:rPr>
          <w:rFonts w:ascii="微軟正黑體" w:cs="微軟正黑體" w:eastAsia="微軟正黑體" w:hAnsi="微軟正黑體"/>
          <w:sz w:val="22"/>
          <w:szCs w:val="22"/>
        </w:rPr>
        <w:t xml:space="preserve">政府部門在落實上述原則時，可能面臨以下障礙：其一，內部衡平之落實障礙，我國俸給制度依官等職等訂定本俸與年功俸標準，年功俸設計旨在激勵久任，惟亦有年資主義過重之爭議，可能導致「同工不同酬」之現象未必能透過年功俸完全消弭，反而強化論資排輩之慣性；其二，外部衡平之落實障礙，政府部門俸給結構受限於俸給法之法定框架，彈性遠不及私部門，面對AI、資安等新興專業人才之市場薪資快速上漲，公部門難以迅速調整俸給水準以資因應，僅能透過試辦專案加給或彈性薪資等有限手段部分補救；其三，個人衡平之落實障礙，公部門績效獎金制度發展相對有限，且考績評分構面中工作績效權重雖達65%，惟操行學識才能等難以量化之面向仍佔相當比重，加以「考績膨脹」（甲等比例過高）之實務現象，使俸給與績效之連結未必如預期精確，個人衡平原則之落實成效受限；其四，財政與制度慣性障礙，俸給制度之調整涉及國家財政負擔能力與法律修正程序，任何俸給結構之重大變革，均須通過立法程序與財政審查，難以如私部門般迅速彈性調整，此一制度性慣性本身即構成落實三重公平性原則之結構性障礙。</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俸給公平性之落實，須同時兼顧內部外部個人三重衡平原則，惟政府部門受限於法定俸給框架之剛性、財政負擔能力與考績評量之量化侷限，落實上仍面臨諸多結構性障礙。未來俸給制度之改革方向，宜在維持基本公平之前提下，逐步引入更具彈性之技能加給與績效薪給機制，方能在依法行政之穩定性與績效激勵之彈性之間，找到更適切之平衡點。</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須完整說明俸給公平性三原則（內部衡平、外部衡平、個人衡平），並具體說明各原則之內涵，不可僅列出名詞而無說明。</w:t>
      </w:r>
    </w:p>
    <w:p>
      <w:pPr>
        <w:pStyle w:val="ListParagraph"/>
        <w:numPr>
          <w:ilvl w:val="0"/>
          <w:numId w:val="2"/>
        </w:numPr>
        <w:spacing w:after="120" w:line="340"/>
      </w:pPr>
      <w:r>
        <w:rPr>
          <w:rFonts w:ascii="微軟正黑體" w:cs="微軟正黑體" w:eastAsia="微軟正黑體" w:hAnsi="微軟正黑體"/>
          <w:sz w:val="22"/>
          <w:szCs w:val="22"/>
        </w:rPr>
        <w:t xml:space="preserve">落實障礙之分析須逐一對應所列原則，具體指出各原則在政府部門落實時之結構性限制（如年功俸年資主義、俸給法定框架彈性不足、考績膨脹），不可空泛籠統。</w:t>
      </w:r>
    </w:p>
    <w:p>
      <w:pPr>
        <w:pStyle w:val="ListParagraph"/>
        <w:numPr>
          <w:ilvl w:val="0"/>
          <w:numId w:val="2"/>
        </w:numPr>
        <w:spacing w:after="120" w:line="340"/>
      </w:pPr>
      <w:r>
        <w:rPr>
          <w:rFonts w:ascii="微軟正黑體" w:cs="微軟正黑體" w:eastAsia="微軟正黑體" w:hAnsi="微軟正黑體"/>
          <w:sz w:val="22"/>
          <w:szCs w:val="22"/>
        </w:rPr>
        <w:t xml:space="preserve">宜點出俸給制度改革涉及財政負擔能力與法律修正程序之制度性慣性，展現對公部門俸給制度特殊性之整體掌握。</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僅列出俸給公平性原則名稱（如「要公平」），未具體說明內部外部個人三重衡平之個別內涵。</w:t>
      </w:r>
    </w:p>
    <w:p>
      <w:pPr>
        <w:pStyle w:val="ListParagraph"/>
        <w:numPr>
          <w:ilvl w:val="0"/>
          <w:numId w:val="2"/>
        </w:numPr>
        <w:spacing w:after="120" w:line="340"/>
      </w:pPr>
      <w:r>
        <w:rPr>
          <w:rFonts w:ascii="微軟正黑體" w:cs="微軟正黑體" w:eastAsia="微軟正黑體" w:hAnsi="微軟正黑體"/>
          <w:sz w:val="22"/>
          <w:szCs w:val="22"/>
        </w:rPr>
        <w:t xml:space="preserve">❌ 落實障礙分析與所列原則脫節，僅泛稱「政府財政有限」而未具體對應各項原則之落實困難。</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援引年功俸與AI加給之討論，具體說明個人衡平原則在AI時代面臨之新挑戰——年資主義之年功俸設計，與吸引具AI實務能力人才所需之技能導向俸給邏輯，兩者之間存在制度性張力，呼應本章第四節AI鑲嵌內容。</w:t>
      </w:r>
    </w:p>
    <w:p>
      <w:pPr>
        <w:pStyle w:val="ListParagraph"/>
        <w:numPr>
          <w:ilvl w:val="0"/>
          <w:numId w:val="2"/>
        </w:numPr>
        <w:spacing w:after="120" w:line="340"/>
      </w:pPr>
      <w:r>
        <w:rPr>
          <w:rFonts w:ascii="微軟正黑體" w:cs="微軟正黑體" w:eastAsia="微軟正黑體" w:hAnsi="微軟正黑體"/>
          <w:sz w:val="22"/>
          <w:szCs w:val="22"/>
        </w:rPr>
        <w:t xml:space="preserve">可補充功績制九原則中「同工同酬與績優獎賞」之理論依據，說明俸給公平性三原則實為功績制核心精神在俸給制度上之具體展開，深化論述之理論厚度。</w:t>
      </w:r>
    </w:p>
    <w:p>
      <w:pPr>
        <w:pStyle w:val="ListParagraph"/>
        <w:numPr>
          <w:ilvl w:val="0"/>
          <w:numId w:val="2"/>
        </w:numPr>
        <w:spacing w:after="120" w:line="340"/>
      </w:pPr>
      <w:r>
        <w:rPr>
          <w:rFonts w:ascii="微軟正黑體" w:cs="微軟正黑體" w:eastAsia="微軟正黑體" w:hAnsi="微軟正黑體"/>
          <w:sz w:val="22"/>
          <w:szCs w:val="22"/>
        </w:rPr>
        <w:t xml:space="preserve">可援引考績制度與俸給制度之連結，說明考績甲等晉本俸一級並給與獎金之設計，正是個人衡平原則之制度化實踐，惟考績膨脹現象可能削弱此一連結之實質效果，展現制度間之整合分析。</w:t>
      </w:r>
    </w:p>
    <w:p>
      <w:pPr>
        <w:pStyle w:val="ListParagraph"/>
        <w:numPr>
          <w:ilvl w:val="0"/>
          <w:numId w:val="2"/>
        </w:numPr>
        <w:spacing w:after="120" w:line="340"/>
      </w:pPr>
      <w:r>
        <w:rPr>
          <w:rFonts w:ascii="微軟正黑體" w:cs="微軟正黑體" w:eastAsia="微軟正黑體" w:hAnsi="微軟正黑體"/>
          <w:sz w:val="22"/>
          <w:szCs w:val="22"/>
        </w:rPr>
        <w:t xml:space="preserve">可延伸說明，政府部門近年試辦資訊資安加給與約聘高階人才彈性待遇，是回應外部衡平障礙之具體嘗試，惟仍須兼顧內部公平，避免因單一職類加給過高而引發其他職類之相對剝奪感，提出制度設計上應有之配套考量。</w:t>
      </w:r>
    </w:p>
    <w:p>
      <w:pPr>
        <w:spacing w:after="220"/>
      </w:pPr>
    </w:p>
    <w:p>
      <w:pPr>
        <w:spacing w:after="180" w:before="360"/>
      </w:pPr>
      <w:r>
        <w:rPr>
          <w:rFonts w:ascii="微軟正黑體" w:cs="微軟正黑體" w:eastAsia="微軟正黑體" w:hAnsi="微軟正黑體"/>
          <w:b/>
          <w:bCs/>
          <w:color w:val="1F4E79"/>
          <w:sz w:val="26"/>
          <w:szCs w:val="26"/>
        </w:rPr>
        <w:t xml:space="preserve">題目三（C級綜合題·模擬命題）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本題並非歷屆試題，而是依本章第四節母體教材「AI鑲嵌下的人事管理：甄補訓練考績俸給的變異與人機共構人力」及案例思考「EEOC v. iTutorGroup」自行設計之模擬命題，並將情境改寫為我國一般行政機關之甄補場景。本語料庫（107-111年）中，本章尚未查得與AI履歷篩選偏見或人事領域演算法治理直接對應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某機關擬導入AI履歷篩選系統，以提升約聘人員之招募效率。系統以機關歷年錄取資料訓練模型，上線初期發現特定年齡層與特定學校畢業之應徵者，履歷通過率明顯偏低。請說明此一現象可能違反功績制之哪些核心價值，並運用『AI影響評估（AIA）』及『四鏈七審』框架，設計一套化解機制。（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現象診斷＋理論應用＋制度設計綜合題」，考生須依序完成：說明此現象可能違反功績制之哪些核心價值、運用AI影響評估架構分析、運用四鏈七審框架設計化解機制——若僅提出「加強人工複核」等籠統建議而未具體對應AIA各步驟與四鏈七審框架，屬論述深度不足。</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功績制核心價值（用人唯才╱平等就業機會）＋ AI影響評估（AIA）＋ 四鏈七審化解機制設計。</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一、前言：履歷篩選系統學到的，究竟是「誰真正適任」，還是「誰過去被錄取過」？</w:t>
      </w:r>
    </w:p>
    <w:p>
      <w:pPr>
        <w:pStyle w:val="ListParagraph"/>
        <w:numPr>
          <w:ilvl w:val="0"/>
          <w:numId w:val="2"/>
        </w:numPr>
        <w:spacing w:after="120" w:line="340"/>
      </w:pPr>
      <w:r>
        <w:rPr>
          <w:rFonts w:ascii="微軟正黑體" w:cs="微軟正黑體" w:eastAsia="微軟正黑體" w:hAnsi="微軟正黑體"/>
          <w:sz w:val="22"/>
          <w:szCs w:val="22"/>
        </w:rPr>
        <w:t xml:space="preserve">二、此現象可能違反功績制之核心價值</w:t>
      </w:r>
    </w:p>
    <w:p>
      <w:pPr>
        <w:pStyle w:val="ListParagraph"/>
        <w:numPr>
          <w:ilvl w:val="0"/>
          <w:numId w:val="2"/>
        </w:numPr>
        <w:spacing w:after="120" w:line="340"/>
      </w:pPr>
      <w:r>
        <w:rPr>
          <w:rFonts w:ascii="微軟正黑體" w:cs="微軟正黑體" w:eastAsia="微軟正黑體" w:hAnsi="微軟正黑體"/>
          <w:sz w:val="22"/>
          <w:szCs w:val="22"/>
        </w:rPr>
        <w:t xml:space="preserve">三、以AI影響評估（AIA）架構分析此案例</w:t>
      </w:r>
    </w:p>
    <w:p>
      <w:pPr>
        <w:pStyle w:val="ListParagraph"/>
        <w:numPr>
          <w:ilvl w:val="0"/>
          <w:numId w:val="2"/>
        </w:numPr>
        <w:spacing w:after="120" w:line="340"/>
      </w:pPr>
      <w:r>
        <w:rPr>
          <w:rFonts w:ascii="微軟正黑體" w:cs="微軟正黑體" w:eastAsia="微軟正黑體" w:hAnsi="微軟正黑體"/>
          <w:sz w:val="22"/>
          <w:szCs w:val="22"/>
        </w:rPr>
        <w:t xml:space="preserve">四、以四鏈七審框架設計化解機制</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一套用歷史錄取資料訓練出來的履歷篩選系統，學到的往往不是「誰真正適任這份工作」，而是「過去這個機關偏好錄取什麼樣的人」——當這兩者之間存在落差，AI效率提升的背後，可能正在悄悄複製甚至放大既有的偏見。</w:t>
      </w:r>
    </w:p>
    <w:p>
      <w:pPr>
        <w:spacing w:after="200" w:line="360"/>
        <w:ind w:firstLine="431"/>
        <w:jc w:val="both"/>
      </w:pPr>
      <w:r>
        <w:rPr>
          <w:rFonts w:ascii="微軟正黑體" w:cs="微軟正黑體" w:eastAsia="微軟正黑體" w:hAnsi="微軟正黑體"/>
          <w:sz w:val="22"/>
          <w:szCs w:val="22"/>
        </w:rPr>
        <w:t xml:space="preserve">二、此現象可能違反功績制之核心價值</w:t>
      </w:r>
    </w:p>
    <w:p>
      <w:pPr>
        <w:spacing w:after="200" w:line="360"/>
        <w:ind w:firstLine="431"/>
        <w:jc w:val="both"/>
      </w:pPr>
      <w:r>
        <w:rPr>
          <w:rFonts w:ascii="微軟正黑體" w:cs="微軟正黑體" w:eastAsia="微軟正黑體" w:hAnsi="微軟正黑體"/>
          <w:sz w:val="22"/>
          <w:szCs w:val="22"/>
        </w:rPr>
        <w:t xml:space="preserve">本案例所反映之現象，可能違反功績制九原則中之數項核心價值：其一，才能取向與公開競爭原則，若特定年齡層或特定學校畢業之應徵者履歷通過率明顯偏低，顯示篩選結果可能非單純反映應徵者之才能與工作表現，而是複製了歷史錄取資料中隱含之偏誤模式，未能真正落實「以才能為唯一取才依據」之精神；其二，平等就業機會原則，若年齡或畢業學校成為系統性排除特定群體之隱性門檻，即便系統設計者並無主觀歧視意圖，其客觀效果仍可能構成對特定群體就業機會之不平等對待，此與美國EEOC v. iTutorGroup案所揭示之風險高度類似；其三，防止徇私原則，歷史錄取資料若反映過往人情關說或特定學校校友網絡之隱性偏好，AI系統之學習與複製，可能使徇私現象從個案性之人為決定，轉化為系統性、規模化之演算法偏誤，其影響範圍與隱蔽性反而更甚於傳統徇私。</w:t>
      </w:r>
    </w:p>
    <w:p>
      <w:pPr>
        <w:spacing w:after="200" w:line="360"/>
        <w:ind w:firstLine="431"/>
        <w:jc w:val="both"/>
      </w:pPr>
      <w:r>
        <w:rPr>
          <w:rFonts w:ascii="微軟正黑體" w:cs="微軟正黑體" w:eastAsia="微軟正黑體" w:hAnsi="微軟正黑體"/>
          <w:sz w:val="22"/>
          <w:szCs w:val="22"/>
        </w:rPr>
        <w:t xml:space="preserve">三、以AI影響評估（AIA）架構分析此案例</w:t>
      </w:r>
    </w:p>
    <w:p>
      <w:pPr>
        <w:spacing w:after="200" w:line="360"/>
        <w:ind w:firstLine="431"/>
        <w:jc w:val="both"/>
      </w:pPr>
      <w:r>
        <w:rPr>
          <w:rFonts w:ascii="微軟正黑體" w:cs="微軟正黑體" w:eastAsia="微軟正黑體" w:hAnsi="微軟正黑體"/>
          <w:sz w:val="22"/>
          <w:szCs w:val="22"/>
        </w:rPr>
        <w:t xml:space="preserve">以AI影響評估架構分析本案例，應涵蓋四個步驟：其一，資料盤點，應完整檢視訓練資料（歷年錄取資料）之組成，包含年齡、畢業學校、性別等敏感屬性之分布，並比對機關現有人力結構是否已存在特定群體代表性不足之情形；其二，公平性指標設定，應設定具體可衡量之公平性指標（如不同年齡層、不同學校類別之履歷通過率差異是否超過合理範圍），並設定觸發人工複核之門檻；其三，模型卡揭露，應要求系統提供者揭露模型之訓練資料來源、準確率、已知限制與潛在偏誤風險，供機關與應考人查閱；其四，救濟途徑設計，應建立應徵者對篩選結果表達異議之管道，若應徵者質疑其履歷遭系統性排除，機關應有機制回應其疑慮並說明理由。</w:t>
      </w:r>
    </w:p>
    <w:p>
      <w:pPr>
        <w:spacing w:after="200" w:line="360"/>
        <w:ind w:firstLine="431"/>
        <w:jc w:val="both"/>
      </w:pPr>
      <w:r>
        <w:rPr>
          <w:rFonts w:ascii="微軟正黑體" w:cs="微軟正黑體" w:eastAsia="微軟正黑體" w:hAnsi="微軟正黑體"/>
          <w:sz w:val="22"/>
          <w:szCs w:val="22"/>
        </w:rPr>
        <w:t xml:space="preserve">四、以四鏈七審框架設計化解機制</w:t>
      </w:r>
    </w:p>
    <w:p>
      <w:pPr>
        <w:spacing w:after="200" w:line="360"/>
        <w:ind w:firstLine="431"/>
        <w:jc w:val="both"/>
      </w:pPr>
      <w:r>
        <w:rPr>
          <w:rFonts w:ascii="微軟正黑體" w:cs="微軟正黑體" w:eastAsia="微軟正黑體" w:hAnsi="微軟正黑體"/>
          <w:sz w:val="22"/>
          <w:szCs w:val="22"/>
        </w:rPr>
        <w:t xml:space="preserve">以四鏈七審框架逐一設計化解機制：其一，情境建構鏈，應要求系統開發過程納入多元背景之人事專業人員與外部學者參與資料標記與篩選規則審視，避免訓練資料之歷史偏誤未經檢視即逕行複製，對應資料代表性審計；其二，權威鏈，應明訂AI篩選結果僅作為初步分類參考，最終是否進入面試名單須經人事甄選委員會覆核決定，AI不得逕行否決任何應徵者，對應責任歸屬審計與民主課責審計；其三，理由鏈，應要求系統對每一位遭排除之應徵者，提供可理解之排除理由摘要，並保留應徵者申請說明或補充資料之管道，對應理由說明審計與裁量邊界審計；其四，責任鏈，應明確劃分系統開發商、機關人事單位與甄選委員會之責任分工，若確認系統存在系統性偏誤，應立即暫停使用並啟動全面複查，對應責任歸屬審計與組織能力審計。</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AI履歷篩選系統之導入，本意在提升招募效率，惟若未經完整之AI影響評估與四鏈七審框架之治理設計，效率提升可能是以悄悄複製歷史偏誤為代價。唯有透過事前資料盤點、公平性指標設定、模型卡透明揭露，並搭配四鏈七審之課責機制，方能確保AI真正成為功績制「用人唯才」之助力，而非成為系統性排除特定群體之隱性門檻。</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須具體指出本案例可能違反之功績制核心價值（才能取向公開競爭、平等就業機會、防止徇私），不可僅籠統稱「不公平」而未連結功績制九原則之具體內涵。</w:t>
      </w:r>
    </w:p>
    <w:p>
      <w:pPr>
        <w:pStyle w:val="ListParagraph"/>
        <w:numPr>
          <w:ilvl w:val="0"/>
          <w:numId w:val="2"/>
        </w:numPr>
        <w:spacing w:after="120" w:line="340"/>
      </w:pPr>
      <w:r>
        <w:rPr>
          <w:rFonts w:ascii="微軟正黑體" w:cs="微軟正黑體" w:eastAsia="微軟正黑體" w:hAnsi="微軟正黑體"/>
          <w:sz w:val="22"/>
          <w:szCs w:val="22"/>
        </w:rPr>
        <w:t xml:space="preserve">須運用AI影響評估（AIA）架構逐一分析（資料盤點、公平性指標設定、模型卡揭露、救濟途徑設計），不可僅提及「要做風險評估」而無具體步驟內容。</w:t>
      </w:r>
    </w:p>
    <w:p>
      <w:pPr>
        <w:pStyle w:val="ListParagraph"/>
        <w:numPr>
          <w:ilvl w:val="0"/>
          <w:numId w:val="2"/>
        </w:numPr>
        <w:spacing w:after="120" w:line="340"/>
      </w:pPr>
      <w:r>
        <w:rPr>
          <w:rFonts w:ascii="微軟正黑體" w:cs="微軟正黑體" w:eastAsia="微軟正黑體" w:hAnsi="微軟正黑體"/>
          <w:sz w:val="22"/>
          <w:szCs w:val="22"/>
        </w:rPr>
        <w:t xml:space="preserve">四鏈七審之化解機制設計須具體可行且逐一對應四鏈，尤須點出「AI篩選結果僅作初步參考、最終決定權須由甄選委員會保留」之權威鏈核心設計。</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未具體指出違反功績制之哪些核心價值，僅籠統稱「AI有偏見，不符合公平原則」。</w:t>
      </w:r>
    </w:p>
    <w:p>
      <w:pPr>
        <w:pStyle w:val="ListParagraph"/>
        <w:numPr>
          <w:ilvl w:val="0"/>
          <w:numId w:val="2"/>
        </w:numPr>
        <w:spacing w:after="120" w:line="340"/>
      </w:pPr>
      <w:r>
        <w:rPr>
          <w:rFonts w:ascii="微軟正黑體" w:cs="微軟正黑體" w:eastAsia="微軟正黑體" w:hAnsi="微軟正黑體"/>
          <w:sz w:val="22"/>
          <w:szCs w:val="22"/>
        </w:rPr>
        <w:t xml:space="preserve">❌ AIA架構套用生硬，僅提及「要做影響評估」而未具體展開資料盤點公平性指標模型卡揭露等步驟。</w:t>
      </w:r>
    </w:p>
    <w:p>
      <w:pPr>
        <w:pStyle w:val="ListParagraph"/>
        <w:numPr>
          <w:ilvl w:val="0"/>
          <w:numId w:val="2"/>
        </w:numPr>
        <w:spacing w:after="120" w:line="340"/>
      </w:pPr>
      <w:r>
        <w:rPr>
          <w:rFonts w:ascii="微軟正黑體" w:cs="微軟正黑體" w:eastAsia="微軟正黑體" w:hAnsi="微軟正黑體"/>
          <w:sz w:val="22"/>
          <w:szCs w:val="22"/>
        </w:rPr>
        <w:t xml:space="preserve">❌ 治理機制設計空泛，未具體對應四鏈七審框架，或未點出人事甄選委員會應保留最終決定權之核心設計。</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可具體援引美國EEOC v. iTutorGroup案例，說明該案系統以年齡門檻自動排除應徵者、完全未進入人工審查階段，凸顯演算法偏見未必是難以察覺的黑箱問題，有時恰恰是設計者將既有偏見直接編碼為看似中立的技術規則，佐證本題治理機制設計之必要性。</w:t>
      </w:r>
    </w:p>
    <w:p>
      <w:pPr>
        <w:pStyle w:val="ListParagraph"/>
        <w:numPr>
          <w:ilvl w:val="0"/>
          <w:numId w:val="2"/>
        </w:numPr>
        <w:spacing w:after="120" w:line="340"/>
      </w:pPr>
      <w:r>
        <w:rPr>
          <w:rFonts w:ascii="微軟正黑體" w:cs="微軟正黑體" w:eastAsia="微軟正黑體" w:hAnsi="微軟正黑體"/>
          <w:sz w:val="22"/>
          <w:szCs w:val="22"/>
        </w:rPr>
        <w:t xml:space="preserve">可補充公務人員保障法申訴再申訴機制在AI甄補時代之適用性課題，說明現行救濟制度對演算法決策依據之實質審查能力，仍待進一步制度銜接，深化論述之批判層次。</w:t>
      </w:r>
    </w:p>
    <w:p>
      <w:pPr>
        <w:pStyle w:val="ListParagraph"/>
        <w:numPr>
          <w:ilvl w:val="0"/>
          <w:numId w:val="2"/>
        </w:numPr>
        <w:spacing w:after="120" w:line="340"/>
      </w:pPr>
      <w:r>
        <w:rPr>
          <w:rFonts w:ascii="微軟正黑體" w:cs="微軟正黑體" w:eastAsia="微軟正黑體" w:hAnsi="微軟正黑體"/>
          <w:sz w:val="22"/>
          <w:szCs w:val="22"/>
        </w:rPr>
        <w:t xml:space="preserve">可補充功績制核心價值遭「靜默置換」之概念，說明若不加以治理，AI甄補可能使「唯才是用」悄悄置換為「唯演算法可測量者是用」，那些難以被量化之特質（如跨部門協調能力）反而被系統性低估。</w:t>
      </w:r>
    </w:p>
    <w:p>
      <w:pPr>
        <w:pStyle w:val="ListParagraph"/>
        <w:numPr>
          <w:ilvl w:val="0"/>
          <w:numId w:val="2"/>
        </w:numPr>
        <w:spacing w:after="120" w:line="340"/>
      </w:pPr>
      <w:r>
        <w:rPr>
          <w:rFonts w:ascii="微軟正黑體" w:cs="微軟正黑體" w:eastAsia="微軟正黑體" w:hAnsi="微軟正黑體"/>
          <w:sz w:val="22"/>
          <w:szCs w:val="22"/>
        </w:rPr>
        <w:t xml:space="preserve">可援引我國行政院生成式AI使用參考指引之保密、揭露、人工覆核三原則，具體說明本案例化解機制與現行制度規範之銜接可行性，展現理論與臺灣實務之整合深度。</w:t>
      </w:r>
    </w:p>
    <w:p>
      <w:pPr>
        <w:spacing w:after="300"/>
      </w:pPr>
    </w:p>
    <w:p>
      <w:pPr>
        <w:spacing w:after="200" w:before="400"/>
      </w:pPr>
      <w:r>
        <w:rPr>
          <w:rFonts w:ascii="微軟正黑體" w:cs="微軟正黑體" w:eastAsia="微軟正黑體" w:hAnsi="微軟正黑體"/>
          <w:b/>
          <w:bCs/>
          <w:sz w:val="32"/>
          <w:szCs w:val="32"/>
        </w:rPr>
        <w:t xml:space="preserve">【歷屆試題】</w:t>
      </w:r>
    </w:p>
    <w:p>
      <w:pPr>
        <w:spacing w:after="200" w:line="360"/>
        <w:ind w:firstLine="431"/>
        <w:jc w:val="both"/>
      </w:pPr>
      <w:r>
        <w:rPr>
          <w:rFonts w:ascii="微軟正黑體" w:cs="微軟正黑體" w:eastAsia="微軟正黑體" w:hAnsi="微軟正黑體"/>
          <w:sz w:val="22"/>
          <w:szCs w:val="22"/>
        </w:rPr>
        <w:t xml:space="preserve">本章語料庫涵蓋107-111年5個年度之考選部官方公告試題（行政學╱行政學概要科目），經逐題比對，查得3題與本章「人事管理」相關且經標記之申論真題，其中2題查證屬一般行政符合，已於本章【申論解題】分別完整解析為題目一與題目二；1題非一般行政符合，不列入完整解析。</w:t>
      </w:r>
    </w:p>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2400"/>
        <w:gridCol w:w="700"/>
        <w:gridCol w:w="2726"/>
        <w:gridCol w:w="1600"/>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年度／考試</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類科</w:t>
            </w:r>
          </w:p>
        </w:tc>
        <w:tc>
          <w:tcPr>
            <w:tcW w:type="dxa" w:w="7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難度</w:t>
            </w:r>
          </w:p>
        </w:tc>
        <w:tc>
          <w:tcPr>
            <w:tcW w:type="dxa" w:w="27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考點</w:t>
            </w:r>
          </w:p>
        </w:tc>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查證狀態</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107年-原三</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一般行政符合</w:t>
            </w:r>
          </w:p>
        </w:tc>
        <w:tc>
          <w:tcPr>
            <w:tcW w:type="dxa" w:w="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公務人員的權利類別及其內涵</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✅一般行政符合，已於題目一完整解析</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108年-身三</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一般行政符合</w:t>
            </w:r>
          </w:p>
        </w:tc>
        <w:tc>
          <w:tcPr>
            <w:tcW w:type="dxa" w:w="7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w:t>
            </w:r>
          </w:p>
        </w:tc>
        <w:tc>
          <w:tcPr>
            <w:tcW w:type="dxa" w:w="27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公務人員俸給制度設計原則及落實障礙</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✅一般行政符合，已於題目二完整解析</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109年-外交</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非一般行政符合</w:t>
            </w:r>
          </w:p>
        </w:tc>
        <w:tc>
          <w:tcPr>
            <w:tcW w:type="dxa" w:w="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中央政府機關總員額法之理論基礎及影響評估</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❌經查證非屬一般行政類科，不列入完整解析</w:t>
            </w:r>
          </w:p>
        </w:tc>
      </w:tr>
    </w:tbl>
    <w:p>
      <w:pPr>
        <w:spacing w:after="280" w:before="120"/>
        <w:jc w:val="center"/>
      </w:pPr>
      <w:r>
        <w:rPr>
          <w:rFonts w:ascii="微軟正黑體" w:cs="微軟正黑體" w:eastAsia="微軟正黑體" w:hAnsi="微軟正黑體"/>
          <w:i/>
          <w:iCs/>
          <w:color w:val="555555"/>
          <w:sz w:val="18"/>
          <w:szCs w:val="18"/>
        </w:rPr>
        <w:t xml:space="preserve">表22-K　本章歷屆試題查證狀態</w:t>
      </w:r>
    </w:p>
    <w:p>
      <w:pPr>
        <w:spacing w:after="280"/>
      </w:pPr>
    </w:p>
    <w:p>
      <w:pPr>
        <w:spacing w:after="200" w:before="400"/>
      </w:pPr>
      <w:r>
        <w:rPr>
          <w:rFonts w:ascii="微軟正黑體" w:cs="微軟正黑體" w:eastAsia="微軟正黑體" w:hAnsi="微軟正黑體"/>
          <w:b/>
          <w:bCs/>
          <w:sz w:val="32"/>
          <w:szCs w:val="32"/>
        </w:rPr>
        <w:t xml:space="preserve">【本章一頁掌握】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人事行政的基本意涵與我國人事體制、職位分類</w:t>
            </w:r>
          </w:p>
          <w:p>
            <w:pPr>
              <w:spacing w:line="340"/>
              <w:jc w:val="both"/>
            </w:pPr>
            <w:r>
              <w:rPr>
                <w:rFonts w:ascii="微軟正黑體" w:cs="微軟正黑體" w:eastAsia="微軟正黑體" w:hAnsi="微軟正黑體"/>
                <w:sz w:val="21"/>
                <w:szCs w:val="21"/>
              </w:rPr>
              <w:t xml:space="preserve">人事四要旨（才人合效）→ 功績制九原則（保障吹哨者）→ 恩贍分功四階段 → 雙重首長制（考試院＋人總處）→ 官職併立制（簡薦委╱1-14職等╱96職系╱43職組）</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甄補：考選與任用、訓練與能力發展</w:t>
            </w:r>
          </w:p>
          <w:p>
            <w:pPr>
              <w:spacing w:line="340"/>
              <w:jc w:val="both"/>
            </w:pPr>
            <w:r>
              <w:rPr>
                <w:rFonts w:ascii="微軟正黑體" w:cs="微軟正黑體" w:eastAsia="微軟正黑體" w:hAnsi="微軟正黑體"/>
                <w:sz w:val="21"/>
                <w:szCs w:val="21"/>
              </w:rPr>
              <w:t xml:space="preserve">甄選四原則（公開競爭擇優錄取平等機會程序實質公平）→ 政務官vs事務官五面向比較 → 訓練體系（保訓會國家文官學院）→ Kirkpatrick四層次 → 70-20-10法則</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考績與課責、俸給保障與倫理</w:t>
            </w:r>
          </w:p>
          <w:p>
            <w:pPr>
              <w:spacing w:line="340"/>
              <w:jc w:val="both"/>
            </w:pPr>
            <w:r>
              <w:rPr>
                <w:rFonts w:ascii="微軟正黑體" w:cs="微軟正黑體" w:eastAsia="微軟正黑體" w:hAnsi="微軟正黑體"/>
                <w:sz w:val="21"/>
                <w:szCs w:val="21"/>
              </w:rPr>
              <w:t xml:space="preserve">考績種類（年終另予專案）→ 評分四構面（工操學才65/15/10/10）→ 俸給三重公平（內外個）→ 特別權力關係→公法上職務關係 → 申訴再申訴（保障法77-84條）</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AI鑲嵌下的人事管理：甄補訓練考績俸給的變異與人機共構人力</w:t>
            </w:r>
          </w:p>
          <w:p>
            <w:pPr>
              <w:spacing w:line="340"/>
              <w:jc w:val="both"/>
            </w:pPr>
            <w:r>
              <w:rPr>
                <w:rFonts w:ascii="微軟正黑體" w:cs="微軟正黑體" w:eastAsia="微軟正黑體" w:hAnsi="微軟正黑體"/>
                <w:sz w:val="21"/>
                <w:szCs w:val="21"/>
              </w:rPr>
              <w:t xml:space="preserve">人機共構典範轉移 → AI素養四層次（認使評治）→ 甄補訓練考績俸給四大變異 → 三種權力移轉 → 功績制核心價值靜默置換 → 四鏈七審 → EEOC v. iTutorGroup╱我國生成式AI指引與保障法適用性</w:t>
            </w:r>
          </w:p>
        </w:tc>
      </w:tr>
    </w:tbl>
    <w:p>
      <w:pPr>
        <w:spacing w:after="1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申論核心句（可直接用於破題或結論）</w:t>
            </w:r>
          </w:p>
          <w:p>
            <w:pPr>
              <w:spacing w:line="340"/>
              <w:jc w:val="both"/>
            </w:pPr>
            <w:r>
              <w:rPr>
                <w:rFonts w:ascii="微軟正黑體" w:cs="微軟正黑體" w:eastAsia="微軟正黑體" w:hAnsi="微軟正黑體"/>
                <w:sz w:val="21"/>
                <w:szCs w:val="21"/>
              </w:rPr>
              <w:t xml:space="preserve">為政在人，取人以身——演算法能算出一份漂亮的評分表，卻算不出一位公務人員在深夜加班處理陳情案件時的那份耐心；這份耐心，正是功績制想要守護，卻也最容易被量化指標所忽略的東西。</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2026-09-02T21:51:31.761Z</dcterms:created>
  <dcterms:modified xsi:type="dcterms:W3CDTF">2026-09-02T21:51:31.761Z</dcterms:modified>
</cp:coreProperties>
</file>

<file path=docProps/custom.xml><?xml version="1.0" encoding="utf-8"?>
<Properties xmlns="http://schemas.openxmlformats.org/officeDocument/2006/custom-properties" xmlns:vt="http://schemas.openxmlformats.org/officeDocument/2006/docPropsVTypes"/>
</file>