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第二十章　策略管理</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二十章「策略管理：AI增強與主權AI戰略」，為第五層「管理運作」（策略管理、行政領導、人事管理、財務管理、電子化政府、績效管理、溝通與危機管理）之首章。內容取材自該章九節母體教材（策略管理的意涵與要素、策略管理的層次與過程、組織使命願景與目標、外部環境分析、內部環境分析、SWOT分析與策略類型、策略性績效管理、AI時代的策略管理、AI治理專節）及AI鑲嵌後之權力位移專節，依國考「考點化、模組化、背誦＋應用」邏輯重新壓縮改寫為四節：第一節整合原第一、二、三節（策略定義5P、策略管理意涵特徵、層次與三階段過程、願景使命價值目標）；第二節整合原第四、五節（PESTEL與五力外部環境分析、RBV／VRIO內部環境分析）；第三節整合原第六、七節（SWOT／TOWS策略配對、策略類型與Miles&amp;Snow、平衡計分卡與策略地圖）；第四節整合原第八、九節AI治理專節（AI驅動SWOT、數位孿生戰略模擬、主權AI四主權戰略），為本章AI內容之集中呈現處。本語料庫（107-111年）中，本章查無與策略管理直接對應之申論真題，此與本書第三、十至十四、二十五至二十七章同屬「真題完全掛零」之章節，故本章【申論解題】三題均為依本章母體教材自行設計之模擬命題，已於各題「考題出處（重要說明）」明確標示，不與真實歷屆試題混淆。依全書格式定版說明，題目一（A級）維持三種完整答案版本，題目二（B級）與題目三（C級）改為標準版參考答案＋【高分加分點】；AI鑲嵌內容集中於第四節與題目三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策略管理的意涵、層次與願景使命目標</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策略（Strategy）一詞源於希臘文Strategos，意指將軍之藝術，本質係在不確定與資源有限下，為達成長期目標所作之資源配置與行動抉擇之模式。Mintzberg（1987）提出5P架構整合經典觀點：計畫（Plan）強調策略是有意識、有目的之事前規劃，未來導向與路徑設計；計謀（Ploy）指策略是為擊敗對手或競爭者之特定行動；模式（Pattern）指策略是在一系列決策與行動中呈現之一致性行為模式，雖非刻意規劃但事後可辨識；定位（Position）指策略是組織在環境中選擇特定位置，以創造差異化與適配；觀點（Perspective）指策略是組織深層共享之世界觀與價值假定，類似組織文化之延伸。策略管理（Strategic Management）則是組織為達成使命與目標，進行策略規劃、執行與評估之動態循環歷程，並透過環境監測與組織學習不斷調適之管理過程。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策略管理具六項特徵：長期導向（關注三至十年之未來定位，而非短期救火）、整體導向（以組織整體與系統觀點權衡，非功能別片段化）、外部導向（強調環境掃描與趨勢解讀）、資源導向（以有限資源創造最大公共價值，涉及取捨與優先順序）、不確定性導向（在資訊不完全下作成判斷，仰賴情境規劃）、政治與價值導向（公共策略須兼顧多元價值衝突與民主正當性，非單純理性計算）。相較於私部門追求競爭優勢與利潤，Bryson（2018）指出公部門策略管理是以創造公共價值為目的，透過審議與利害關係人參與連結組織使命與外部環境之過程，須同時回應政治可行性、法律合規性、行政可行性與民主課責性；Moore（1995）進一步提出策略三角，主張公部門策略須同時通過公共價值、正當性支持與操作能力三重檢驗，此為公私部門策略管理最根本之差異所在，亦是國考申論常見之比較考點。</w:t>
      </w:r>
    </w:p>
    <w:p>
      <w:pPr>
        <w:pStyle w:val="ListParagraph"/>
        <w:numPr>
          <w:ilvl w:val="0"/>
          <w:numId w:val="2"/>
        </w:numPr>
        <w:spacing w:after="120" w:line="340"/>
      </w:pPr>
      <w:r>
        <w:rPr>
          <w:rFonts w:ascii="微軟正黑體" w:cs="微軟正黑體" w:eastAsia="微軟正黑體" w:hAnsi="微軟正黑體"/>
          <w:sz w:val="22"/>
          <w:szCs w:val="22"/>
        </w:rPr>
        <w:t xml:space="preserve">策略管理之層次，私部門通常區分公司層次（決定事業組合與多角化）、事業層次（決定競爭優勢）、功能層次（決定各部門如何支持事業策略）三層；轉化至公部門，學界多主張四層模式：整體政府層次（如國家發展計畫，決定國家資源整體配置）、機關層次（如部會中長程施政計畫，決定機關使命與策略領域）、功能╱業務層次（如人事主計資訊單位之功能策略，支持機關策略落地）、操作層次（如年度施政計畫，操作細節與SOP），各層次須縱向一致、橫向整合。策略管理之三階段過程為：策略規劃（含價值澄清、願景使命界定、內外部環境分析、議題辨識、策略選項發展與方案抉擇，Bryson提出公部門策略規劃八步驟）、策略執行（將策略轉化為行動，含目標設定資源配置結構流程重設領導溝通文化調適，研究顯示約六成至八成之策略失敗於執行階段）、策略評估（透過績效指標回饋與課責檢視策略是否創造公共價值，須同時管理對長官與民意機關、對公民與媒體、對內部成員之課責）。</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400"/>
        <w:gridCol w:w="38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學者／觀點</w:t>
            </w:r>
          </w:p>
        </w:tc>
        <w:tc>
          <w:tcPr>
            <w:tcW w:type="dxa" w:w="3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3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公共行政意涵</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Chandler（1962）</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策略是決定長期目標、採取行動與配置資源</w:t>
            </w:r>
          </w:p>
        </w:tc>
        <w:tc>
          <w:tcPr>
            <w:tcW w:type="dxa" w:w="3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強調目標與資源配置之連結，為策略規劃之基礎</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Mintzberg 5P（1987）</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計畫、計謀、模式、定位、觀點整合觀</w:t>
            </w:r>
          </w:p>
        </w:tc>
        <w:tc>
          <w:tcPr>
            <w:tcW w:type="dxa" w:w="3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公共政策既有計畫也有浮現之模式，需辨識正式與非正式策略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Porter（1980）</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策略是創造差異化定位以獲致競爭優勢</w:t>
            </w:r>
          </w:p>
        </w:tc>
        <w:tc>
          <w:tcPr>
            <w:tcW w:type="dxa" w:w="3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轉化為公共價值定位：獨特公共服務與不可取代性</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Bryson（2018）</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策略是創造公共價值與正當性之過程</w:t>
            </w:r>
          </w:p>
        </w:tc>
        <w:tc>
          <w:tcPr>
            <w:tcW w:type="dxa" w:w="3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強調利害關係人共創、願景領導與政治管理</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Moore（1995）</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策略三角：公共價值、正當性支持、操作能力</w:t>
            </w:r>
          </w:p>
        </w:tc>
        <w:tc>
          <w:tcPr>
            <w:tcW w:type="dxa" w:w="3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策略需同時通過價值、授權與能力三重檢驗</w:t>
            </w:r>
          </w:p>
        </w:tc>
      </w:tr>
    </w:tbl>
    <w:p>
      <w:pPr>
        <w:spacing w:after="280" w:before="120"/>
        <w:jc w:val="center"/>
      </w:pPr>
      <w:r>
        <w:rPr>
          <w:rFonts w:ascii="微軟正黑體" w:cs="微軟正黑體" w:eastAsia="微軟正黑體" w:hAnsi="微軟正黑體"/>
          <w:i/>
          <w:iCs/>
          <w:color w:val="555555"/>
          <w:sz w:val="18"/>
          <w:szCs w:val="18"/>
        </w:rPr>
        <w:t xml:space="preserve">表20-A　策略定義之比較與整合</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願景、使命與價值是策略管理之哲學基石，回答「我們為何存在、欲往何去、依何原則行動」之根本問題。願景是組織未來欲達成之理想圖像，良好願景應符合SMART-C原則：具體、可衡量、可達成、相關、有時限與挑戰性；使命是組織存在之根本目的與核心任務，多源自法律授權，應界定服務對象、核心服務與價值承諾，避免過度空泛或過度狹隘；核心價值是組織決策之指導原則，如依法行政、公平、正直、創新，AI時代需新增可信任、透明、可問責、永續與人本等價值，並與《人工智慧基本法》七大原則接軌；策略目標是使命之具體化，區分長期策略目標與年度績效目標，須導入OKR與BSC整合，使願景不僅是牆上口號，而是可追蹤之策略地圖節點。</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Mintzberg 5P與策略三角</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5P整合計畫與浮現觀點，避免將策略窄化為單一書面文件；策略三角提供公部門策略正當性之系統檢驗標準，補足私部門理論之公共性缺口</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5P五種觀點之間界線在實務辨識上不易截然二分；策略三角之操作化（如何量化正當性支持）仍高度仰賴主觀判斷，缺乏統一衡量工具</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公部門四層次模式與三階段過程</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清楚呈現策略須縱向一致橫向整合之邏輯，並指出執行階段為策略失敗之主要環節，提醒管理者不可將心力僅集中於規劃階段</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四層次模式之邊界在跨域治理與矩陣型任務中日益模糊；三階段呈現線性想像，實務上規劃執行評估常同步進行而非依序線性推進</w:t>
            </w:r>
          </w:p>
        </w:tc>
      </w:tr>
    </w:tbl>
    <w:p>
      <w:pPr>
        <w:spacing w:after="280" w:before="120"/>
        <w:jc w:val="center"/>
      </w:pPr>
      <w:r>
        <w:rPr>
          <w:rFonts w:ascii="微軟正黑體" w:cs="微軟正黑體" w:eastAsia="微軟正黑體" w:hAnsi="微軟正黑體"/>
          <w:i/>
          <w:iCs/>
          <w:color w:val="555555"/>
          <w:sz w:val="18"/>
          <w:szCs w:val="18"/>
        </w:rPr>
        <w:t xml:space="preserve">表20-B　策略管理基礎理論之貢獻與限制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在AI時代，策略規劃執行評估三階段不再線性，而呈現壓縮與疊代：生成式AI使規劃階段之資料蒐集與情境發展速度加快，執行階段透過數位孿生即時模擬，評估階段透過即時儀表板回饋，構成持續學習之策略迴圈，此一轉變之完整治理意涵留待本章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公共組織使命多源自法律授權，如衛生福利部使命為增進全民健康福祉；近年機關訂定核心價值時，逐漸將可信任、透明、可問責等AI倫理原則與依法行政、公平、廉正等傳統價值並列，呼應《人工智慧基本法》七大原則之接軌需求，展現願景使命價值體系隨治理環境演變而動態調整之特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①策略之定義：Mintzberg 5P——計畫╱計謀╱模式╱定位╱觀點</w:t>
            </w:r>
          </w:p>
          <w:p>
            <w:pPr>
              <w:spacing w:after="80" w:line="320"/>
            </w:pPr>
            <w:r>
              <w:rPr>
                <w:rFonts w:ascii="微軟正黑體" w:cs="微軟正黑體" w:eastAsia="微軟正黑體" w:hAnsi="微軟正黑體"/>
                <w:sz w:val="21"/>
                <w:szCs w:val="21"/>
              </w:rPr>
              <w:t xml:space="preserve">•　②策略管理六項特徵：長期導向╱整體導向╱外部導向╱資源導向╱不確定性導向╱政治與價值導向</w:t>
            </w:r>
          </w:p>
          <w:p>
            <w:pPr>
              <w:spacing w:after="80" w:line="320"/>
            </w:pPr>
            <w:r>
              <w:rPr>
                <w:rFonts w:ascii="微軟正黑體" w:cs="微軟正黑體" w:eastAsia="微軟正黑體" w:hAnsi="微軟正黑體"/>
                <w:sz w:val="21"/>
                <w:szCs w:val="21"/>
              </w:rPr>
              <w:t xml:space="preserve">•　③公私部門策略管理之根本差異：Bryson公共價值定義、Moore策略三角（公共價值╱正當性支持╱操作能力）</w:t>
            </w:r>
          </w:p>
          <w:p>
            <w:pPr>
              <w:spacing w:after="80" w:line="320"/>
            </w:pPr>
            <w:r>
              <w:rPr>
                <w:rFonts w:ascii="微軟正黑體" w:cs="微軟正黑體" w:eastAsia="微軟正黑體" w:hAnsi="微軟正黑體"/>
                <w:sz w:val="21"/>
                <w:szCs w:val="21"/>
              </w:rPr>
              <w:t xml:space="preserve">•　④策略管理層次：私部門三層（公司事業功能）vs公部門四層（整體政府機關功能業務操作）</w:t>
            </w:r>
          </w:p>
          <w:p>
            <w:pPr>
              <w:spacing w:after="0" w:line="320"/>
            </w:pPr>
            <w:r>
              <w:rPr>
                <w:rFonts w:ascii="微軟正黑體" w:cs="微軟正黑體" w:eastAsia="微軟正黑體" w:hAnsi="微軟正黑體"/>
                <w:sz w:val="21"/>
                <w:szCs w:val="21"/>
              </w:rPr>
              <w:t xml:space="preserve">•　⑤策略管理三階段：規劃╱執行（失敗率六至八成）╱評估，及Bryson公部門策略規劃八步驟</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5P口訣：計（畫）、計（謀）、模（式）、定（位）、觀（點）——前瞻與回顧、刻意與浮現兼具</w:t>
            </w:r>
          </w:p>
          <w:p>
            <w:pPr>
              <w:spacing w:after="80" w:line="320"/>
            </w:pPr>
            <w:r>
              <w:rPr>
                <w:rFonts w:ascii="微軟正黑體" w:cs="微軟正黑體" w:eastAsia="微軟正黑體" w:hAnsi="微軟正黑體"/>
                <w:sz w:val="21"/>
                <w:szCs w:val="21"/>
              </w:rPr>
              <w:t xml:space="preserve">•　Moore策略三角記憶：價（公共價值）、正（當性支持）、能（操作能力）——三者缺一不可，是公部門策略的照妖鏡</w:t>
            </w:r>
          </w:p>
          <w:p>
            <w:pPr>
              <w:spacing w:after="0" w:line="320"/>
            </w:pPr>
            <w:r>
              <w:rPr>
                <w:rFonts w:ascii="微軟正黑體" w:cs="微軟正黑體" w:eastAsia="微軟正黑體" w:hAnsi="微軟正黑體"/>
                <w:sz w:val="21"/>
                <w:szCs w:val="21"/>
              </w:rPr>
              <w:t xml:space="preserve">•　策略失敗一句話記憶：策略不是死在規劃室的白板上，而是死在執行過程的六到八成失敗率裡</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願景」（組織未來欲達成之理想圖像，回答欲往何去）與「使命」（組織存在之根本目的，回答為何存在）常被考生混用——願景是面向未來的目的地，使命是根植當下的存在理由，考生作答時應先界定使命（我們為何存在），再展開願景（我們要去哪裡），順序不可顛倒。</w:t>
            </w:r>
          </w:p>
          <w:p>
            <w:pPr>
              <w:spacing w:after="0" w:line="320"/>
            </w:pPr>
            <w:r>
              <w:rPr>
                <w:rFonts w:ascii="微軟正黑體" w:cs="微軟正黑體" w:eastAsia="微軟正黑體" w:hAnsi="微軟正黑體"/>
                <w:sz w:val="21"/>
                <w:szCs w:val="21"/>
              </w:rPr>
              <w:t xml:space="preserve">•　「策略規劃」（Bryson八步驟，含價值澄清願景使命界定內外部環境分析）與「策略執行」（將策略轉化為行動，含目標設定資源配置結構流程重設）常被考生視為同一階段之延伸——兩者是策略管理三階段中性質截然不同之環節，研究顯示策略失敗多發生於執行階段而非規劃階段，作答時應避免將全部篇幅集中於規劃工具，而忽略執行階段之具體挑戰。</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第二節　策略分析工具箱：外部環境與內部環境分析</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策略分析須同時掃描外部環境之機會與威脅、盤點內部環境之優勢與劣勢。總體環境分析常用PESTEL架構，涵蓋政治、經濟、社會、科技、環境、法律六構面；任務環境分析則援引Porter（1980）五力分析，原用於產業競爭強度評估，公共部門雖無利潤競爭，但仍面臨類似結構性力量，須經轉化方能適用。</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PESTEL六構面分析：政治（政黨輪替、地緣政治、兩岸關係）、經濟（經濟成長、通膨、產業結構轉型）、社會（人口老化、少子女化、多元文化）、科技（生成式AI、半導體、量子通訊）、環境（氣候變遷、淨零排放）、法律（AI基本法、個資法、資安法）。近年科技構面已成最大變動源，生成式AI同時帶來效率機會與錯假訊息、資安外洩威脅，須納入國家安全層級分析，此一觀察為後續第四節AI治理專節之伏筆。</w:t>
      </w:r>
    </w:p>
    <w:p>
      <w:pPr>
        <w:pStyle w:val="ListParagraph"/>
        <w:numPr>
          <w:ilvl w:val="0"/>
          <w:numId w:val="2"/>
        </w:numPr>
        <w:spacing w:after="120" w:line="340"/>
      </w:pPr>
      <w:r>
        <w:rPr>
          <w:rFonts w:ascii="微軟正黑體" w:cs="微軟正黑體" w:eastAsia="微軟正黑體" w:hAnsi="微軟正黑體"/>
          <w:sz w:val="22"/>
          <w:szCs w:val="22"/>
        </w:rPr>
        <w:t xml:space="preserve">五力分析轉化至公部門：任務領域內之競合（同為提供公共服務之機關、公私協力夥伴間之資源競逐）取代同業競爭；潛在替代提供者（非營利組織、私部門與平台政府可能取代傳統官僚提供）取代潛在進入者；公民╱使用者議價力（開放政府與公民意識提升，使公民以選票抗爭與社群媒體施壓）取代購買者議價力；資源供給者議價（主計、人事、數位發展部等管制機關與立法院預算審查）取代供應商議價力；替代方案威脅（數位平台、AI代理人可能替代現有服務遞送模式）取代替代品威脅。主權AI脈絡下，第五力更擴張為境外大型基礎模型之壟斷威脅，若無在地模型，國家話語權將受制於境外模型之繁中比例與價值偏誤。</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2800"/>
        <w:gridCol w:w="3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五力構面</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私部門原意</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公部門轉化</w:t>
            </w:r>
          </w:p>
        </w:tc>
        <w:tc>
          <w:tcPr>
            <w:tcW w:type="dxa" w:w="3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AI與主權AI之新涵義</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現有競爭者</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同業競爭強度</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同級機關爭取預算與人才</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各部會爭奪AI算力與資料主權</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潛在進入者</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新廠商進入門檻</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外包、NGO與平台業者進入公共服務</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境外生成式AI平台低門檻進入政務應用</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替代品</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替代產品威脅</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替代政策工具與服務遞送管道</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AI代理人替代傳統臨櫃與公文流程</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供應商議價</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上游廠商控制力</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管制機關與立法監督</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國際算力晶片與雲端業者壟斷議價</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購買者議價</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客戶議價力</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公民與利害關係人施壓力</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公民對AI可解釋性與公平性要求升高</w:t>
            </w:r>
          </w:p>
        </w:tc>
      </w:tr>
    </w:tbl>
    <w:p>
      <w:pPr>
        <w:spacing w:after="280" w:before="120"/>
        <w:jc w:val="center"/>
      </w:pPr>
      <w:r>
        <w:rPr>
          <w:rFonts w:ascii="微軟正黑體" w:cs="微軟正黑體" w:eastAsia="微軟正黑體" w:hAnsi="微軟正黑體"/>
          <w:i/>
          <w:iCs/>
          <w:color w:val="555555"/>
          <w:sz w:val="18"/>
          <w:szCs w:val="18"/>
        </w:rPr>
        <w:t xml:space="preserve">表20-C　五力分析在公共部門與主權AI脈絡之轉化</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內部環境分析旨在盤點資源與能力，判定優勢與劣勢。資源基礎觀（Resource-Based View, RBV）主張，組織持續優勢來自具VRIO特性之資源：價值（有價值，能把握機會或中和威脅）、稀少性（稀少，非大量機關所握）、難以模仿性（難以模仿，具歷史獨特性、因果模糊或社會複雜性）、組織性（組織能有效運用該資源）。公共組織獨特資源包括：法定授權、公共信任、跨域資料治理權、第一線服務網絡、繁中高品質治理語料等；TAIDE之戰略意義即在將臺灣繁中語料、在地文化與民主價值轉化為VRIO資源，形成難以被境外模型取代之優勢，此一命題正是主權AI戰略之理論基礎，將於第四節進一步展開。</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PESTEL與五力轉化分析</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系統性掃描總體環境與任務環境，避免策略規劃流於片面觀察；五力轉化架構具體指出公部門雖無利潤競爭仍存在結構性競合關係，深化對公共治理環境之理解</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PESTEL六構面之權重與優先順序判定高度仰賴分析者主觀經驗，缺乏客觀量化標準；五力轉化在跨域協力盛行之當代治理中，「競爭者」與「協力夥伴」之界線日益模糊，轉化架構之適用性面臨挑戰</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RBV／VRIO資源分析</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提供系統性判準（價值稀少難模仿組織性）辨識組織真正之核心優勢，避免將表面資源（如充足預算）誤認為持續競爭優勢</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VRIO四特性之判定（尤其難以模仿性）高度依賴歷史脈絡與定性判斷，量化衡量困難；公共組織之資源優劣勢常受政治環境劇烈波動影響，穩定性低於私部門</w:t>
            </w:r>
          </w:p>
        </w:tc>
      </w:tr>
    </w:tbl>
    <w:p>
      <w:pPr>
        <w:spacing w:after="280" w:before="120"/>
        <w:jc w:val="center"/>
      </w:pPr>
      <w:r>
        <w:rPr>
          <w:rFonts w:ascii="微軟正黑體" w:cs="微軟正黑體" w:eastAsia="微軟正黑體" w:hAnsi="微軟正黑體"/>
          <w:i/>
          <w:iCs/>
          <w:color w:val="555555"/>
          <w:sz w:val="18"/>
          <w:szCs w:val="18"/>
        </w:rPr>
        <w:t xml:space="preserve">表20-D　外部與內部環境分析工具之貢獻與限制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生成式AI帶來之能力破壞，使原有優勢（如人力充足）可能因AI自動化而快速貶值，VRIO判準須重新評價——過去被視為稀少難以模仿之資源（如熟悉繁瑣行政流程之資深人力），在AI輔助流程自動化後，其稀少性與難以模仿性可能同步下降，此一動態評價之治理挑戰，留待第四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部分機關之內部劣勢包括：僵化人事制度、風險規避文化、資料孤島、AI素養落差與長期依賴境外雲端之算力依賴；反之，TAIDE計畫將繁中語料與在地文化價值轉化為VRIO資源，正是將原本分散、未被系統化利用之公共資源，轉化為難以被境外模型取代之策略性優勢之具體實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①PESTEL六構面：政治╱經濟╱社會╱科技╱環境╱法律</w:t>
            </w:r>
          </w:p>
          <w:p>
            <w:pPr>
              <w:spacing w:after="80" w:line="320"/>
            </w:pPr>
            <w:r>
              <w:rPr>
                <w:rFonts w:ascii="微軟正黑體" w:cs="微軟正黑體" w:eastAsia="微軟正黑體" w:hAnsi="微軟正黑體"/>
                <w:sz w:val="21"/>
                <w:szCs w:val="21"/>
              </w:rPr>
              <w:t xml:space="preserve">•　②五力分析公部門轉化：任務領域競合╱潛在替代提供者╱公民使用者議價力╱資源供給者議價╱替代方案威脅</w:t>
            </w:r>
          </w:p>
          <w:p>
            <w:pPr>
              <w:spacing w:after="80" w:line="320"/>
            </w:pPr>
            <w:r>
              <w:rPr>
                <w:rFonts w:ascii="微軟正黑體" w:cs="微軟正黑體" w:eastAsia="微軟正黑體" w:hAnsi="微軟正黑體"/>
                <w:sz w:val="21"/>
                <w:szCs w:val="21"/>
              </w:rPr>
              <w:t xml:space="preserve">•　③RBV與VRIO四特性：價值╱稀少性╱難以模仿性╱組織性</w:t>
            </w:r>
          </w:p>
          <w:p>
            <w:pPr>
              <w:spacing w:after="0" w:line="320"/>
            </w:pPr>
            <w:r>
              <w:rPr>
                <w:rFonts w:ascii="微軟正黑體" w:cs="微軟正黑體" w:eastAsia="微軟正黑體" w:hAnsi="微軟正黑體"/>
                <w:sz w:val="21"/>
                <w:szCs w:val="21"/>
              </w:rPr>
              <w:t xml:space="preserve">•　④公共組織獨特VRIO資源：法定授權╱公共信任╱跨域資料治理權╱第一線服務網絡╱繁中治理語料；TAIDE案例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PESTEL口訣：政（治）、經（濟）、社（會）、科（技）、環（境）、法（律）——六字訣涵蓋總體環境</w:t>
            </w:r>
          </w:p>
          <w:p>
            <w:pPr>
              <w:spacing w:after="80" w:line="320"/>
            </w:pPr>
            <w:r>
              <w:rPr>
                <w:rFonts w:ascii="微軟正黑體" w:cs="微軟正黑體" w:eastAsia="微軟正黑體" w:hAnsi="微軟正黑體"/>
                <w:sz w:val="21"/>
                <w:szCs w:val="21"/>
              </w:rPr>
              <w:t xml:space="preserve">•　VRIO口訣：價（值）、稀（少性）、難（以模仿性）、組（織性）——「價稀難組」四字訣</w:t>
            </w:r>
          </w:p>
          <w:p>
            <w:pPr>
              <w:spacing w:after="0" w:line="320"/>
            </w:pPr>
            <w:r>
              <w:rPr>
                <w:rFonts w:ascii="微軟正黑體" w:cs="微軟正黑體" w:eastAsia="微軟正黑體" w:hAnsi="微軟正黑體"/>
                <w:sz w:val="21"/>
                <w:szCs w:val="21"/>
              </w:rPr>
              <w:t xml:space="preserve">•　五力轉化一句話記憶：公部門沒有市場競爭，但有預算人才資料的競爭——五力分析換個名詞照樣適用</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PESTEL分析」（總體環境分析，涵蓋政治經濟社會科技環境法律六大構面，適用對象為所有組織）與「五力分析」（任務╱產業環境分析，聚焦競爭者潛在進入者替代品供應商購買者五種結構性力量，適用對象為特定任務領域）常被考生混為一談——兩者分析範圍層次不同：PESTEL是「大環境掃描」，五力是「特定任務領域內之結構性競合力量分析」，前者範圍較廣但較宏觀，後者範圍較窄但較具體，實務上應先做PESTEL再做五力，由外而內層層聚焦。</w:t>
            </w:r>
          </w:p>
          <w:p>
            <w:pPr>
              <w:spacing w:after="0" w:line="320"/>
            </w:pPr>
            <w:r>
              <w:rPr>
                <w:rFonts w:ascii="微軟正黑體" w:cs="微軟正黑體" w:eastAsia="微軟正黑體" w:hAnsi="微軟正黑體"/>
                <w:sz w:val="21"/>
                <w:szCs w:val="21"/>
              </w:rPr>
              <w:t xml:space="preserve">•　「難以模仿性」（VRIO四特性之一，指資源具歷史獨特性、因果模糊或社會複雜性，難以被複製）與「稀少性」（指資源非大量機關所握，數量稀少）常被考生視為同一概念——稀少性談的是「數量上有多少組織擁有」，難以模仿性談的是「即使想擁有，能否複製」，一項資源可能稀少但容易模仿（如剛採購之新軟體），也可能不稀少但難以模仿（如長期累積之公共信任），兩者須分開評估。</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SWOT／TOWS策略配對、策略類型與策略性績效管理</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SWOT分析由Andrews（1971）與Weihrich發展，將內部優勢劣勢與外部機會威脅交叉配對，形成策略選項；策略類型則依據配對結果與組織調適傾向加以分類；平衡計分卡與策略地圖則將抽象策略轉化為可衡量、可追蹤之具體行動指標，三者共同構成「分析—選擇—執行追蹤」之策略工具鏈。</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SWOT交叉分析形成四種策略：SO（優勢-機會，擴張型策略，運用優勢把握機會）、WO（劣勢-機會，轉向型策略，克服劣勢以掌握機會）、ST（優勢-威脅，防禦型策略，運用優勢降低威脅）、WT（劣勢-威脅，緊縮或退避型策略，減少劣勢並避開威脅）。公共組織常以TOWS（Weihrich, 1982）強調先外部後內部之順序，避免閉門造車、自我感覺良好地高估內部優勢；SWOT須有佐證數據，不能流於主觀臆測清單，須結合VRIO與PESTEL證據方具說服力。</w:t>
      </w:r>
    </w:p>
    <w:p>
      <w:pPr>
        <w:pStyle w:val="ListParagraph"/>
        <w:numPr>
          <w:ilvl w:val="0"/>
          <w:numId w:val="2"/>
        </w:numPr>
        <w:spacing w:after="120" w:line="340"/>
      </w:pPr>
      <w:r>
        <w:rPr>
          <w:rFonts w:ascii="微軟正黑體" w:cs="微軟正黑體" w:eastAsia="微軟正黑體" w:hAnsi="微軟正黑體"/>
          <w:sz w:val="22"/>
          <w:szCs w:val="22"/>
        </w:rPr>
        <w:t xml:space="preserve">公共組織策略類型依層次可區分：成長策略（擴張服務領域或對象）、穩定策略（維持現有服務品質與範疇，強調效率與法制穩定）、縮減策略（裁撤冗餘、整併機關）、組合策略（不同業務採不同策略組合）。依Miles &amp; Snow（1978）之公部門調適類型：探勘者（積極創新，如率先試辦生成式AI公文）、防禦者（注重效率與穩定）、分析者（平衡探勘與防禦）、反應者（被動回應，缺乏一致策略）；研究顯示，具探勘與分析傾向之機關在AI轉型中績效較佳。</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3913"/>
        <w:gridCol w:w="3913"/>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
            </w:r>
          </w:p>
        </w:tc>
        <w:tc>
          <w:tcPr>
            <w:tcW w:type="dxa" w:w="39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內部優勢S</w:t>
            </w:r>
          </w:p>
        </w:tc>
        <w:tc>
          <w:tcPr>
            <w:tcW w:type="dxa" w:w="39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內部劣勢W</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外部機會O</w:t>
            </w:r>
          </w:p>
        </w:tc>
        <w:tc>
          <w:tcPr>
            <w:tcW w:type="dxa" w:w="3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SO成長擴張：運用繁中語料與半導體優勢，發展TAIDE與AI算力中心</w:t>
            </w:r>
          </w:p>
        </w:tc>
        <w:tc>
          <w:tcPr>
            <w:tcW w:type="dxa" w:w="3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WO轉型補強：引進數位人才、打破資料孤島，以掌握AI島機會</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外部威脅T</w:t>
            </w:r>
          </w:p>
        </w:tc>
        <w:tc>
          <w:tcPr>
            <w:tcW w:type="dxa" w:w="3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ST多元防禦：以資安能量與法律授權，防範境外AI假訊息與資料壟斷</w:t>
            </w:r>
          </w:p>
        </w:tc>
        <w:tc>
          <w:tcPr>
            <w:tcW w:type="dxa" w:w="3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WT防守節流：避免貿然全面導入黑箱AI，先建法制與素養基礎</w:t>
            </w:r>
          </w:p>
        </w:tc>
      </w:tr>
    </w:tbl>
    <w:p>
      <w:pPr>
        <w:spacing w:after="280" w:before="120"/>
        <w:jc w:val="center"/>
      </w:pPr>
      <w:r>
        <w:rPr>
          <w:rFonts w:ascii="微軟正黑體" w:cs="微軟正黑體" w:eastAsia="微軟正黑體" w:hAnsi="微軟正黑體"/>
          <w:i/>
          <w:iCs/>
          <w:color w:val="555555"/>
          <w:sz w:val="18"/>
          <w:szCs w:val="18"/>
        </w:rPr>
        <w:t xml:space="preserve">表20-E　SWOT／TOWS矩陣與公部門策略類型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400"/>
        <w:gridCol w:w="40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4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AI脈絡舉例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成長／擴張</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增加服務範圍與對象</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擴散TAIDE至百工百業，建置AI新十大建設</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穩定／維持</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維持品質與法遵</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維持人機協作比例，確保人工覆核</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縮減／撤退</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精簡或退場</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退場重複低效之傳統資訊系統</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組合</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依業務差異化策略</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高風險業務採穩定，創新業務採成長</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探勘者（Miles &amp; Snow）</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主動創新</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國科會推動TAIDE 2.0與主權AI算力</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分析者（Miles &amp; Snow）</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穩中求變</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多數部會採沙盒試驗後擴散</w:t>
            </w:r>
          </w:p>
        </w:tc>
      </w:tr>
    </w:tbl>
    <w:p>
      <w:pPr>
        <w:spacing w:after="280" w:before="120"/>
        <w:jc w:val="center"/>
      </w:pPr>
      <w:r>
        <w:rPr>
          <w:rFonts w:ascii="微軟正黑體" w:cs="微軟正黑體" w:eastAsia="微軟正黑體" w:hAnsi="微軟正黑體"/>
          <w:i/>
          <w:iCs/>
          <w:color w:val="555555"/>
          <w:sz w:val="18"/>
          <w:szCs w:val="18"/>
        </w:rPr>
        <w:t xml:space="preserve">表20-F　公共組織策略類型與AI脈絡舉例</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傳統績效管理僅重財務，難以衡量策略執行。Kaplan與Norton（1996, 2001）提出平衡計分卡（Balanced Scorecard, BSC），主張從財務、顧客、內部流程、學習與成長四構面衡量策略執行成效；公部門BSC之調整，Niven（2008）主張將顧客構面提升至頂端，財務構面改為資源管理與課責，並於最上層增列使命或公共價值構面，呈現公共組織最終目的並非獲利而是公益。策略地圖（Strategy Map）是BSC之視覺化工具，以因果邏輯連結四構面目標，展現如何透過學習成長帶動內部流程改善，進而提升顧客滿意與資源有效運用，此一因果鏈邏輯亦是後續AI戰略地圖之理論基礎。</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SWOT／TOWS矩陣與策略類型</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提供簡明易懂之策略配對邏輯，四種策略類型（成長穩定縮減組合）與Miles&amp;Snow調適類型互補，兼顧靜態配對與動態調適觀點</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SWOT若缺乏佐證數據，易流於主觀臆測清單；策略類型之分類為理念型簡化，實務上機關常同時具備多種類型特徵，須以組合策略觀點靈活運用</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平衡計分卡與策略地圖</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突破傳統僅重財務之績效管理侷限，將學習成長內部流程顧客資源四構面以因果鏈連結，並透過公部門化調整（顧客置頂增列公共價值構面）貼近公共組織本質</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四構面指標之因果關係在複雜公共治理情境中未必如理論般線性清晰；指標設計不當易導致「為衡量而衡量」，員工僅追逐指標數字而忽略指標背後之公共價值本旨</w:t>
            </w:r>
          </w:p>
        </w:tc>
      </w:tr>
    </w:tbl>
    <w:p>
      <w:pPr>
        <w:spacing w:after="280" w:before="120"/>
        <w:jc w:val="center"/>
      </w:pPr>
      <w:r>
        <w:rPr>
          <w:rFonts w:ascii="微軟正黑體" w:cs="微軟正黑體" w:eastAsia="微軟正黑體" w:hAnsi="微軟正黑體"/>
          <w:i/>
          <w:iCs/>
          <w:color w:val="555555"/>
          <w:sz w:val="18"/>
          <w:szCs w:val="18"/>
        </w:rPr>
        <w:t xml:space="preserve">表20-G　SWOT策略類型與BSC之貢獻與限制</w:t>
      </w:r>
    </w:p>
    <w:p>
      <w:pPr>
        <w:spacing w:after="140" w:before="260"/>
      </w:pPr>
      <w:r>
        <w:rPr>
          <w:rFonts w:ascii="微軟正黑體" w:cs="微軟正黑體" w:eastAsia="微軟正黑體" w:hAnsi="微軟正黑體"/>
          <w:b/>
          <w:bCs/>
          <w:color w:val="2E5C8A"/>
          <w:sz w:val="23"/>
          <w:szCs w:val="23"/>
        </w:rPr>
        <w:t xml:space="preserve">六、當代發展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000"/>
        <w:gridCol w:w="2600"/>
        <w:gridCol w:w="3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私部門指標</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公部門轉化指標</w:t>
            </w:r>
          </w:p>
        </w:tc>
        <w:tc>
          <w:tcPr>
            <w:tcW w:type="dxa" w:w="3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AI時代新增指標</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財務／資源</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營收、ROI</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預算執行率、成本效益</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算力投資效益、AI成本可持續性</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顧客／公民</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顧客滿意、市占率</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公民滿意度、陳情回應時間</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AI服務包容性、演算法公平性感知</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內部流程</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品質、時程</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作業流程效率、法規遵循</w:t>
            </w:r>
          </w:p>
        </w:tc>
        <w:tc>
          <w:tcPr>
            <w:tcW w:type="dxa" w:w="3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資料治理成熟度、模型風險分級、資安事件</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學習成長</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員工訓練、資訊系統</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公務人員專業能力、知識管理</w:t>
            </w:r>
          </w:p>
        </w:tc>
        <w:tc>
          <w:tcPr>
            <w:tcW w:type="dxa" w:w="3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AI素養涵蓋率、繁中語料貢獻量、TAIDE使用度</w:t>
            </w:r>
          </w:p>
        </w:tc>
      </w:tr>
    </w:tbl>
    <w:p>
      <w:pPr>
        <w:spacing w:after="280" w:before="120"/>
        <w:jc w:val="center"/>
      </w:pPr>
      <w:r>
        <w:rPr>
          <w:rFonts w:ascii="微軟正黑體" w:cs="微軟正黑體" w:eastAsia="微軟正黑體" w:hAnsi="微軟正黑體"/>
          <w:i/>
          <w:iCs/>
          <w:color w:val="555555"/>
          <w:sz w:val="18"/>
          <w:szCs w:val="18"/>
        </w:rPr>
        <w:t xml:space="preserve">表20-H　平衡計分卡在公部門與AI時代之轉化</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機關運用SWOT／TOWS矩陣進行策略規劃時，宜結合繁中語料與半導體優勢等VRIO資源，設計SO成長擴張策略（如發展TAIDE與AI算力中心），並同步以WT防守節流策略避免貿然全面導入黑箱AI；在績效管理面，數位發展部等機關可參考表20-H之AI時代新增指標，將AI素養涵蓋率、資料治理成熟度等納入學習成長與內部流程構面，使策略地圖之因果鏈真正涵蓋AI轉型之關鍵槓桿。</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①SWOT四種策略：SO擴張型╱WO轉向型╱ST防禦型╱WT緊縮退避型</w:t>
            </w:r>
          </w:p>
          <w:p>
            <w:pPr>
              <w:spacing w:after="80" w:line="320"/>
            </w:pPr>
            <w:r>
              <w:rPr>
                <w:rFonts w:ascii="微軟正黑體" w:cs="微軟正黑體" w:eastAsia="微軟正黑體" w:hAnsi="微軟正黑體"/>
                <w:sz w:val="21"/>
                <w:szCs w:val="21"/>
              </w:rPr>
              <w:t xml:space="preserve">•　②TOWS強調先外部後內部之順序與理由（避免閉門造車、高估內部優勢）</w:t>
            </w:r>
          </w:p>
          <w:p>
            <w:pPr>
              <w:spacing w:after="80" w:line="320"/>
            </w:pPr>
            <w:r>
              <w:rPr>
                <w:rFonts w:ascii="微軟正黑體" w:cs="微軟正黑體" w:eastAsia="微軟正黑體" w:hAnsi="微軟正黑體"/>
                <w:sz w:val="21"/>
                <w:szCs w:val="21"/>
              </w:rPr>
              <w:t xml:space="preserve">•　③公共組織策略類型：成長╱穩定╱縮減╱組合；Miles &amp; Snow：探勘者╱防禦者╱分析者╱反應者</w:t>
            </w:r>
          </w:p>
          <w:p>
            <w:pPr>
              <w:spacing w:after="80" w:line="320"/>
            </w:pPr>
            <w:r>
              <w:rPr>
                <w:rFonts w:ascii="微軟正黑體" w:cs="微軟正黑體" w:eastAsia="微軟正黑體" w:hAnsi="微軟正黑體"/>
                <w:sz w:val="21"/>
                <w:szCs w:val="21"/>
              </w:rPr>
              <w:t xml:space="preserve">•　④平衡計分卡四構面：財務╱顧客╱內部流程╱學習成長；公部門調整（顧客置頂、增列公共價值構面）</w:t>
            </w:r>
          </w:p>
          <w:p>
            <w:pPr>
              <w:spacing w:after="0" w:line="320"/>
            </w:pPr>
            <w:r>
              <w:rPr>
                <w:rFonts w:ascii="微軟正黑體" w:cs="微軟正黑體" w:eastAsia="微軟正黑體" w:hAnsi="微軟正黑體"/>
                <w:sz w:val="21"/>
                <w:szCs w:val="21"/>
              </w:rPr>
              <w:t xml:space="preserve">•　⑤策略地圖：BSC視覺化工具，以因果邏輯連結四構面目標</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SWOT四策略口訣：SO擴張、WO轉向、ST防禦、WT緊縮——優勢配機會最積極，劣勢配威脅最保守</w:t>
            </w:r>
          </w:p>
          <w:p>
            <w:pPr>
              <w:spacing w:after="80" w:line="320"/>
            </w:pPr>
            <w:r>
              <w:rPr>
                <w:rFonts w:ascii="微軟正黑體" w:cs="微軟正黑體" w:eastAsia="微軟正黑體" w:hAnsi="微軟正黑體"/>
                <w:sz w:val="21"/>
                <w:szCs w:val="21"/>
              </w:rPr>
              <w:t xml:space="preserve">•　Miles &amp; Snow四型口訣：探（勘者，積極創新）、防（禦者，注重穩定）、分（析者，平衡）、反（應者，被動）——「探防分反」四字訣</w:t>
            </w:r>
          </w:p>
          <w:p>
            <w:pPr>
              <w:spacing w:after="0" w:line="320"/>
            </w:pPr>
            <w:r>
              <w:rPr>
                <w:rFonts w:ascii="微軟正黑體" w:cs="微軟正黑體" w:eastAsia="微軟正黑體" w:hAnsi="微軟正黑體"/>
                <w:sz w:val="21"/>
                <w:szCs w:val="21"/>
              </w:rPr>
              <w:t xml:space="preserve">•　BSC公部門化一句話記憶：私部門把財務放最上面，公部門把公共價值放最上面——錢不是目的，是達成使命的手段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SWOT分析」（將既有優勢劣勢機會威脅四要素並列呈現，屬靜態盤點）與「TOWS矩陣」（將四要素交叉配對形成SO╱WO╱ST╱WT四種具體策略，屬動態配對決策）常被考生視為同一工具的不同名稱——嚴格而言，SWOT是「盤點」，TOWS是在SWOT盤點基礎上進行「配對決策」，且TOWS特別強調應先完成外部機會威脅分析、再進行內部優勢劣勢分析，此一先後順序本身即為重要考點，不可省略不答。</w:t>
            </w:r>
          </w:p>
          <w:p>
            <w:pPr>
              <w:spacing w:after="0" w:line="320"/>
            </w:pPr>
            <w:r>
              <w:rPr>
                <w:rFonts w:ascii="微軟正黑體" w:cs="微軟正黑體" w:eastAsia="微軟正黑體" w:hAnsi="微軟正黑體"/>
                <w:sz w:val="21"/>
                <w:szCs w:val="21"/>
              </w:rPr>
              <w:t xml:space="preserve">•　「策略地圖」（BSC之視覺化工具，以因果邏輯連結四構面目標，展示由學習成長到顧客資源之因果鏈）與「平衡計分卡」（衡量策略執行成效之四構面指標系統本身）常被考生混為一談——BSC是「衡量什麼」的指標系統，策略地圖是「指標之間如何因果連動」的視覺化敘事工具，兩者相輔相成，BSC提供指標內容，策略地圖提供指標間之邏輯故事線。</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AI鑲嵌下的策略管理：AI驅動SWOT與主權AI四主權戰略</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傳統策略規劃假設環境相對可預測、資訊可透過專家工作坊取得。生成式AI帶來三重破壞：速度破壞（技術週期從年縮至月，SWOT若一年做一次即失效）、資訊破壞（AI生成內容造成資訊過剩與真假難辨，專家直覺可能被幻覺污染）、能力破壞（原有優勢可能因AI自動化而快速貶值，VRIO需重新評價）。因此，SWOT是否失效成為核心治理挑戰；學者主張並非工具本身失效，而是靜態使用方式失效，需轉向AI增強之動態SWOT。</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AI驅動SWOT（AI-Augmented SWOT）運用生成式AI與資料分析，強化SWOT之廣度、深度與即時性：資料廣度（透過自然語言處理即時爬梳民意、新聞、國際評比與法規草案，自動識別機會與威脅，避免專家偏誤）、深度分析（結合知識圖譜與因果推論，挖掘優勢與劣勢間之隱藏連結）、動態模擬（以數位孿生與代理人基建模模擬不同策略組合之後果，進行反事實推理）、偏誤校正（透過紅隊演練與可解釋AI揭露SWOT過程之人為與資料偏誤，強化可問責）。然AI驅動SWOT亦有限制：資料品質決定分析品質、模型偏見可能複製既有權力結構、過度依賴AI將導致策略思考能力空洞化，因此人機共構（Human-AI Teaming）之設計至關重要，人類負責價值判斷與民主正當性，AI負責資料處理與情境推演。數位孿生政府（Digital Twin Government）指以即時資料建構實體政府運作之虛擬鏡像，進行政策與策略之前瞻模擬，如新加坡Virtual Singapore可模擬交通能源與災防政策之跨域外溢，我國可運用國網中心算力建立部會或地方政府之數位孿生，測試不同主權AI投資組合對公共價值之長期影響。</w:t>
      </w:r>
    </w:p>
    <w:p>
      <w:pPr>
        <w:pStyle w:val="ListParagraph"/>
        <w:numPr>
          <w:ilvl w:val="0"/>
          <w:numId w:val="2"/>
        </w:numPr>
        <w:spacing w:after="120" w:line="340"/>
      </w:pPr>
      <w:r>
        <w:rPr>
          <w:rFonts w:ascii="微軟正黑體" w:cs="微軟正黑體" w:eastAsia="微軟正黑體" w:hAnsi="微軟正黑體"/>
          <w:sz w:val="22"/>
          <w:szCs w:val="22"/>
        </w:rPr>
        <w:t xml:space="preserve">主權AI（Sovereign AI）作為國家策略之急迫性，在於當繁中語料多混雜簡體偏誤、算力與基礎模型由少數境外企業壟斷時，若無主權AI，國家將喪失語言、文化與民主話語主權，形同將社會大腦外包。主權AI四主權戰略缺一不可：資料主權（可信任資料治理與繁中語料共用）、運算主權（自主綠色算力中心）、模型主權（發展TAIDE等可信任基礎模型）、治理主權（AI基本法與風險分級確保價值對齊）。此外，GovTech戰略透過採購、沙盒與平台化形成政府即平台生態；AI風險戰略則依風險分級（不可接受、高風險、有限、最小）進行差異化治理，高風險要求標示、演算法影響評估與人工覆核。</w:t>
      </w:r>
    </w:p>
    <w:p>
      <w:pPr>
        <w:spacing w:after="140" w:before="260"/>
      </w:pPr>
      <w:r>
        <w:rPr>
          <w:rFonts w:ascii="微軟正黑體" w:cs="微軟正黑體" w:eastAsia="微軟正黑體" w:hAnsi="微軟正黑體"/>
          <w:b/>
          <w:bCs/>
          <w:color w:val="2E5C8A"/>
          <w:sz w:val="23"/>
          <w:szCs w:val="23"/>
        </w:rPr>
        <w:t xml:space="preserve">三、主要學者與工具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傳統SWOT</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AI驅動SWOT</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資料來源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專家工作坊、問卷</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NLP整合民意、開放資料、社群、國際資料庫</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更新頻率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年度或專案式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即時儀表板、連續監測</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分析深度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主觀質性描述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量化證據＋因果圖譜＋情境模擬</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參與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少數高階主管</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擴大公民與基層參與，AI輔助共識萃取</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風險</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從眾與權威偏誤</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幻覺、偏見、自動化偏誤，需人機覆核</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產出</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靜態四象限清單</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動態策略地圖與數位孿生模擬劇本</w:t>
            </w:r>
          </w:p>
        </w:tc>
      </w:tr>
    </w:tbl>
    <w:p>
      <w:pPr>
        <w:spacing w:after="280" w:before="120"/>
        <w:jc w:val="center"/>
      </w:pPr>
      <w:r>
        <w:rPr>
          <w:rFonts w:ascii="微軟正黑體" w:cs="微軟正黑體" w:eastAsia="微軟正黑體" w:hAnsi="微軟正黑體"/>
          <w:i/>
          <w:iCs/>
          <w:color w:val="555555"/>
          <w:sz w:val="18"/>
          <w:szCs w:val="18"/>
        </w:rPr>
        <w:t xml:space="preserve">表20-I　傳統SWOT vs AI驅動SWOT之比較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延伸——AI環境掃描系統決定哪些趨勢被標記為值得關注之異常、哪些訊號被過濾為雜訊，實質上框定了策略規劃者能看見的世界，若掃描資料本身存有代表性缺口，策略議程便可能系統性地忽略特定群體之真實需求；行政裁量權（P2）移轉——當AI生成之策略建議被直接視為方向選項（單圈修正），而非成為價值假定之檢討對象（雙圈學習），原本應由高層承擔之政治判斷裁量，實質上被壓縮為技術可行性的確認；公權力影響力（P3）擴散——設計AI戰略模擬模型與訓練資料的技術團隊，對「未來被如何想像」擁有實質影響力，卻未必進入正式的策略決策與課責架構之中。三種結構性效應中，本章尤須警惕「技術官僚化的策略遁逃」：策略管理向來是政治性最強的管理功能之一，若AI生成的策略建議被誤認為客觀中立的最適解，決策者可能在不自覺中將政治判斷讓渡給技術系統，用分析的複雜性掩護對政治課責的實質迴避；此一現象亦與邊界消解相關——策略規劃與策略執行之邊界，因AI即時模擬與快速迭代而更難清楚劃分，留給民主審議的緩衝時間隨之壓縮。</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AI驅動SWOT與數位孿生戰略模擬</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以NLP、知識圖譜與代理人基建模大幅提升策略分析之資料廣度、深度與即時性，並可透過反事實推理模擬不同策略組合之長期後果，強化策略韌性</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資料品質決定分析品質，訓練資料偏誤將被放大複製；過度依賴AI恐使決策者策略思考能力空洞化，人機共構之分工設計若未落實，易生表面科學化實則權力讓渡之風險</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主權AI四主權戰略</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系統性回應資料算力模型治理四面向之國家自主能力需求，避免完全依賴境外供應者導致語言文化與民主話語權喪失，具高度國家安全與文化主權意涵</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四主權戰略之落實需鉅額長期投資與跨部會協調，國際案例（如法國）顯示宣示金額與實質投入常有落差，政策延續性易受政黨輪替與人事更迭影響而中斷</w:t>
            </w:r>
          </w:p>
        </w:tc>
      </w:tr>
    </w:tbl>
    <w:p>
      <w:pPr>
        <w:spacing w:after="280" w:before="120"/>
        <w:jc w:val="center"/>
      </w:pPr>
      <w:r>
        <w:rPr>
          <w:rFonts w:ascii="微軟正黑體" w:cs="微軟正黑體" w:eastAsia="微軟正黑體" w:hAnsi="微軟正黑體"/>
          <w:i/>
          <w:iCs/>
          <w:color w:val="555555"/>
          <w:sz w:val="18"/>
          <w:szCs w:val="18"/>
        </w:rPr>
        <w:t xml:space="preserve">表20-J　AI驅動策略工具與主權AI戰略之貢獻與限制</w:t>
      </w:r>
    </w:p>
    <w:p>
      <w:pPr>
        <w:spacing w:after="140" w:before="260"/>
      </w:pPr>
      <w:r>
        <w:rPr>
          <w:rFonts w:ascii="微軟正黑體" w:cs="微軟正黑體" w:eastAsia="微軟正黑體" w:hAnsi="微軟正黑體"/>
          <w:b/>
          <w:bCs/>
          <w:color w:val="2E5C8A"/>
          <w:sz w:val="23"/>
          <w:szCs w:val="23"/>
        </w:rPr>
        <w:t xml:space="preserve">六、當代發展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AI環境掃描標記哪些趨勢為值得關注之異常，哪些訊號被系統性忽略</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AI生成之策略建議是否僭越組織正式決策權威，政治判斷是否被技術可行性取代</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策略選擇之理由能否回溯至可理解之證據與價值權衡，而非僅呈現演算法輸出</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策略執行失敗或落差發生時，究責對象是規劃者、執行機關抑或AI模擬工具供應商</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表20-K　策略管理階段四鏈七審應用</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人工智慧基本法》歷經2024年7月國科會預告、2025年8月行政院通過、2025年12月立法院三讀，確立永續、人類自主、隱私與資料治理、安全、透明可解釋、公平、可問責七大原則，定錨AI島願景；TAIDE戰略方面，國科會自2023年以TAIWANIA 2算力為基礎，建構繁中與在地文化語料，採RLHF發展可信任模型，並結合TAIWAN AI RAP平台形成算力—平台—模型—應用之主權AI生態，展現資料、運算、模型三主權之具體實踐。相對而言，法國「國家人工智慧戰略」雖投入逾十億歐元且催生Mistral AI等主權AI象徵，惟法國審計法院2025年11月報告指出，前期戰略在「研究優勢轉化為廣泛經濟採用」上出現嚴重落差，17年間更迭11位數位事務部長，政策延續性長期斷裂，此一國際案例提醒：策略宣示之聲量與策略執行之實效未必同步，唯有建立可課責之因果鏈，方能避免策略淪為劇場，此正是本章平衡計分卡與四鏈七審框架強調課責追蹤之現實意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①生成式AI對傳統策略規劃之三重破壞：速度破壞╱資訊破壞╱能力破壞</w:t>
            </w:r>
          </w:p>
          <w:p>
            <w:pPr>
              <w:spacing w:after="80" w:line="320"/>
            </w:pPr>
            <w:r>
              <w:rPr>
                <w:rFonts w:ascii="微軟正黑體" w:cs="微軟正黑體" w:eastAsia="微軟正黑體" w:hAnsi="微軟正黑體"/>
                <w:sz w:val="21"/>
                <w:szCs w:val="21"/>
              </w:rPr>
              <w:t xml:space="preserve">•　②AI驅動SWOT四項強化：資料廣度╱深度分析╱動態模擬╱偏誤校正；人機共構分工原則</w:t>
            </w:r>
          </w:p>
          <w:p>
            <w:pPr>
              <w:spacing w:after="80" w:line="320"/>
            </w:pPr>
            <w:r>
              <w:rPr>
                <w:rFonts w:ascii="微軟正黑體" w:cs="微軟正黑體" w:eastAsia="微軟正黑體" w:hAnsi="微軟正黑體"/>
                <w:sz w:val="21"/>
                <w:szCs w:val="21"/>
              </w:rPr>
              <w:t xml:space="preserve">•　③主權AI四主權：資料主權╱運算主權╱模型主權╱治理主權；GovTech戰略與AI風險分級</w:t>
            </w:r>
          </w:p>
          <w:p>
            <w:pPr>
              <w:spacing w:after="80" w:line="320"/>
            </w:pPr>
            <w:r>
              <w:rPr>
                <w:rFonts w:ascii="微軟正黑體" w:cs="微軟正黑體" w:eastAsia="微軟正黑體" w:hAnsi="微軟正黑體"/>
                <w:sz w:val="21"/>
                <w:szCs w:val="21"/>
              </w:rPr>
              <w:t xml:space="preserve">•　④三種權力移轉：P1情境建構權（AI環境掃描標記趨勢）╱P2行政裁量權（策略建議視為方向選項）╱P3公權力影響力（戰略模擬模型設計團隊）</w:t>
            </w:r>
          </w:p>
          <w:p>
            <w:pPr>
              <w:spacing w:after="0" w:line="320"/>
            </w:pPr>
            <w:r>
              <w:rPr>
                <w:rFonts w:ascii="微軟正黑體" w:cs="微軟正黑體" w:eastAsia="微軟正黑體" w:hAnsi="微軟正黑體"/>
                <w:sz w:val="21"/>
                <w:szCs w:val="21"/>
              </w:rPr>
              <w:t xml:space="preserve">•　⑤核心結構性效應「技術官僚化的策略遁逃」；我國AI基本法七大原則╱TAIDE案例╱法國主權AI戰略執行落差案例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三重破壞口訣：速（度破壞）、資（訊破壞）、能（力破壞）——「速資能」三字訣</w:t>
            </w:r>
          </w:p>
          <w:p>
            <w:pPr>
              <w:spacing w:after="80" w:line="320"/>
            </w:pPr>
            <w:r>
              <w:rPr>
                <w:rFonts w:ascii="微軟正黑體" w:cs="微軟正黑體" w:eastAsia="微軟正黑體" w:hAnsi="微軟正黑體"/>
                <w:sz w:val="21"/>
                <w:szCs w:val="21"/>
              </w:rPr>
              <w:t xml:space="preserve">•　主權AI四主權口訣：資（料）、算（運算）、模（型）、治（理）——「資算模治」四字訣，與第十六章主權AI架構呼應</w:t>
            </w:r>
          </w:p>
          <w:p>
            <w:pPr>
              <w:spacing w:after="0" w:line="320"/>
            </w:pPr>
            <w:r>
              <w:rPr>
                <w:rFonts w:ascii="微軟正黑體" w:cs="微軟正黑體" w:eastAsia="微軟正黑體" w:hAnsi="微軟正黑體"/>
                <w:sz w:val="21"/>
                <w:szCs w:val="21"/>
              </w:rPr>
              <w:t xml:space="preserve">•　技術官僚化的策略遁逃一句話記憶：把政治判斷藏在演算法的複雜度背後，本質上還是逃避課責</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AI驅動SWOT之能力破壞」（原有優勢如充足人力可能因AI自動化而快速貶值，VRIO需重新評價，屬第二節內部環境分析之延伸挑戰）與「主權AI之運算主權」（國家自主建置綠色算力中心，屬第四節國家層次戰略構面）常被考生誤認為同一層次之議題——前者是「機關內部資源優勢是否仍然成立」之組織層次課題，後者是「國家是否具備自主算力基礎設施」之國家戰略層次課題，分析單位不同，作答時應清楚區分機關策略與國家戰略之層次落差。</w:t>
            </w:r>
          </w:p>
          <w:p>
            <w:pPr>
              <w:spacing w:after="0" w:line="320"/>
            </w:pPr>
            <w:r>
              <w:rPr>
                <w:rFonts w:ascii="微軟正黑體" w:cs="微軟正黑體" w:eastAsia="微軟正黑體" w:hAnsi="微軟正黑體"/>
                <w:sz w:val="21"/>
                <w:szCs w:val="21"/>
              </w:rPr>
              <w:t xml:space="preserve">•　「AI觸發之單圈修正」（AI生成策略建議被直接視為方向選項，行政裁量權遭壓縮為技術可行性確認）與「技術官僚化的策略遁逃」（決策者將政治判斷讓渡給技術系統，以分析複雜性掩護課責迴避）常被考生視為同一現象——前者描述權力位移之機制（裁量權如何被壓縮），後者描述該機制造成之政治後果（課責如何被規避），兩者是因果關係而非同一概念，作答時應先說明機制、再申論後果，方能呈現完整之論證鏈。</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經逐題比對，查無與策略管理直接對應之申論真題，本章與本書第三、十至十四、二十五至二十七章同屬「真題完全掛零」之章節。爰本章【申論解題】三題均依本章母體教材自行設計為模擬命題，各題均附「考題出處（重要說明）」明確標示，避免與真實歷屆試題混淆。依全書格式定版說明，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本語料庫（107-111年）中，經逐題比對，查無與策略管理直接對應之申論真題，本章屬本書「真題完全掛零」之章節。本題依本章第一節母體教材（策略管理之意涵特徵、策略管理三階段、公私部門策略管理之差異）自行設計，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「何謂策略管理？請說明策略管理之三階段（規劃、執行、評估），並申論公共部門策略管理與私部門策略管理之根本差異。（25分）」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定義＋階段說明＋部門比較題」，考生須依序完成三個任務：定義策略管理、說明三階段內涵、申論公私部門差異——若僅定義策略管理而未展開三階段，或僅比較公私差異而未先建立三階段之基礎知識架構，均屬答題不完整；比較部分若僅泛稱「公部門比較沒有效率」而未援引理論依據，亦屬論述空泛。</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策略管理定義 ＋ 策略管理三階段（規劃執行評估）＋ 公私部門差異（Bryson公共價值╱Moore策略三角）。</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一、前言：組織要往何處去，靠的不是直覺，是策略管理</w:t>
      </w:r>
    </w:p>
    <w:p>
      <w:pPr>
        <w:pStyle w:val="ListParagraph"/>
        <w:numPr>
          <w:ilvl w:val="0"/>
          <w:numId w:val="2"/>
        </w:numPr>
        <w:spacing w:after="120" w:line="340"/>
      </w:pPr>
      <w:r>
        <w:rPr>
          <w:rFonts w:ascii="微軟正黑體" w:cs="微軟正黑體" w:eastAsia="微軟正黑體" w:hAnsi="微軟正黑體"/>
          <w:sz w:val="22"/>
          <w:szCs w:val="22"/>
        </w:rPr>
        <w:t xml:space="preserve">二、策略管理之定義</w:t>
      </w:r>
    </w:p>
    <w:p>
      <w:pPr>
        <w:pStyle w:val="ListParagraph"/>
        <w:numPr>
          <w:ilvl w:val="0"/>
          <w:numId w:val="2"/>
        </w:numPr>
        <w:spacing w:after="120" w:line="340"/>
      </w:pPr>
      <w:r>
        <w:rPr>
          <w:rFonts w:ascii="微軟正黑體" w:cs="微軟正黑體" w:eastAsia="微軟正黑體" w:hAnsi="微軟正黑體"/>
          <w:sz w:val="22"/>
          <w:szCs w:val="22"/>
        </w:rPr>
        <w:t xml:space="preserve">三、策略管理三階段：規劃、執行、評估</w:t>
      </w:r>
    </w:p>
    <w:p>
      <w:pPr>
        <w:pStyle w:val="ListParagraph"/>
        <w:numPr>
          <w:ilvl w:val="0"/>
          <w:numId w:val="2"/>
        </w:numPr>
        <w:spacing w:after="120" w:line="340"/>
      </w:pPr>
      <w:r>
        <w:rPr>
          <w:rFonts w:ascii="微軟正黑體" w:cs="微軟正黑體" w:eastAsia="微軟正黑體" w:hAnsi="微軟正黑體"/>
          <w:sz w:val="22"/>
          <w:szCs w:val="22"/>
        </w:rPr>
        <w:t xml:space="preserve">四、公共部門與私部門策略管理之根本差異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策略管理（Strategic Management）是指組織為達成使命與目標，進行策略規劃、執行與評估之動態循環歷程，並透過環境監測與組織學習不斷調適之管理過程。</w:t>
      </w:r>
    </w:p>
    <w:p>
      <w:pPr>
        <w:spacing w:after="200" w:line="360"/>
        <w:ind w:firstLine="431"/>
        <w:jc w:val="both"/>
      </w:pPr>
      <w:r>
        <w:rPr>
          <w:rFonts w:ascii="微軟正黑體" w:cs="微軟正黑體" w:eastAsia="微軟正黑體" w:hAnsi="微軟正黑體"/>
          <w:sz w:val="22"/>
          <w:szCs w:val="22"/>
        </w:rPr>
        <w:t xml:space="preserve">策略管理可分三階段：策略規劃，包含願景使命界定、內外部環境分析與方案抉擇；策略執行，將策略轉化為具體行動，包含目標設定、資源配置與結構調整，研究顯示約六至八成之策略失敗於此階段；策略評估，透過績效指標與課責機制，檢視策略是否創造公共價值並啟動調整。</w:t>
      </w:r>
    </w:p>
    <w:p>
      <w:pPr>
        <w:spacing w:after="200" w:line="360"/>
        <w:ind w:firstLine="431"/>
        <w:jc w:val="both"/>
      </w:pPr>
      <w:r>
        <w:rPr>
          <w:rFonts w:ascii="微軟正黑體" w:cs="微軟正黑體" w:eastAsia="微軟正黑體" w:hAnsi="微軟正黑體"/>
          <w:sz w:val="22"/>
          <w:szCs w:val="22"/>
        </w:rPr>
        <w:t xml:space="preserve">公私部門策略管理之根本差異在於：私部門策略以追求競爭優勢與利潤為核心，公部門策略則依Bryson之定義，須以創造公共價值為目的，並依Moore策略三角，同時通過公共價值、正當性支持與操作能力三重檢驗，兼顧政治可行性、法律合規性與民主課責性，此為公部門策略管理不能照搬私部門競爭策略之根本原因。</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組織要往何處去，從來不是憑長官一時的直覺或口號就能定案——這正是策略管理存在的理由：它提供一套系統性的紀律，讓組織在資源有限、環境不確定之下，仍能為長期方向做出負責任的抉擇。</w:t>
      </w:r>
    </w:p>
    <w:p>
      <w:pPr>
        <w:spacing w:after="200" w:line="360"/>
        <w:ind w:firstLine="431"/>
        <w:jc w:val="both"/>
      </w:pPr>
      <w:r>
        <w:rPr>
          <w:rFonts w:ascii="微軟正黑體" w:cs="微軟正黑體" w:eastAsia="微軟正黑體" w:hAnsi="微軟正黑體"/>
          <w:sz w:val="22"/>
          <w:szCs w:val="22"/>
        </w:rPr>
        <w:t xml:space="preserve">二、策略管理之定義</w:t>
      </w:r>
    </w:p>
    <w:p>
      <w:pPr>
        <w:spacing w:after="200" w:line="360"/>
        <w:ind w:firstLine="431"/>
        <w:jc w:val="both"/>
      </w:pPr>
      <w:r>
        <w:rPr>
          <w:rFonts w:ascii="微軟正黑體" w:cs="微軟正黑體" w:eastAsia="微軟正黑體" w:hAnsi="微軟正黑體"/>
          <w:sz w:val="22"/>
          <w:szCs w:val="22"/>
        </w:rPr>
        <w:t xml:space="preserve">策略管理（Strategic Management）是指組織為達成使命與目標，進行策略規劃、策略執行與策略評估之動態循環歷程，並透過環境監測與組織學習不斷調適之管理過程。其特徵包括長期導向、整體導向、外部導向、資源導向、不確定性導向與政治價值導向，因此策略管理不僅是技術性之規劃工具，更是一門領導與治理藝術。</w:t>
      </w:r>
    </w:p>
    <w:p>
      <w:pPr>
        <w:spacing w:after="200" w:line="360"/>
        <w:ind w:firstLine="431"/>
        <w:jc w:val="both"/>
      </w:pPr>
      <w:r>
        <w:rPr>
          <w:rFonts w:ascii="微軟正黑體" w:cs="微軟正黑體" w:eastAsia="微軟正黑體" w:hAnsi="微軟正黑體"/>
          <w:sz w:val="22"/>
          <w:szCs w:val="22"/>
        </w:rPr>
        <w:t xml:space="preserve">三、策略管理三階段：規劃、執行、評估</w:t>
      </w:r>
    </w:p>
    <w:p>
      <w:pPr>
        <w:spacing w:after="200" w:line="360"/>
        <w:ind w:firstLine="431"/>
        <w:jc w:val="both"/>
      </w:pPr>
      <w:r>
        <w:rPr>
          <w:rFonts w:ascii="微軟正黑體" w:cs="微軟正黑體" w:eastAsia="微軟正黑體" w:hAnsi="微軟正黑體"/>
          <w:sz w:val="22"/>
          <w:szCs w:val="22"/>
        </w:rPr>
        <w:t xml:space="preserve">策略規劃階段，包含價值澄清、願景使命界定、內外部環境分析、議題辨識、策略選項發展與方案抉擇，Bryson（2018）提出公部門策略規劃八步驟，核心在於診斷與抉擇；策略執行階段，將策略轉化為具體行動，包含目標設定、資源配置、結構與流程重設、領導與溝通、文化調適，研究顯示約六成至八成之策略失敗發生於此一階段，原因包括目標不清、抗拒變革與跨部門協作不足，凸顯執行力往往比規劃本身更為關鍵；策略評估階段，透過績效指標、回饋與課責，檢視策略是否真正創造公共價值，並啟動學習與調整，公共組織須同時管理對上（長官與民意機關）、對外（公民與媒體）、對內（內部成員）三個方向之課責。</w:t>
      </w:r>
    </w:p>
    <w:p>
      <w:pPr>
        <w:spacing w:after="200" w:line="360"/>
        <w:ind w:firstLine="431"/>
        <w:jc w:val="both"/>
      </w:pPr>
      <w:r>
        <w:rPr>
          <w:rFonts w:ascii="微軟正黑體" w:cs="微軟正黑體" w:eastAsia="微軟正黑體" w:hAnsi="微軟正黑體"/>
          <w:sz w:val="22"/>
          <w:szCs w:val="22"/>
        </w:rPr>
        <w:t xml:space="preserve">四、公共部門與私部門策略管理之根本差異</w:t>
      </w:r>
    </w:p>
    <w:p>
      <w:pPr>
        <w:spacing w:after="200" w:line="360"/>
        <w:ind w:firstLine="431"/>
        <w:jc w:val="both"/>
      </w:pPr>
      <w:r>
        <w:rPr>
          <w:rFonts w:ascii="微軟正黑體" w:cs="微軟正黑體" w:eastAsia="微軟正黑體" w:hAnsi="微軟正黑體"/>
          <w:sz w:val="22"/>
          <w:szCs w:val="22"/>
        </w:rPr>
        <w:t xml:space="preserve">私部門策略管理以追求競爭優勢與利潤極大化為核心目標，策略工具（如Porter競爭策略）多聚焦於市場定位與差異化；公部門策略管理則依Bryson（2018）之定義，是以創造公共價值為目的，透過審議與利害關係人參與，連結組織使命與外部環境之過程。Moore（1995）進一步提出策略三角架構，主張公部門策略須同時通過三重檢驗：公共價值（策略是否真正創造社會所欲之價值）、正當性支持（策略是否獲得政治授權與利害關係人之支持）、操作能力（組織是否具備執行策略之實際能力）；此三重檢驗機制，正是公部門策略管理無法直接照搬私部門競爭策略的根本原因——私部門策略只需通過市場檢驗（消費者是否願意付費），公部門策略卻必須同時回應政治可行性、法律合規性與民主課責性，任何一環未能通過，策略即便技術上完美，仍可能因缺乏正當性而窒礙難行。</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策略管理透過規劃、執行、評估三階段之動態循環，協助組織系統性地回答「往何處去」之根本問題；惟公部門策略管理較私部門更為複雜，須同時通過公共價值、正當性支持與操作能力三重檢驗，此一差異正是理解公共組織策略管理特殊性之關鍵起點。</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補充Mintzberg 5P視角：可援引Mintzberg（1987）5P架構（計畫、計謀、模式、定位、觀點），說明策略管理不應僅理解為書面規劃文件（計畫），亦應辨識組織實務中浮現而未經正式規劃之一致性行為模式（模式），此一觀點有助於理解公部門策略常呈現「計畫與浮現並存」之現實樣態。</w:t>
      </w:r>
    </w:p>
    <w:p>
      <w:pPr>
        <w:pStyle w:val="ListParagraph"/>
        <w:numPr>
          <w:ilvl w:val="0"/>
          <w:numId w:val="2"/>
        </w:numPr>
        <w:spacing w:after="120" w:line="340"/>
      </w:pPr>
      <w:r>
        <w:rPr>
          <w:rFonts w:ascii="微軟正黑體" w:cs="微軟正黑體" w:eastAsia="微軟正黑體" w:hAnsi="微軟正黑體"/>
          <w:sz w:val="22"/>
          <w:szCs w:val="22"/>
        </w:rPr>
        <w:t xml:space="preserve">補充策略管理層次視角：可援引公部門四層次模式（整體政府、機關、功能業務、操作），說明策略規劃階段須同時考量各層次間之縱向一致與橫向整合，避免出現「整體豪語、基層無感」之策略斷裂現象，深化論述之結構性層次。</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在生成式AI時代，策略管理三階段已呈現壓縮與疊代趨勢，惟須警惕「技術官僚化的策略遁逃」風險——若決策者將AI生成之策略建議誤認為客觀中立之最適解，恐使原本應由高層承擔之政治判斷，實質讓渡給技術系統，呼應本章第四節AI鑲嵌內容，展現跨節整合之論述廣度。</w:t>
      </w:r>
    </w:p>
    <w:p>
      <w:pPr>
        <w:pStyle w:val="ListParagraph"/>
        <w:numPr>
          <w:ilvl w:val="0"/>
          <w:numId w:val="2"/>
        </w:numPr>
        <w:spacing w:after="120" w:line="340"/>
      </w:pPr>
      <w:r>
        <w:rPr>
          <w:rFonts w:ascii="微軟正黑體" w:cs="微軟正黑體" w:eastAsia="微軟正黑體" w:hAnsi="微軟正黑體"/>
          <w:sz w:val="22"/>
          <w:szCs w:val="22"/>
        </w:rPr>
        <w:t xml:space="preserve">補充臺灣實務視角：可援引法國主權AI戰略「宣示金額與實質投入落差」之國際案例，說明策略評估階段建立可課責因果鏈之重要性，並對照我國AI基本法與TAIDE發展路徑，增加論述之比較視野與實務厚度。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須完整定義策略管理，並清楚說明規劃執行評估三階段之具體內涵，不可僅列出階段名稱而無說明。</w:t>
      </w:r>
    </w:p>
    <w:p>
      <w:pPr>
        <w:pStyle w:val="ListParagraph"/>
        <w:numPr>
          <w:ilvl w:val="0"/>
          <w:numId w:val="2"/>
        </w:numPr>
        <w:spacing w:after="120" w:line="340"/>
      </w:pPr>
      <w:r>
        <w:rPr>
          <w:rFonts w:ascii="微軟正黑體" w:cs="微軟正黑體" w:eastAsia="微軟正黑體" w:hAnsi="微軟正黑體"/>
          <w:sz w:val="22"/>
          <w:szCs w:val="22"/>
        </w:rPr>
        <w:t xml:space="preserve">公私部門差異之論述須援引Bryson公共價值或Moore策略三角等具體理論依據，不可僅泛稱「公部門比較沒效率」等缺乏理論支撐之籠統論述。</w:t>
      </w:r>
    </w:p>
    <w:p>
      <w:pPr>
        <w:pStyle w:val="ListParagraph"/>
        <w:numPr>
          <w:ilvl w:val="0"/>
          <w:numId w:val="2"/>
        </w:numPr>
        <w:spacing w:after="120" w:line="340"/>
      </w:pPr>
      <w:r>
        <w:rPr>
          <w:rFonts w:ascii="微軟正黑體" w:cs="微軟正黑體" w:eastAsia="微軟正黑體" w:hAnsi="微軟正黑體"/>
          <w:sz w:val="22"/>
          <w:szCs w:val="22"/>
        </w:rPr>
        <w:t xml:space="preserve">須點出策略執行階段為策略失敗之主要環節（六至八成），展現對策略管理實務挑戰之掌握，而非僅停留於規劃階段之描述。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策略管理定義籠統，未能區分規劃執行評估三階段之具體內涵，三階段內容混雜不清。</w:t>
      </w:r>
    </w:p>
    <w:p>
      <w:pPr>
        <w:pStyle w:val="ListParagraph"/>
        <w:numPr>
          <w:ilvl w:val="0"/>
          <w:numId w:val="2"/>
        </w:numPr>
        <w:spacing w:after="120" w:line="340"/>
      </w:pPr>
      <w:r>
        <w:rPr>
          <w:rFonts w:ascii="微軟正黑體" w:cs="微軟正黑體" w:eastAsia="微軟正黑體" w:hAnsi="微軟正黑體"/>
          <w:sz w:val="22"/>
          <w:szCs w:val="22"/>
        </w:rPr>
        <w:t xml:space="preserve">❌ 公私部門差異僅憑直覺臆測（如「公部門比較官僚」），未援引Bryson或Moore等具體理論架構支撐論述。</w:t>
      </w:r>
    </w:p>
    <w:p>
      <w:pPr>
        <w:pStyle w:val="ListParagraph"/>
        <w:numPr>
          <w:ilvl w:val="0"/>
          <w:numId w:val="2"/>
        </w:numPr>
        <w:spacing w:after="120" w:line="340"/>
      </w:pPr>
      <w:r>
        <w:rPr>
          <w:rFonts w:ascii="微軟正黑體" w:cs="微軟正黑體" w:eastAsia="微軟正黑體" w:hAnsi="微軟正黑體"/>
          <w:sz w:val="22"/>
          <w:szCs w:val="22"/>
        </w:rPr>
        <w:t xml:space="preserve">❌ 未點出策略執行階段之高失敗率，誤以為策略管理之核心挑戰僅在於規劃階段是否周延。</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本語料庫（107-111年）中，經逐題比對，查無與SWOT╱TOWS分析工具直接對應之申論真題，本章屬本書「真題完全掛零」之章節。本題依本章第三節母體教材（SWOT分析、TOWS矩陣、策略配對）自行設計，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「請說明SWOT分析之意涵及其操作方式，並比較SWOT與TOWS矩陣之差異；又何以學者主張公部門宜採TOWS矩陣，而非傳統SWOT分析？（25分）」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工具定義＋比較＋理由申論題」，考生須依序完成：說明SWOT意涵與操作方式、比較SWOT與TOWS之差異、申論公部門宜採TOWS之理由——若僅說明SWOT四要素而未論及TOWS矩陣之交叉配對邏輯與先後順序，或未能具體說明公部門為何宜採TOWS，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SWOT分析意涵與操作方式 ＋ SWOT vs TOWS矩陣差異 ＋ 公部門宜採TOWS之理由（先外部後內部）。</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一、前言：優劣勢機會威脅，怎麼分析才不會淪為腦力激盪的口水清單？</w:t>
      </w:r>
    </w:p>
    <w:p>
      <w:pPr>
        <w:pStyle w:val="ListParagraph"/>
        <w:numPr>
          <w:ilvl w:val="0"/>
          <w:numId w:val="2"/>
        </w:numPr>
        <w:spacing w:after="120" w:line="340"/>
      </w:pPr>
      <w:r>
        <w:rPr>
          <w:rFonts w:ascii="微軟正黑體" w:cs="微軟正黑體" w:eastAsia="微軟正黑體" w:hAnsi="微軟正黑體"/>
          <w:sz w:val="22"/>
          <w:szCs w:val="22"/>
        </w:rPr>
        <w:t xml:space="preserve">二、SWOT分析之意涵及操作方式</w:t>
      </w:r>
    </w:p>
    <w:p>
      <w:pPr>
        <w:pStyle w:val="ListParagraph"/>
        <w:numPr>
          <w:ilvl w:val="0"/>
          <w:numId w:val="2"/>
        </w:numPr>
        <w:spacing w:after="120" w:line="340"/>
      </w:pPr>
      <w:r>
        <w:rPr>
          <w:rFonts w:ascii="微軟正黑體" w:cs="微軟正黑體" w:eastAsia="微軟正黑體" w:hAnsi="微軟正黑體"/>
          <w:sz w:val="22"/>
          <w:szCs w:val="22"/>
        </w:rPr>
        <w:t xml:space="preserve">三、SWOT與TOWS矩陣之差異</w:t>
      </w:r>
    </w:p>
    <w:p>
      <w:pPr>
        <w:pStyle w:val="ListParagraph"/>
        <w:numPr>
          <w:ilvl w:val="0"/>
          <w:numId w:val="2"/>
        </w:numPr>
        <w:spacing w:after="120" w:line="340"/>
      </w:pPr>
      <w:r>
        <w:rPr>
          <w:rFonts w:ascii="微軟正黑體" w:cs="微軟正黑體" w:eastAsia="微軟正黑體" w:hAnsi="微軟正黑體"/>
          <w:sz w:val="22"/>
          <w:szCs w:val="22"/>
        </w:rPr>
        <w:t xml:space="preserve">四、公部門宜採TOWS矩陣之理由</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很多機關的SWOT分析，做出來的成果往往是一份「大家都同意、卻沒有人會照著做」的清單——問題不在於SWOT這項工具本身，而在於少了正確的操作順序與配對邏輯。</w:t>
      </w:r>
    </w:p>
    <w:p>
      <w:pPr>
        <w:spacing w:after="200" w:line="360"/>
        <w:ind w:firstLine="431"/>
        <w:jc w:val="both"/>
      </w:pPr>
      <w:r>
        <w:rPr>
          <w:rFonts w:ascii="微軟正黑體" w:cs="微軟正黑體" w:eastAsia="微軟正黑體" w:hAnsi="微軟正黑體"/>
          <w:sz w:val="22"/>
          <w:szCs w:val="22"/>
        </w:rPr>
        <w:t xml:space="preserve">二、SWOT分析之意涵及操作方式</w:t>
      </w:r>
    </w:p>
    <w:p>
      <w:pPr>
        <w:spacing w:after="200" w:line="360"/>
        <w:ind w:firstLine="431"/>
        <w:jc w:val="both"/>
      </w:pPr>
      <w:r>
        <w:rPr>
          <w:rFonts w:ascii="微軟正黑體" w:cs="微軟正黑體" w:eastAsia="微軟正黑體" w:hAnsi="微軟正黑體"/>
          <w:sz w:val="22"/>
          <w:szCs w:val="22"/>
        </w:rPr>
        <w:t xml:space="preserve">SWOT分析由Andrews（1971）與Weihrich發展，將組織之內部優勢（Strengths）與劣勢（Weaknesses）、外部機會（Opportunities）與威脅（Threats）加以盤點並交叉配對，形成四種策略選項：SO策略（優勢-機會），為擴張型策略，運用優勢把握機會；WO策略（劣勢-機會），為轉向型策略，克服劣勢以掌握機會；ST策略（優勢-威脅），為防禦型策略，運用優勢降低威脅；WT策略（劣勢-威脅），為緊縮或退避型策略，減少劣勢並避開威脅。操作方式上，應先透過PESTEL與五力分析盤點外部環境之機會與威脅，再透過VRIO分析盤點內部環境之優勢與劣勢，最後將內外部要素交叉配對，形成具體可行之策略選項，且SWOT須有具體佐證數據，不能流於主觀臆測。</w:t>
      </w:r>
    </w:p>
    <w:p>
      <w:pPr>
        <w:spacing w:after="200" w:line="360"/>
        <w:ind w:firstLine="431"/>
        <w:jc w:val="both"/>
      </w:pPr>
      <w:r>
        <w:rPr>
          <w:rFonts w:ascii="微軟正黑體" w:cs="微軟正黑體" w:eastAsia="微軟正黑體" w:hAnsi="微軟正黑體"/>
          <w:sz w:val="22"/>
          <w:szCs w:val="22"/>
        </w:rPr>
        <w:t xml:space="preserve">三、SWOT與TOWS矩陣之差異</w:t>
      </w:r>
    </w:p>
    <w:p>
      <w:pPr>
        <w:spacing w:after="200" w:line="360"/>
        <w:ind w:firstLine="431"/>
        <w:jc w:val="both"/>
      </w:pPr>
      <w:r>
        <w:rPr>
          <w:rFonts w:ascii="微軟正黑體" w:cs="微軟正黑體" w:eastAsia="微軟正黑體" w:hAnsi="微軟正黑體"/>
          <w:sz w:val="22"/>
          <w:szCs w:val="22"/>
        </w:rPr>
        <w:t xml:space="preserve">SWOT與TOWS矩陣之核心要素完全相同（優勢劣勢機會威脅），差異在於分析順序與操作邏輯：SWOT分析傳統上並無固定之分析先後順序，實務上組織常先盤點內部優勢劣勢，再檢視外部機會威脅，容易產生「先看自己想要什麼，再去環境中找佐證」之確認偏誤；TOWS矩陣（Weihrich, 1982）則明確強調應先進行外部環境分析（機會與威脅），再進行內部環境分析（優勢與劣勢），最後才進行交叉配對形成策略，透過此一先外後內之順序，強迫決策者先誠實面對外部環境之真實變化，再回頭檢視組織自身條件是否足以因應，避免閉門造車。</w:t>
      </w:r>
    </w:p>
    <w:p>
      <w:pPr>
        <w:spacing w:after="200" w:line="360"/>
        <w:ind w:firstLine="431"/>
        <w:jc w:val="both"/>
      </w:pPr>
      <w:r>
        <w:rPr>
          <w:rFonts w:ascii="微軟正黑體" w:cs="微軟正黑體" w:eastAsia="微軟正黑體" w:hAnsi="微軟正黑體"/>
          <w:sz w:val="22"/>
          <w:szCs w:val="22"/>
        </w:rPr>
        <w:t xml:space="preserve">四、公部門宜採TOWS矩陣之理由</w:t>
      </w:r>
    </w:p>
    <w:p>
      <w:pPr>
        <w:spacing w:after="200" w:line="360"/>
        <w:ind w:firstLine="431"/>
        <w:jc w:val="both"/>
      </w:pPr>
      <w:r>
        <w:rPr>
          <w:rFonts w:ascii="微軟正黑體" w:cs="微軟正黑體" w:eastAsia="微軟正黑體" w:hAnsi="微軟正黑體"/>
          <w:sz w:val="22"/>
          <w:szCs w:val="22"/>
        </w:rPr>
        <w:t xml:space="preserve">學者主張公部門宜採TOWS矩陣而非傳統SWOT，理由有三：其一，公部門決策易受既有慣性與本位主義影響，若先盤點內部優勢劣勢，容易陷入「以現有能力定義問題」之思維侷限，忽略外部環境（如民眾需求變化、政策環境變遷）之真實訊號；其二，公部門資源配置具高度政治敏感性，先外部後內部之順序，有助於決策者以客觀之環境證據（如PESTEL與五力分析佐證資料）作為策略選擇之依據，降低策略選擇淪為內部權力妥協之風險；其三，TOWS矩陣先外部後內部之邏輯，與公部門課責機制（須先向外部之公民與監督機關證成策略之外部正當性）高度契合，有助於策略規劃過程本身即納入外部課責之考量，而非事後才補充外部說明。</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SWOT與TOWS矩陣雖共享相同之四項核心要素，惟操作順序之差異看似細微，實則深刻影響策略配對之品質與正當性。公部門宜採TOWS矩陣先外部後內部之邏輯，以避免閉門造車、降低確認偏誤，並使策略規劃過程本身即與外部課責機制接軌，此一操作紀律之堅持，正是SWOT分析能否真正發揮策略配對功能之關鍵。</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須清楚說明SWOT四種策略配對（SO╱WO╱ST╱WT）之具體內涵，不可僅列出優劣機威四項要素而未展開配對邏輯。</w:t>
      </w:r>
    </w:p>
    <w:p>
      <w:pPr>
        <w:pStyle w:val="ListParagraph"/>
        <w:numPr>
          <w:ilvl w:val="0"/>
          <w:numId w:val="2"/>
        </w:numPr>
        <w:spacing w:after="120" w:line="340"/>
      </w:pPr>
      <w:r>
        <w:rPr>
          <w:rFonts w:ascii="微軟正黑體" w:cs="微軟正黑體" w:eastAsia="微軟正黑體" w:hAnsi="微軟正黑體"/>
          <w:sz w:val="22"/>
          <w:szCs w:val="22"/>
        </w:rPr>
        <w:t xml:space="preserve">須明確指出SWOT與TOWS之差異核心在於分析順序（先外後內），而非誤稱兩者為完全不同之分析要素或架構。</w:t>
      </w:r>
    </w:p>
    <w:p>
      <w:pPr>
        <w:pStyle w:val="ListParagraph"/>
        <w:numPr>
          <w:ilvl w:val="0"/>
          <w:numId w:val="2"/>
        </w:numPr>
        <w:spacing w:after="120" w:line="340"/>
      </w:pPr>
      <w:r>
        <w:rPr>
          <w:rFonts w:ascii="微軟正黑體" w:cs="微軟正黑體" w:eastAsia="微軟正黑體" w:hAnsi="微軟正黑體"/>
          <w:sz w:val="22"/>
          <w:szCs w:val="22"/>
        </w:rPr>
        <w:t xml:space="preserve">公部門宜採TOWS之理由須具體申論（如避免確認偏誤、降低政治妥協風險、契合外部課責機制），不可僅重複「TOWS比較嚴謹」等空泛結論。</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SWOT四種策略配對僅列出名稱（SO╱WO╱ST╱WT），未說明各配對之具體策略內涵與操作邏輯。</w:t>
      </w:r>
    </w:p>
    <w:p>
      <w:pPr>
        <w:pStyle w:val="ListParagraph"/>
        <w:numPr>
          <w:ilvl w:val="0"/>
          <w:numId w:val="2"/>
        </w:numPr>
        <w:spacing w:after="120" w:line="340"/>
      </w:pPr>
      <w:r>
        <w:rPr>
          <w:rFonts w:ascii="微軟正黑體" w:cs="微軟正黑體" w:eastAsia="微軟正黑體" w:hAnsi="微軟正黑體"/>
          <w:sz w:val="22"/>
          <w:szCs w:val="22"/>
        </w:rPr>
        <w:t xml:space="preserve">❌ 誤將SWOT與TOWS之差異理解為要素內容不同，而非正確理解為分析順序之差異。</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可補充VRIO與PESTEL之佐證角色，說明SWOT／TOWS若缺乏VRIO內部資源分析與PESTEL外部總體環境分析作為佐證數據，容易流於主觀臆測清單，深化工具鏈之整合視野。</w:t>
      </w:r>
    </w:p>
    <w:p>
      <w:pPr>
        <w:pStyle w:val="ListParagraph"/>
        <w:numPr>
          <w:ilvl w:val="0"/>
          <w:numId w:val="2"/>
        </w:numPr>
        <w:spacing w:after="120" w:line="340"/>
      </w:pPr>
      <w:r>
        <w:rPr>
          <w:rFonts w:ascii="微軟正黑體" w:cs="微軟正黑體" w:eastAsia="微軟正黑體" w:hAnsi="微軟正黑體"/>
          <w:sz w:val="22"/>
          <w:szCs w:val="22"/>
        </w:rPr>
        <w:t xml:space="preserve">可援引公共組織策略類型（成長穩定縮減組合）與Miles &amp; Snow調適類型，說明SWOT配對結果應進一步對應至具體策略類型選擇，而非停留於四象限清單本身，展現理論應用之完整性。</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在生成式AI時代，AI驅動SWOT可運用自然語言處理即時爬梳外部環境資訊，強化TOWS矩陣「先外部後內部」邏輯之資料基礎，惟須留意AI幻覺與偏誤可能污染外部環境分析之準確性，呼應本章第四節AI鑲嵌內容。</w:t>
      </w:r>
    </w:p>
    <w:p>
      <w:pPr>
        <w:pStyle w:val="ListParagraph"/>
        <w:numPr>
          <w:ilvl w:val="0"/>
          <w:numId w:val="2"/>
        </w:numPr>
        <w:spacing w:after="120" w:line="340"/>
      </w:pPr>
      <w:r>
        <w:rPr>
          <w:rFonts w:ascii="微軟正黑體" w:cs="微軟正黑體" w:eastAsia="微軟正黑體" w:hAnsi="微軟正黑體"/>
          <w:sz w:val="22"/>
          <w:szCs w:val="22"/>
        </w:rPr>
        <w:t xml:space="preserve">可補充策略地圖與平衡計分卡之銜接，說明SWOT／TOWS配對後選定之策略，須進一步透過策略地圖與BSC轉化為可衡量之具體行動指標，方能避免策略配對停留於紙上分析而未真正落地執行。</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本語料庫（107-111年）中，經逐題比對，查無與AI驅動SWOT或主權AI戰略直接對應之申論真題，本章屬本書「真題完全掛零」之章節。本題依本章第四節母體教材「AI鑲嵌下的策略管理：AI驅動SWOT與主權AI四主權戰略」自行設計，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機關擬導入生成式AI輔助年度策略規劃，以AI驅動SWOT取代傳統專家工作坊。請說明AI驅動SWOT相較傳統SWOT之優勢與可能風險，並運用主權AI四主權架構及『四鏈七審』框架，設計一套人機共構之策略規劃治理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工具比較＋理論應用＋制度設計綜合題」，考生須依序完成：說明AI驅動SWOT相較傳統SWOT之優勢與風險、運用主權AI四主權架構分析、運用四鏈七審框架設計人機共構治理機制——若僅泛稱「AI比較快、比較準確」而未具體對應資料廣度深度分析動態模擬偏誤校正等理論內涵，或治理機制設計未具體對應四鏈七審，均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AI驅動SWOT優勢與風險 ＋ 主權AI四主權架構 ＋ 四鏈七審人機共構治理機制設計。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一、前言：讓AI做SWOT分析，是策略升級，還是政治判斷的悄悄讓渡？</w:t>
      </w:r>
    </w:p>
    <w:p>
      <w:pPr>
        <w:pStyle w:val="ListParagraph"/>
        <w:numPr>
          <w:ilvl w:val="0"/>
          <w:numId w:val="2"/>
        </w:numPr>
        <w:spacing w:after="120" w:line="340"/>
      </w:pPr>
      <w:r>
        <w:rPr>
          <w:rFonts w:ascii="微軟正黑體" w:cs="微軟正黑體" w:eastAsia="微軟正黑體" w:hAnsi="微軟正黑體"/>
          <w:sz w:val="22"/>
          <w:szCs w:val="22"/>
        </w:rPr>
        <w:t xml:space="preserve">二、AI驅動SWOT相較傳統SWOT之優勢與可能風險</w:t>
      </w:r>
    </w:p>
    <w:p>
      <w:pPr>
        <w:pStyle w:val="ListParagraph"/>
        <w:numPr>
          <w:ilvl w:val="0"/>
          <w:numId w:val="2"/>
        </w:numPr>
        <w:spacing w:after="120" w:line="340"/>
      </w:pPr>
      <w:r>
        <w:rPr>
          <w:rFonts w:ascii="微軟正黑體" w:cs="微軟正黑體" w:eastAsia="微軟正黑體" w:hAnsi="微軟正黑體"/>
          <w:sz w:val="22"/>
          <w:szCs w:val="22"/>
        </w:rPr>
        <w:t xml:space="preserve">三、以主權AI四主權架構檢視此案例</w:t>
      </w:r>
    </w:p>
    <w:p>
      <w:pPr>
        <w:pStyle w:val="ListParagraph"/>
        <w:numPr>
          <w:ilvl w:val="0"/>
          <w:numId w:val="2"/>
        </w:numPr>
        <w:spacing w:after="120" w:line="340"/>
      </w:pPr>
      <w:r>
        <w:rPr>
          <w:rFonts w:ascii="微軟正黑體" w:cs="微軟正黑體" w:eastAsia="微軟正黑體" w:hAnsi="微軟正黑體"/>
          <w:sz w:val="22"/>
          <w:szCs w:val="22"/>
        </w:rPr>
        <w:t xml:space="preserve">四、以四鏈七審框架設計人機共構治理機制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讓AI幫忙做SWOT分析，聽起來像是策略規劃的效率升級，但如果沒有配套的治理機制，這件事的本質更可能是：政治判斷正在不知不覺中，被讓渡給一套誰也說不清楚訓練資料來源的演算法。</w:t>
      </w:r>
    </w:p>
    <w:p>
      <w:pPr>
        <w:spacing w:after="200" w:line="360"/>
        <w:ind w:firstLine="431"/>
        <w:jc w:val="both"/>
      </w:pPr>
      <w:r>
        <w:rPr>
          <w:rFonts w:ascii="微軟正黑體" w:cs="微軟正黑體" w:eastAsia="微軟正黑體" w:hAnsi="微軟正黑體"/>
          <w:sz w:val="22"/>
          <w:szCs w:val="22"/>
        </w:rPr>
        <w:t xml:space="preserve">二、AI驅動SWOT相較傳統SWOT之優勢與可能風險</w:t>
      </w:r>
    </w:p>
    <w:p>
      <w:pPr>
        <w:spacing w:after="200" w:line="360"/>
        <w:ind w:firstLine="431"/>
        <w:jc w:val="both"/>
      </w:pPr>
      <w:r>
        <w:rPr>
          <w:rFonts w:ascii="微軟正黑體" w:cs="微軟正黑體" w:eastAsia="微軟正黑體" w:hAnsi="微軟正黑體"/>
          <w:sz w:val="22"/>
          <w:szCs w:val="22"/>
        </w:rPr>
        <w:t xml:space="preserve">AI驅動SWOT相較傳統SWOT具四項優勢：資料廣度提升，透過自然語言處理即時爬梳民意新聞國際評比與法規草案，較少數專家工作坊之資訊範圍更為廣泛；分析深度提升，結合知識圖譜與因果推論，可挖掘優勢與劣勢間之隱藏連結；動態模擬能力，以數位孿生與代理人基建模模擬不同策略組合之後果，突破傳統SWOT靜態四象限清單之侷限；偏誤校正機制，透過紅隊演練與可解釋AI，理論上可揭露SWOT過程之人為偏誤。然亦伴隨可能風險：其一，資料品質決定分析品質，若訓練資料本身存有代表性缺口，AI驅動SWOT將系統性複製既有偏誤；其二，模型偏見可能複製既有權力結構，使特定利益團體之觀點被放大而弱勢群體聲音被邊緣化；其三，若機關過度依賴AI產出，恐使決策者策略思考能力空洞化，喪失獨立判斷能力；其四，最根本之風險在於，AI生成之策略建議可能被誤認為客觀中立之最適解，使原本應由高層承擔之政治判斷，實質讓渡給技術系統。</w:t>
      </w:r>
    </w:p>
    <w:p>
      <w:pPr>
        <w:spacing w:after="200" w:line="360"/>
        <w:ind w:firstLine="431"/>
        <w:jc w:val="both"/>
      </w:pPr>
      <w:r>
        <w:rPr>
          <w:rFonts w:ascii="微軟正黑體" w:cs="微軟正黑體" w:eastAsia="微軟正黑體" w:hAnsi="微軟正黑體"/>
          <w:sz w:val="22"/>
          <w:szCs w:val="22"/>
        </w:rPr>
        <w:t xml:space="preserve">三、以主權AI四主權架構檢視此案例</w:t>
      </w:r>
    </w:p>
    <w:p>
      <w:pPr>
        <w:spacing w:after="200" w:line="360"/>
        <w:ind w:firstLine="431"/>
        <w:jc w:val="both"/>
      </w:pPr>
      <w:r>
        <w:rPr>
          <w:rFonts w:ascii="微軟正黑體" w:cs="微軟正黑體" w:eastAsia="微軟正黑體" w:hAnsi="微軟正黑體"/>
          <w:sz w:val="22"/>
          <w:szCs w:val="22"/>
        </w:rPr>
        <w:t xml:space="preserve">以主權AI四主權架構檢視本案例：資料主權，機關須確認AI驅動SWOT所使用之訓練資料與即時爬梳資料，是否納入具代表性之在地民意與繁中語料，避免依賴境外資料來源產生文化偏誤；運算主權，機關應評估是否透過自主或可信賴之算力基礎設施執行分析，避免機敏策略資訊經由境外雲端運算而外洩；模型主權，機關宜優先採用如TAIDE等可信任在地模型執行分析，而非直接採用未經在地化調校之境外基礎模型；治理主權，機關須依《人工智慧基本法》風險分級原則，將策略規劃視為高風險應用情境，要求標示AI參與程度、執行演算法影響評估並落實人工覆核，確保分析結果符合價值對齊要求。</w:t>
      </w:r>
    </w:p>
    <w:p>
      <w:pPr>
        <w:spacing w:after="200" w:line="360"/>
        <w:ind w:firstLine="431"/>
        <w:jc w:val="both"/>
      </w:pPr>
      <w:r>
        <w:rPr>
          <w:rFonts w:ascii="微軟正黑體" w:cs="微軟正黑體" w:eastAsia="微軟正黑體" w:hAnsi="微軟正黑體"/>
          <w:sz w:val="22"/>
          <w:szCs w:val="22"/>
        </w:rPr>
        <w:t xml:space="preserve">四、以四鏈七審框架設計人機共構治理機制</w:t>
      </w:r>
    </w:p>
    <w:p>
      <w:pPr>
        <w:spacing w:after="200" w:line="360"/>
        <w:ind w:firstLine="431"/>
        <w:jc w:val="both"/>
      </w:pPr>
      <w:r>
        <w:rPr>
          <w:rFonts w:ascii="微軟正黑體" w:cs="微軟正黑體" w:eastAsia="微軟正黑體" w:hAnsi="微軟正黑體"/>
          <w:sz w:val="22"/>
          <w:szCs w:val="22"/>
        </w:rPr>
        <w:t xml:space="preserve">以四鏈七審框架逐一設計人機共構治理機制：其一，情境建構鏈，應公開揭露AI環境掃描系統標記哪些趨勢為值得關注之異常、哪些訊號被過濾，並定期由人類專家審視是否存在系統性忽略之群體或議題，對應資料代表性審計與組織能力審計；其二，權威鏈，應明訂AI驅動SWOT之產出僅作為策略幕僚之分析輔助素材，最終策略選擇須經機關正式決策權威（如策略委員會或機關首長）審定，不得由技術團隊逕行拍板，對應責任歸屬審計與民主課責審計；其三，理由鏈，應要求AI驅動SWOT產出附具可理解之理由說明（如關鍵資料來源與因果推論依據），供決策者與外部監督者查核，避免僅呈現演算法輸出結果而無法追溯理由，對應理由說明審計與裁量邊界審計；其四，責任鏈，應明確劃分AI工具供應商、策略規劃幕僚與機關首長之責任歸屬，並針對策略執行落差建立事後檢討機制，避免發生落差時究責對象模糊不清，對應責任歸屬審計與組織能力審計。</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AI驅動SWOT之導入，不應被簡化為「效率工具升級」，而應被視為一次策略規劃權力結構之重新設計——透過主權AI四主權架構確保資料算力模型治理之自主可信，並以四鏈七審框架建立人機共構之課責機制，方能使AI真正扮演擴增策略分析能力之角色，而非在不知不覺中掏空策略管理最核心的政治判斷與民主課責。</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AI驅動SWOT之優勢與風險須具體對應理論內涵（資料廣度深度分析動態模擬偏誤校正╱資料品質模型偏見思考空洞化政治判斷讓渡），不可僅泛稱「比較快比較準」。</w:t>
      </w:r>
    </w:p>
    <w:p>
      <w:pPr>
        <w:pStyle w:val="ListParagraph"/>
        <w:numPr>
          <w:ilvl w:val="0"/>
          <w:numId w:val="2"/>
        </w:numPr>
        <w:spacing w:after="120" w:line="340"/>
      </w:pPr>
      <w:r>
        <w:rPr>
          <w:rFonts w:ascii="微軟正黑體" w:cs="微軟正黑體" w:eastAsia="微軟正黑體" w:hAnsi="微軟正黑體"/>
          <w:sz w:val="22"/>
          <w:szCs w:val="22"/>
        </w:rPr>
        <w:t xml:space="preserve">須運用主權AI四主權架構（資料算力模型治理）逐一檢視本案例，不可僅籠統提及「主權AI很重要」而未具體對應四主權內涵。</w:t>
      </w:r>
    </w:p>
    <w:p>
      <w:pPr>
        <w:pStyle w:val="ListParagraph"/>
        <w:numPr>
          <w:ilvl w:val="0"/>
          <w:numId w:val="2"/>
        </w:numPr>
        <w:spacing w:after="120" w:line="340"/>
      </w:pPr>
      <w:r>
        <w:rPr>
          <w:rFonts w:ascii="微軟正黑體" w:cs="微軟正黑體" w:eastAsia="微軟正黑體" w:hAnsi="微軟正黑體"/>
          <w:sz w:val="22"/>
          <w:szCs w:val="22"/>
        </w:rPr>
        <w:t xml:space="preserve">四鏈七審之治理機制設計須具體可行且逐一對應四鏈，尤須點出「AI產出僅作輔助、最終決策須經正式權威審定」此一權威鏈核心設計。</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AI驅動SWOT優勢風險分析流於表面，僅稱「AI比較有效率」，未觸及資料偏誤或政治判斷讓渡等結構性風險。</w:t>
      </w:r>
    </w:p>
    <w:p>
      <w:pPr>
        <w:pStyle w:val="ListParagraph"/>
        <w:numPr>
          <w:ilvl w:val="0"/>
          <w:numId w:val="2"/>
        </w:numPr>
        <w:spacing w:after="120" w:line="340"/>
      </w:pPr>
      <w:r>
        <w:rPr>
          <w:rFonts w:ascii="微軟正黑體" w:cs="微軟正黑體" w:eastAsia="微軟正黑體" w:hAnsi="微軟正黑體"/>
          <w:sz w:val="22"/>
          <w:szCs w:val="22"/>
        </w:rPr>
        <w:t xml:space="preserve">❌ 主權AI四主權架構套用生硬，僅逐一複誦定義而未具體連結本案例之機關策略規劃情境。</w:t>
      </w:r>
    </w:p>
    <w:p>
      <w:pPr>
        <w:pStyle w:val="ListParagraph"/>
        <w:numPr>
          <w:ilvl w:val="0"/>
          <w:numId w:val="2"/>
        </w:numPr>
        <w:spacing w:after="120" w:line="340"/>
      </w:pPr>
      <w:r>
        <w:rPr>
          <w:rFonts w:ascii="微軟正黑體" w:cs="微軟正黑體" w:eastAsia="微軟正黑體" w:hAnsi="微軟正黑體"/>
          <w:sz w:val="22"/>
          <w:szCs w:val="22"/>
        </w:rPr>
        <w:t xml:space="preserve">❌ 治理機制設計空泛，未具體對應四鏈七審框架，或未點出「AI僅作輔助、正式權威審定」之權威鏈核心設計。</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可具體援引法國主權AI戰略案例，說明宣示金額與實質投入落差、政策延續性因人事更迭而斷裂等教訓，佐證治理機制須著重可課責之因果鏈設計，而非僅止於工具導入本身。</w:t>
      </w:r>
    </w:p>
    <w:p>
      <w:pPr>
        <w:pStyle w:val="ListParagraph"/>
        <w:numPr>
          <w:ilvl w:val="0"/>
          <w:numId w:val="2"/>
        </w:numPr>
        <w:spacing w:after="120" w:line="340"/>
      </w:pPr>
      <w:r>
        <w:rPr>
          <w:rFonts w:ascii="微軟正黑體" w:cs="微軟正黑體" w:eastAsia="微軟正黑體" w:hAnsi="微軟正黑體"/>
          <w:sz w:val="22"/>
          <w:szCs w:val="22"/>
        </w:rPr>
        <w:t xml:space="preserve">可補充「技術官僚化的策略遁逃」概念，說明若治理機制設計不當，AI驅動SWOT恐成為決策者迴避政治課責之工具，深化論述之批判層次。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可補充邊界消解視角，說明策略規劃與執行之邊界因AI即時模擬而更難劃分，留給民主審議之緩衝時間隨之壓縮，此為治理機制設計時應額外考量之時間維度課題。</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可援引我國AI基本法七大原則與TAIDE案例，具體說明模型主權與治理主權之在地實踐路徑，展現理論與臺灣實務之整合深度。</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查無與本章「策略管理」（策略定義、策略層次、PESTEL與五力分析、SWOT╱TOWS矩陣、平衡計分卡與策略地圖）直接對應之申論真題。此一結果與本書第三、十至十四、二十五至二十七章相同，反映策略管理作為第五層管理運作之首章，其系統性理論架構（如SWOT矩陣、平衡計分卡、主權AI四主權）在107-111年之考選部行政學科目命題中尚未成為獨立命題焦點，故本章【申論解題】三題均為依本章母體教材自行設計之模擬命題，已於各題「考題出處（重要說明）」明確標示。</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策略管理的意涵、層次與願景使命目標</w:t>
            </w:r>
          </w:p>
          <w:p>
            <w:pPr>
              <w:spacing w:line="340"/>
              <w:jc w:val="both"/>
            </w:pPr>
            <w:r>
              <w:rPr>
                <w:rFonts w:ascii="微軟正黑體" w:cs="微軟正黑體" w:eastAsia="微軟正黑體" w:hAnsi="微軟正黑體"/>
                <w:sz w:val="21"/>
                <w:szCs w:val="21"/>
              </w:rPr>
              <w:t xml:space="preserve">策略定義（Mintzberg 5P）→ 策略管理六特徵 → Bryson公共價值／Moore策略三角 → 層次（整體政府機關功能操作）→ 三階段（規劃執行評估，執行失敗六至八成）→ 願景使命價值（SMART-C）</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策略分析工具箱：外部環境與內部環境分析</w:t>
            </w:r>
          </w:p>
          <w:p>
            <w:pPr>
              <w:spacing w:line="340"/>
              <w:jc w:val="both"/>
            </w:pPr>
            <w:r>
              <w:rPr>
                <w:rFonts w:ascii="微軟正黑體" w:cs="微軟正黑體" w:eastAsia="微軟正黑體" w:hAnsi="微軟正黑體"/>
                <w:sz w:val="21"/>
                <w:szCs w:val="21"/>
              </w:rPr>
              <w:t xml:space="preserve">PESTEL六構面 → 五力分析公部門轉化（含主權AI第五力）→ RBV／VRIO（價稀難組）→ 公共組織獨特VRIO資源 → TAIDE案例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SWOT／TOWS策略配對、策略類型與策略性績效管理</w:t>
            </w:r>
          </w:p>
          <w:p>
            <w:pPr>
              <w:spacing w:line="340"/>
              <w:jc w:val="both"/>
            </w:pPr>
            <w:r>
              <w:rPr>
                <w:rFonts w:ascii="微軟正黑體" w:cs="微軟正黑體" w:eastAsia="微軟正黑體" w:hAnsi="微軟正黑體"/>
                <w:sz w:val="21"/>
                <w:szCs w:val="21"/>
              </w:rPr>
              <w:t xml:space="preserve">SWOT四策略（SO擴張WO轉向ST防禦WT緊縮）→ TOWS先外後內 → 策略類型（成長穩定縮減組合）與Miles&amp;Snow（探防分反）→ BSC四構面公部門化（顧客置頂＋公共價值構面）→ 策略地圖</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AI鑲嵌下的策略管理：AI驅動SWOT與主權AI四主權戰略</w:t>
            </w:r>
          </w:p>
          <w:p>
            <w:pPr>
              <w:spacing w:line="340"/>
              <w:jc w:val="both"/>
            </w:pPr>
            <w:r>
              <w:rPr>
                <w:rFonts w:ascii="微軟正黑體" w:cs="微軟正黑體" w:eastAsia="微軟正黑體" w:hAnsi="微軟正黑體"/>
                <w:sz w:val="21"/>
                <w:szCs w:val="21"/>
              </w:rPr>
              <w:t xml:space="preserve">三重破壞（速資能）→ AI驅動SWOT四強化 → 數位孿生戰略模擬 → 主權AI四主權（資算模治）→ 三種權力移轉 → 技術官僚化的策略遁逃 → 四鏈七審 → AI基本法／TAIDE／法國案例</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方向若錯，越努力執行越偏離目標；當AI能在數秒內生成看似合理的策略建議，「誰定義未來、誰決定優先」這個策略管理最核心的政治性提問，反而比以往任何時候都更需要人類的價值判斷與民主審議來把關。</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2026-09-02T21:30:22.345Z</dcterms:created>
  <dcterms:modified xsi:type="dcterms:W3CDTF">2026-09-02T21:30:22.356Z</dcterms:modified>
</cp:coreProperties>
</file>

<file path=docProps/custom.xml><?xml version="1.0" encoding="utf-8"?>
<Properties xmlns="http://schemas.openxmlformats.org/officeDocument/2006/custom-properties" xmlns:vt="http://schemas.openxmlformats.org/officeDocument/2006/docPropsVTypes"/>
</file>