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400"/>
        <w:jc w:val="center"/>
      </w:pPr>
      <w:r>
        <w:rPr>
          <w:rFonts w:ascii="微軟正黑體" w:cs="微軟正黑體" w:eastAsia="微軟正黑體" w:hAnsi="微軟正黑體"/>
          <w:b/>
          <w:bCs/>
          <w:sz w:val="40"/>
          <w:szCs w:val="40"/>
        </w:rPr>
        <w:t xml:space="preserve">國家考試行政學：從行政學理論到申論實戰</w:t>
      </w:r>
    </w:p>
    <w:p>
      <w:pPr>
        <w:spacing w:after="60"/>
        <w:jc w:val="center"/>
      </w:pPr>
      <w:r>
        <w:rPr>
          <w:rFonts w:ascii="微軟正黑體" w:cs="微軟正黑體" w:eastAsia="微軟正黑體" w:hAnsi="微軟正黑體"/>
          <w:b/>
          <w:bCs/>
          <w:color w:val="444444"/>
          <w:sz w:val="28"/>
          <w:szCs w:val="28"/>
        </w:rPr>
        <w:t xml:space="preserve">第十八章　組織文化</w:t>
      </w:r>
    </w:p>
    <w:p>
      <w:pPr>
        <w:spacing w:after="400"/>
        <w:jc w:val="center"/>
      </w:pPr>
      <w:r>
        <w:rPr>
          <w:rFonts w:ascii="微軟正黑體" w:cs="微軟正黑體" w:eastAsia="微軟正黑體" w:hAnsi="微軟正黑體"/>
          <w:i/>
          <w:iCs/>
          <w:color w:val="777777"/>
          <w:sz w:val="22"/>
          <w:szCs w:val="22"/>
        </w:rPr>
        <w:t xml:space="preserve">適用：高考三級／普考　一般行政類科　行政學</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F2F6FA" w:sz="2"/>
              <w:left w:val="single" w:color="555555" w:sz="24"/>
              <w:bottom w:val="single" w:color="F2F6FA" w:sz="2"/>
              <w:right w:val="single" w:color="F2F6FA" w:sz="2"/>
            </w:tcBorders>
            <w:shd w:fill="F2F6FA" w:val="clear"/>
            <w:tcMar>
              <w:top w:type="dxa" w:w="160"/>
              <w:left w:type="dxa" w:w="220"/>
              <w:bottom w:type="dxa" w:w="160"/>
              <w:right w:type="dxa" w:w="220"/>
            </w:tcMar>
          </w:tcPr>
          <w:p>
            <w:pPr>
              <w:spacing w:after="100"/>
            </w:pPr>
            <w:r>
              <w:rPr>
                <w:rFonts w:ascii="微軟正黑體" w:cs="微軟正黑體" w:eastAsia="微軟正黑體" w:hAnsi="微軟正黑體"/>
                <w:b/>
                <w:bCs/>
                <w:color w:val="555555"/>
                <w:sz w:val="22"/>
                <w:szCs w:val="22"/>
              </w:rPr>
              <w:t xml:space="preserve">本章定位</w:t>
            </w:r>
          </w:p>
          <w:p>
            <w:pPr>
              <w:spacing w:line="340"/>
              <w:jc w:val="both"/>
            </w:pPr>
            <w:r>
              <w:rPr>
                <w:rFonts w:ascii="微軟正黑體" w:cs="微軟正黑體" w:eastAsia="微軟正黑體" w:hAnsi="微軟正黑體"/>
                <w:sz w:val="21"/>
                <w:szCs w:val="21"/>
              </w:rPr>
              <w:t xml:space="preserve">本章對應大學教科書《行政學》第十八章「組織文化」，內容取材自該章八節母體教材（組織文化的意涵與定義、Schein三層次文化模式、組織文化的功能與影響、組織文化的類型、組織文化的塑造維持傳遞與變革、我國行政組織文化之特性與轉型、AI時代的組織文化變異、AI治理專節）及AI鑲嵌後之權力位移專節，依國考「考點化、模組化、背誦＋應用」邏輯重新壓縮改寫為四節：第一節整合原第一、二節（組織文化意涵、與組織氣候組織結構之區辨、Schein三層次文化模式）；第二節整合原第三、四節（文化正負功能、Harrison╱Deal&amp;Kennedy╱CVF╱Ouchi四種文化類型模型）；第三節整合原第五、六節（文化塑造維持變革機制、Lewin解凍變遷再凍結模型、我國行政文化特性與轉型趨向）；第四節整合原第七、八節AI治理專節（人機共融文化、AI倫理文化、虛擬組織文化、三種權力移轉），為本章AI內容之集中呈現處。本語料庫（107-111年）中，本章查得2題與組織文化相關之申論真題：108年-外交「政府機關重塑積極主動組織文化之變革層面與作為」，經查證其類科非屬一般行政類科，不列入本章完整解析；111年-地三「組織文化之定義及政府部門與民間部門組織文化差異」，經查證屬一般行政符合，列為題目二；惟2026年9月新查得112-115年考選部公告試題後，題目一已改列114年高考三級真題（以組織文化概念分析跨部門治理之挑戰及緩解之道），取代原參考108年-外交真題核心理論架構另行改寫之模擬命題，題目一、題目二均附「考題出處」標示。自第八章起依格式定版說明，僅第一題維持三種完整答案版本，第二、三題改為標準版參考答案＋【高分加分點】；AI鑲嵌內容集中於第四節與C級綜合題。</w:t>
            </w:r>
          </w:p>
        </w:tc>
      </w:tr>
    </w:tbl>
    <w:p>
      <w:pPr>
        <w:spacing w:after="200"/>
      </w:pPr>
    </w:p>
    <w:p>
      <w:pPr>
        <w:spacing w:after="180" w:before="360"/>
      </w:pPr>
      <w:r>
        <w:rPr>
          <w:rFonts w:ascii="微軟正黑體" w:cs="微軟正黑體" w:eastAsia="微軟正黑體" w:hAnsi="微軟正黑體"/>
          <w:b/>
          <w:bCs/>
          <w:color w:val="1F4E79"/>
          <w:sz w:val="26"/>
          <w:szCs w:val="26"/>
        </w:rPr>
        <w:t xml:space="preserve">第一節　組織文化的意涵與Schein三層次模式</w:t>
      </w:r>
    </w:p>
    <w:p>
      <w:pPr>
        <w:spacing w:after="140" w:before="260"/>
      </w:pPr>
      <w:r>
        <w:rPr>
          <w:rFonts w:ascii="微軟正黑體" w:cs="微軟正黑體" w:eastAsia="微軟正黑體" w:hAnsi="微軟正黑體"/>
          <w:b/>
          <w:bCs/>
          <w:color w:val="2E5C8A"/>
          <w:sz w:val="23"/>
          <w:szCs w:val="23"/>
        </w:rPr>
        <w:t xml:space="preserve">一、核心概念</w:t>
      </w:r>
    </w:p>
    <w:p>
      <w:pPr>
        <w:spacing w:after="200" w:line="360"/>
        <w:ind w:firstLine="431"/>
        <w:jc w:val="both"/>
      </w:pPr>
      <w:r>
        <w:rPr>
          <w:rFonts w:ascii="微軟正黑體" w:cs="微軟正黑體" w:eastAsia="微軟正黑體" w:hAnsi="微軟正黑體"/>
          <w:sz w:val="22"/>
          <w:szCs w:val="22"/>
        </w:rPr>
        <w:t xml:space="preserve">組織文化（Organizational Culture）是組織成員共享之一套價值、信念、假定、符號與行為模式，用以界定組織獨特之風格與認同，並作為成員認知、思考與行動之指南。相較於組織結構強調正式、分工與層級之硬體，組織文化則是軟性之意義建構系統，透過長期互動、歷史積累與象徵詮釋而形成。Edgar Schein將組織文化定義為：團體在解決外在適應與內在整合問題時所發明、發現或發展出的基本假定型態，若運作良好，便被視為有效而傳授給新成員，作為知覺、思考與感覺的正確方式。</w:t>
      </w:r>
    </w:p>
    <w:p>
      <w:pPr>
        <w:spacing w:after="140" w:before="260"/>
      </w:pPr>
      <w:r>
        <w:rPr>
          <w:rFonts w:ascii="微軟正黑體" w:cs="微軟正黑體" w:eastAsia="微軟正黑體" w:hAnsi="微軟正黑體"/>
          <w:b/>
          <w:bCs/>
          <w:color w:val="2E5C8A"/>
          <w:sz w:val="23"/>
          <w:szCs w:val="23"/>
        </w:rPr>
        <w:t xml:space="preserve">二、理論發展</w:t>
      </w:r>
    </w:p>
    <w:p>
      <w:pPr>
        <w:pStyle w:val="ListParagraph"/>
        <w:numPr>
          <w:ilvl w:val="0"/>
          <w:numId w:val="2"/>
        </w:numPr>
        <w:spacing w:after="120" w:line="340"/>
      </w:pPr>
      <w:r>
        <w:rPr>
          <w:rFonts w:ascii="微軟正黑體" w:cs="微軟正黑體" w:eastAsia="微軟正黑體" w:hAnsi="微軟正黑體"/>
          <w:sz w:val="22"/>
          <w:szCs w:val="22"/>
        </w:rPr>
        <w:t xml:space="preserve">學界對組織文化的定義雖有差異，但共同強調三個核心特徵：共享性（非個人偏好，而是團體長期共享）、層次性（由淺層可觀察之表徵至深層不可見之假定）、習得性與穩定性（透過社會化與教化而習得，且具高度穩定，難以短期改變）。組織文化與組織氣候易混淆：組織氣候（Climate）是文化的表層、短期的、可刻意營造的氛圍，如同天氣，易受領導風格與激勵措施影響；組織文化則如氣候，深層、持久、難以刻意操縱，氣候是成員對組織環境的主觀感受，文化則是形塑此感受的深層價值結構。</w:t>
      </w:r>
    </w:p>
    <w:p>
      <w:pPr>
        <w:pStyle w:val="ListParagraph"/>
        <w:numPr>
          <w:ilvl w:val="0"/>
          <w:numId w:val="2"/>
        </w:numPr>
        <w:spacing w:after="120" w:line="340"/>
      </w:pPr>
      <w:r>
        <w:rPr>
          <w:rFonts w:ascii="微軟正黑體" w:cs="微軟正黑體" w:eastAsia="微軟正黑體" w:hAnsi="微軟正黑體"/>
          <w:sz w:val="22"/>
          <w:szCs w:val="22"/>
        </w:rPr>
        <w:t xml:space="preserve">Edgar Schein提出最具影響力的三層次文化分析架構，依可見性與可改變性由淺入深排列：其一，器物與創造物層次（Artifacts and Creations），為最表層、最易觀察但最難詮釋的層次，包括組織中所有可見可聽可感之人工產物，如建築物、辦公室配置、公文格式、制服、儀式、口號、故事、語言、技術等；其二，價值觀念層次（Espoused Values），指組織所主張、偏好與辯護的信念，包含組織明示的使命、願景、策略、目標、哲學與正當化之理由，由創辦人或領導者提出，並經社會驗證逐步內化；其三，基本假定層次（Basic Underlying Assumptions），為最深層、不可見、被視為理所當然、無意識之信念，決定成員如何知覺、思考與感受，Schein歸納五類基本假定：對環境關係之假定、對真實與真理本質之假定、對人性本質之假定（X理論vs Y理論）、對人類活動本質之假定、對人群關係本質之假定。</w:t>
      </w:r>
    </w:p>
    <w:p>
      <w:pPr>
        <w:spacing w:after="140" w:before="260"/>
      </w:pPr>
      <w:r>
        <w:rPr>
          <w:rFonts w:ascii="微軟正黑體" w:cs="微軟正黑體" w:eastAsia="微軟正黑體" w:hAnsi="微軟正黑體"/>
          <w:b/>
          <w:bCs/>
          <w:color w:val="2E5C8A"/>
          <w:sz w:val="23"/>
          <w:szCs w:val="23"/>
        </w:rPr>
        <w:t xml:space="preserve">三、主要學者</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600"/>
        <w:gridCol w:w="3013"/>
        <w:gridCol w:w="2200"/>
        <w:gridCol w:w="2213"/>
      </w:tblGrid>
      <w:tr>
        <w:trPr>
          <w:tblHeader/>
        </w:trPr>
        <w:tc>
          <w:tcPr>
            <w:tcW w:type="dxa" w:w="16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層次</w:t>
            </w:r>
          </w:p>
        </w:tc>
        <w:tc>
          <w:tcPr>
            <w:tcW w:type="dxa" w:w="3013"/>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公部門例示</w:t>
            </w:r>
          </w:p>
        </w:tc>
        <w:tc>
          <w:tcPr>
            <w:tcW w:type="dxa" w:w="22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觀察方法</w:t>
            </w:r>
          </w:p>
        </w:tc>
        <w:tc>
          <w:tcPr>
            <w:tcW w:type="dxa" w:w="2213"/>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改變策略</w:t>
            </w:r>
          </w:p>
        </w:tc>
      </w:tr>
      <w:tr>
        <w:tc>
          <w:tcPr>
            <w:tcW w:type="dxa" w:w="16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器物與創造物</w:t>
            </w:r>
          </w:p>
        </w:tc>
        <w:tc>
          <w:tcPr>
            <w:tcW w:type="dxa" w:w="30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徽章、公文用語、開放辦公室、數位儀表板、生成式AI小幫手圖示</w:t>
            </w:r>
          </w:p>
        </w:tc>
        <w:tc>
          <w:tcPr>
            <w:tcW w:type="dxa" w:w="22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觀察、文件分析、實體環境掃描</w:t>
            </w:r>
          </w:p>
        </w:tc>
        <w:tc>
          <w:tcPr>
            <w:tcW w:type="dxa" w:w="22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更換符號、儀式再設計，可快速但易回潮</w:t>
            </w:r>
          </w:p>
        </w:tc>
      </w:tr>
      <w:tr>
        <w:tc>
          <w:tcPr>
            <w:tcW w:type="dxa" w:w="16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價值觀念</w:t>
            </w:r>
          </w:p>
        </w:tc>
        <w:tc>
          <w:tcPr>
            <w:tcW w:type="dxa" w:w="30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依法行政、清廉、透明、服務、績效、創新容錯</w:t>
            </w:r>
          </w:p>
        </w:tc>
        <w:tc>
          <w:tcPr>
            <w:tcW w:type="dxa" w:w="22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訪談、問卷、價值宣言分析</w:t>
            </w:r>
          </w:p>
        </w:tc>
        <w:tc>
          <w:tcPr>
            <w:tcW w:type="dxa" w:w="22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領導倡議、願景溝通、典範表彰</w:t>
            </w:r>
          </w:p>
        </w:tc>
      </w:tr>
      <w:tr>
        <w:tc>
          <w:tcPr>
            <w:tcW w:type="dxa" w:w="16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基本假定</w:t>
            </w:r>
          </w:p>
        </w:tc>
        <w:tc>
          <w:tcPr>
            <w:tcW w:type="dxa" w:w="30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人性可信或不可信、長官永遠對、少做少錯、安全重於創新</w:t>
            </w:r>
          </w:p>
        </w:tc>
        <w:tc>
          <w:tcPr>
            <w:tcW w:type="dxa" w:w="22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深度訪談、長期參與觀察、衝突情境分析</w:t>
            </w:r>
          </w:p>
        </w:tc>
        <w:tc>
          <w:tcPr>
            <w:tcW w:type="dxa" w:w="22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雙環學習、心理安全感、系統解凍再凍結</w:t>
            </w:r>
          </w:p>
        </w:tc>
      </w:tr>
    </w:tbl>
    <w:p>
      <w:pPr>
        <w:spacing w:after="280" w:before="120"/>
        <w:jc w:val="center"/>
      </w:pPr>
      <w:r>
        <w:rPr>
          <w:rFonts w:ascii="微軟正黑體" w:cs="微軟正黑體" w:eastAsia="微軟正黑體" w:hAnsi="微軟正黑體"/>
          <w:i/>
          <w:iCs/>
          <w:color w:val="555555"/>
          <w:sz w:val="18"/>
          <w:szCs w:val="18"/>
        </w:rPr>
        <w:t xml:space="preserve">表18-A　Schein三層次文化模式在公部門之詮釋</w:t>
      </w:r>
    </w:p>
    <w:p>
      <w:pPr>
        <w:spacing w:after="140" w:before="260"/>
      </w:pPr>
      <w:r>
        <w:rPr>
          <w:rFonts w:ascii="微軟正黑體" w:cs="微軟正黑體" w:eastAsia="微軟正黑體" w:hAnsi="微軟正黑體"/>
          <w:b/>
          <w:bCs/>
          <w:color w:val="2E5C8A"/>
          <w:sz w:val="23"/>
          <w:szCs w:val="23"/>
        </w:rPr>
        <w:t xml:space="preserve">四、核心命題</w:t>
      </w:r>
    </w:p>
    <w:p>
      <w:pPr>
        <w:spacing w:after="200" w:line="360"/>
        <w:ind w:firstLine="431"/>
        <w:jc w:val="both"/>
      </w:pPr>
      <w:r>
        <w:rPr>
          <w:rFonts w:ascii="微軟正黑體" w:cs="微軟正黑體" w:eastAsia="微軟正黑體" w:hAnsi="微軟正黑體"/>
          <w:sz w:val="22"/>
          <w:szCs w:val="22"/>
        </w:rPr>
        <w:t xml:space="preserve">組織文化、組織氣候與組織結構三概念常被混淆，其判準可從焦點、時間向度、可觀察性、改變難易四個面向系統區辨：組織結構聚焦正式權責與分工，時間向度為中長期，可觀察性高（組織圖規章可見），改變難易屬中（可透過再造改變）；組織氣候聚焦成員集體感受與氛圍，時間向度為短期，可觀察性中（問卷訪談可測），改變難易屬易（可營造）；組織文化聚焦共享價值與基本假定，時間向度為長期，可觀察性低（深層假定難觀察），改變難易屬難（需長期轉化）。此一區辨為國考熱門考點，考生須掌握「結構可以一夕重組，文化卻需經年累月」之核心命題。</w:t>
      </w:r>
    </w:p>
    <w:p>
      <w:pPr>
        <w:spacing w:after="140" w:before="260"/>
      </w:pPr>
      <w:r>
        <w:rPr>
          <w:rFonts w:ascii="微軟正黑體" w:cs="微軟正黑體" w:eastAsia="微軟正黑體" w:hAnsi="微軟正黑體"/>
          <w:b/>
          <w:bCs/>
          <w:color w:val="2E5C8A"/>
          <w:sz w:val="23"/>
          <w:szCs w:val="23"/>
        </w:rPr>
        <w:t xml:space="preserve">五、優點與限制</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200"/>
        <w:gridCol w:w="3413"/>
        <w:gridCol w:w="3413"/>
      </w:tblGrid>
      <w:tr>
        <w:trPr>
          <w:tblHeader/>
        </w:trPr>
        <w:tc>
          <w:tcPr>
            <w:tcW w:type="dxa" w:w="22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架構</w:t>
            </w:r>
          </w:p>
        </w:tc>
        <w:tc>
          <w:tcPr>
            <w:tcW w:type="dxa" w:w="3413"/>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貢獻</w:t>
            </w:r>
          </w:p>
        </w:tc>
        <w:tc>
          <w:tcPr>
            <w:tcW w:type="dxa" w:w="3413"/>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限制</w:t>
            </w:r>
          </w:p>
        </w:tc>
      </w:tr>
      <w:tr>
        <w:tc>
          <w:tcPr>
            <w:tcW w:type="dxa" w:w="22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Schein三層次文化模式</w:t>
            </w:r>
          </w:p>
        </w:tc>
        <w:tc>
          <w:tcPr>
            <w:tcW w:type="dxa" w:w="34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提供由表層至深層之系統性診斷工具，協助辨識器物是否只是裝飾、價值是否只是宣稱，直指基本假定此一文化根源</w:t>
            </w:r>
          </w:p>
        </w:tc>
        <w:tc>
          <w:tcPr>
            <w:tcW w:type="dxa" w:w="34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三層次之邊界在實務操作上未必截然二分，深度訪談與長期參與觀察耗時費力，基本假定之挖掘高度仰賴研究者之詮釋功力</w:t>
            </w:r>
          </w:p>
        </w:tc>
      </w:tr>
      <w:tr>
        <w:tc>
          <w:tcPr>
            <w:tcW w:type="dxa" w:w="22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文化╱氣候╱結構三概念區辨</w:t>
            </w:r>
          </w:p>
        </w:tc>
        <w:tc>
          <w:tcPr>
            <w:tcW w:type="dxa" w:w="34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釐清三者在焦點時間向度可觀察性改變難易之系統性差異，避免決策者誤將氣候營造當成文化變革，或誤將結構改造當成文化轉型</w:t>
            </w:r>
          </w:p>
        </w:tc>
        <w:tc>
          <w:tcPr>
            <w:tcW w:type="dxa" w:w="34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三者實務上高度交織，結構改革若缺乏文化配套易流於形式，氣候營造若無價值基礎亦難持久，區辨僅為分析起點而非操作全貌</w:t>
            </w:r>
          </w:p>
        </w:tc>
      </w:tr>
    </w:tbl>
    <w:p>
      <w:pPr>
        <w:spacing w:after="280" w:before="120"/>
        <w:jc w:val="center"/>
      </w:pPr>
      <w:r>
        <w:rPr>
          <w:rFonts w:ascii="微軟正黑體" w:cs="微軟正黑體" w:eastAsia="微軟正黑體" w:hAnsi="微軟正黑體"/>
          <w:i/>
          <w:iCs/>
          <w:color w:val="555555"/>
          <w:sz w:val="18"/>
          <w:szCs w:val="18"/>
        </w:rPr>
        <w:t xml:space="preserve">表18-B　Schein模式與概念區辨之貢獻與限制</w:t>
      </w:r>
    </w:p>
    <w:p>
      <w:pPr>
        <w:spacing w:after="140" w:before="260"/>
      </w:pPr>
      <w:r>
        <w:rPr>
          <w:rFonts w:ascii="微軟正黑體" w:cs="微軟正黑體" w:eastAsia="微軟正黑體" w:hAnsi="微軟正黑體"/>
          <w:b/>
          <w:bCs/>
          <w:color w:val="2E5C8A"/>
          <w:sz w:val="23"/>
          <w:szCs w:val="23"/>
        </w:rPr>
        <w:t xml:space="preserve">六、當代發展</w:t>
      </w:r>
    </w:p>
    <w:p>
      <w:pPr>
        <w:spacing w:after="200" w:line="360"/>
        <w:ind w:firstLine="431"/>
        <w:jc w:val="both"/>
      </w:pPr>
      <w:r>
        <w:rPr>
          <w:rFonts w:ascii="微軟正黑體" w:cs="微軟正黑體" w:eastAsia="微軟正黑體" w:hAnsi="微軟正黑體"/>
          <w:sz w:val="22"/>
          <w:szCs w:val="22"/>
        </w:rPr>
        <w:t xml:space="preserve">生成式AI進入組織日常協作後，Schein三層次模式須重新詮釋：器物層新增AI助手圖示、提示詞範本與數位儀表板；價值層須將可解釋性、公平性等AI倫理原則提升為與依法行政並列之核心價值；基本假定層則須追問「真理來源是長官權威、科學數據，還是AI模型」，此一翻轉將決定組織能否真正達成人機共融，而非僅止於表面導入工具。</w:t>
      </w:r>
    </w:p>
    <w:p>
      <w:pPr>
        <w:spacing w:after="140" w:before="260"/>
      </w:pPr>
      <w:r>
        <w:rPr>
          <w:rFonts w:ascii="微軟正黑體" w:cs="微軟正黑體" w:eastAsia="微軟正黑體" w:hAnsi="微軟正黑體"/>
          <w:b/>
          <w:bCs/>
          <w:color w:val="2E5C8A"/>
          <w:sz w:val="23"/>
          <w:szCs w:val="23"/>
        </w:rPr>
        <w:t xml:space="preserve">七、臺灣行政實務</w:t>
      </w:r>
    </w:p>
    <w:p>
      <w:pPr>
        <w:spacing w:after="200" w:line="360"/>
        <w:ind w:firstLine="431"/>
        <w:jc w:val="both"/>
      </w:pPr>
      <w:r>
        <w:rPr>
          <w:rFonts w:ascii="微軟正黑體" w:cs="微軟正黑體" w:eastAsia="微軟正黑體" w:hAnsi="微軟正黑體"/>
          <w:sz w:val="22"/>
          <w:szCs w:val="22"/>
        </w:rPr>
        <w:t xml:space="preserve">我國行政機關茶水間是否提供咖啡與點心、長官稱呼方式、層級批核之紅色流程章，皆為器物層之具體展現；機關網站與文件常宣稱「依法行政、便民利民」，屬價值觀念層，惟其與實際行為（如是否真正便民）是否一致，須透過深度觀察方能判斷，此一「宣稱價值與實際行為落差」正是本章後續討論文化變革的切入點。</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DCE6F5" w:sz="2"/>
              <w:left w:val="single" w:color="1F4E79" w:sz="24"/>
              <w:bottom w:val="single" w:color="DCE6F5" w:sz="2"/>
              <w:right w:val="single" w:color="DCE6F5" w:sz="2"/>
            </w:tcBorders>
            <w:shd w:fill="DCE6F5" w:val="clear"/>
            <w:tcMar>
              <w:top w:type="dxa" w:w="160"/>
              <w:left w:type="dxa" w:w="220"/>
              <w:bottom w:type="dxa" w:w="160"/>
              <w:right w:type="dxa" w:w="220"/>
            </w:tcMar>
          </w:tcPr>
          <w:p>
            <w:pPr>
              <w:spacing w:after="100"/>
            </w:pPr>
            <w:r>
              <w:rPr>
                <w:rFonts w:ascii="微軟正黑體" w:cs="微軟正黑體" w:eastAsia="微軟正黑體" w:hAnsi="微軟正黑體"/>
                <w:b/>
                <w:bCs/>
                <w:color w:val="1F4E79"/>
                <w:sz w:val="22"/>
                <w:szCs w:val="22"/>
              </w:rPr>
              <w:t xml:space="preserve">【國考考點】</w:t>
            </w:r>
          </w:p>
          <w:p>
            <w:pPr>
              <w:spacing w:after="80" w:line="320"/>
            </w:pPr>
            <w:r>
              <w:rPr>
                <w:rFonts w:ascii="微軟正黑體" w:cs="微軟正黑體" w:eastAsia="微軟正黑體" w:hAnsi="微軟正黑體"/>
                <w:sz w:val="21"/>
                <w:szCs w:val="21"/>
              </w:rPr>
              <w:t xml:space="preserve">•　①組織文化之定義（Schein），及其共享性、層次性、習得性與穩定性三核心特徵</w:t>
            </w:r>
          </w:p>
          <w:p>
            <w:pPr>
              <w:spacing w:after="80" w:line="320"/>
            </w:pPr>
            <w:r>
              <w:rPr>
                <w:rFonts w:ascii="微軟正黑體" w:cs="微軟正黑體" w:eastAsia="微軟正黑體" w:hAnsi="微軟正黑體"/>
                <w:sz w:val="21"/>
                <w:szCs w:val="21"/>
              </w:rPr>
              <w:t xml:space="preserve">•　②組織文化vs組織氣候vs組織結構：焦點╱時間向度╱可觀察性╱改變難易四面向區辨</w:t>
            </w:r>
          </w:p>
          <w:p>
            <w:pPr>
              <w:spacing w:after="80" w:line="320"/>
            </w:pPr>
            <w:r>
              <w:rPr>
                <w:rFonts w:ascii="微軟正黑體" w:cs="微軟正黑體" w:eastAsia="微軟正黑體" w:hAnsi="微軟正黑體"/>
                <w:sz w:val="21"/>
                <w:szCs w:val="21"/>
              </w:rPr>
              <w:t xml:space="preserve">•　③Schein三層次：器物與創造物╱價值觀念╱基本假定，及其可見性與可改變性</w:t>
            </w:r>
          </w:p>
          <w:p>
            <w:pPr>
              <w:spacing w:after="0" w:line="320"/>
            </w:pPr>
            <w:r>
              <w:rPr>
                <w:rFonts w:ascii="微軟正黑體" w:cs="微軟正黑體" w:eastAsia="微軟正黑體" w:hAnsi="微軟正黑體"/>
                <w:sz w:val="21"/>
                <w:szCs w:val="21"/>
              </w:rPr>
              <w:t xml:space="preserve">•　④基本假定五類：環境關係╱真實真理本質╱人性本質（X理論Y理論）╱人類活動本質╱人群關係本質</w:t>
            </w:r>
          </w:p>
        </w:tc>
      </w:tr>
    </w:tbl>
    <w:p>
      <w:pPr>
        <w:spacing w:after="14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E8F5E9" w:sz="2"/>
              <w:left w:val="single" w:color="2E7D32" w:sz="24"/>
              <w:bottom w:val="single" w:color="E8F5E9" w:sz="2"/>
              <w:right w:val="single" w:color="E8F5E9" w:sz="2"/>
            </w:tcBorders>
            <w:shd w:fill="E8F5E9" w:val="clear"/>
            <w:tcMar>
              <w:top w:type="dxa" w:w="160"/>
              <w:left w:type="dxa" w:w="220"/>
              <w:bottom w:type="dxa" w:w="160"/>
              <w:right w:type="dxa" w:w="220"/>
            </w:tcMar>
          </w:tcPr>
          <w:p>
            <w:pPr>
              <w:spacing w:after="100"/>
            </w:pPr>
            <w:r>
              <w:rPr>
                <w:rFonts w:ascii="微軟正黑體" w:cs="微軟正黑體" w:eastAsia="微軟正黑體" w:hAnsi="微軟正黑體"/>
                <w:b/>
                <w:bCs/>
                <w:color w:val="2E7D32"/>
                <w:sz w:val="22"/>
                <w:szCs w:val="22"/>
              </w:rPr>
              <w:t xml:space="preserve">【一分鐘記憶】</w:t>
            </w:r>
          </w:p>
          <w:p>
            <w:pPr>
              <w:spacing w:after="80" w:line="320"/>
            </w:pPr>
            <w:r>
              <w:rPr>
                <w:rFonts w:ascii="微軟正黑體" w:cs="微軟正黑體" w:eastAsia="微軟正黑體" w:hAnsi="微軟正黑體"/>
                <w:sz w:val="21"/>
                <w:szCs w:val="21"/>
              </w:rPr>
              <w:t xml:space="preserve">•　Schein三層次口訣：器（物創造物，看得見）、價（值觀念，說出口）、假（本假定，藏心底）——「器價假」三字訣，由淺入深</w:t>
            </w:r>
          </w:p>
          <w:p>
            <w:pPr>
              <w:spacing w:after="80" w:line="320"/>
            </w:pPr>
            <w:r>
              <w:rPr>
                <w:rFonts w:ascii="微軟正黑體" w:cs="微軟正黑體" w:eastAsia="微軟正黑體" w:hAnsi="微軟正黑體"/>
                <w:sz w:val="21"/>
                <w:szCs w:val="21"/>
              </w:rPr>
              <w:t xml:space="preserve">•　文化vs氣候一句話記憶：氣候是今天天氣，文化是當地氣候——前者易變，後者難移</w:t>
            </w:r>
          </w:p>
          <w:p>
            <w:pPr>
              <w:spacing w:after="0" w:line="320"/>
            </w:pPr>
            <w:r>
              <w:rPr>
                <w:rFonts w:ascii="微軟正黑體" w:cs="微軟正黑體" w:eastAsia="微軟正黑體" w:hAnsi="微軟正黑體"/>
                <w:sz w:val="21"/>
                <w:szCs w:val="21"/>
              </w:rPr>
              <w:t xml:space="preserve">•　X理論vs Y理論記憶：X理論認為人性好逸惡勞需監督，Y理論認為人性自我實現願投入</w:t>
            </w:r>
          </w:p>
        </w:tc>
      </w:tr>
    </w:tbl>
    <w:p>
      <w:pPr>
        <w:spacing w:after="14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FDECEA" w:sz="2"/>
              <w:left w:val="single" w:color="C0392B" w:sz="24"/>
              <w:bottom w:val="single" w:color="FDECEA" w:sz="2"/>
              <w:right w:val="single" w:color="FDECEA" w:sz="2"/>
            </w:tcBorders>
            <w:shd w:fill="FDECEA" w:val="clear"/>
            <w:tcMar>
              <w:top w:type="dxa" w:w="160"/>
              <w:left w:type="dxa" w:w="220"/>
              <w:bottom w:type="dxa" w:w="160"/>
              <w:right w:type="dxa" w:w="220"/>
            </w:tcMar>
          </w:tcPr>
          <w:p>
            <w:pPr>
              <w:spacing w:after="100"/>
            </w:pPr>
            <w:r>
              <w:rPr>
                <w:rFonts w:ascii="微軟正黑體" w:cs="微軟正黑體" w:eastAsia="微軟正黑體" w:hAnsi="微軟正黑體"/>
                <w:b/>
                <w:bCs/>
                <w:color w:val="C0392B"/>
                <w:sz w:val="22"/>
                <w:szCs w:val="22"/>
              </w:rPr>
              <w:t xml:space="preserve">【容易混淆】</w:t>
            </w:r>
          </w:p>
          <w:p>
            <w:pPr>
              <w:spacing w:after="80" w:line="320"/>
            </w:pPr>
            <w:r>
              <w:rPr>
                <w:rFonts w:ascii="微軟正黑體" w:cs="微軟正黑體" w:eastAsia="微軟正黑體" w:hAnsi="微軟正黑體"/>
                <w:sz w:val="21"/>
                <w:szCs w:val="21"/>
              </w:rPr>
              <w:t xml:space="preserve">•　「組織氣候」（文化的表層、短期、可刻意營造之氛圍，如同天氣易受領導風格影響）與「組織文化」（深層、持久、難以刻意操縱，如同氣候）常被考生視為同義詞——本章明確以「氣候之於天氣，文化之於氣候」之隱喻區辨兩者：氣候可透過短期措施營造，文化則需經年累月方能轉化，兩者改變難易度截然不同。</w:t>
            </w:r>
          </w:p>
          <w:p>
            <w:pPr>
              <w:spacing w:after="0" w:line="320"/>
            </w:pPr>
            <w:r>
              <w:rPr>
                <w:rFonts w:ascii="微軟正黑體" w:cs="微軟正黑體" w:eastAsia="微軟正黑體" w:hAnsi="微軟正黑體"/>
                <w:sz w:val="21"/>
                <w:szCs w:val="21"/>
              </w:rPr>
              <w:t xml:space="preserve">•　「器物與創造物層次」（最表層、可觀察但難詮釋，如辦公室配置公文格式）與「價值觀念層次」（組織所主張偏好之信念，如依法行政便民利民）常被考生混為一談——判準在於「是否可直接觀察」：器物層可直接看見聽見感受到，價值層則須透過文件訪談領導談話方能得知，且價值層可能與實際行為（基本假定所驅動）產生落差。</w:t>
            </w:r>
          </w:p>
        </w:tc>
      </w:tr>
    </w:tbl>
    <w:p>
      <w:pPr>
        <w:spacing w:after="260"/>
      </w:pPr>
    </w:p>
    <w:p>
      <w:pPr>
        <w:spacing w:after="180" w:before="360"/>
      </w:pPr>
      <w:r>
        <w:rPr>
          <w:rFonts w:ascii="微軟正黑體" w:cs="微軟正黑體" w:eastAsia="微軟正黑體" w:hAnsi="微軟正黑體"/>
          <w:b/>
          <w:bCs/>
          <w:color w:val="1F4E79"/>
          <w:sz w:val="26"/>
          <w:szCs w:val="26"/>
        </w:rPr>
        <w:t xml:space="preserve">第二節　組織文化的功能與類型</w:t>
      </w:r>
    </w:p>
    <w:p>
      <w:pPr>
        <w:spacing w:after="140" w:before="260"/>
      </w:pPr>
      <w:r>
        <w:rPr>
          <w:rFonts w:ascii="微軟正黑體" w:cs="微軟正黑體" w:eastAsia="微軟正黑體" w:hAnsi="微軟正黑體"/>
          <w:b/>
          <w:bCs/>
          <w:color w:val="2E5C8A"/>
          <w:sz w:val="23"/>
          <w:szCs w:val="23"/>
        </w:rPr>
        <w:t xml:space="preserve">一、核心概念</w:t>
      </w:r>
    </w:p>
    <w:p>
      <w:pPr>
        <w:spacing w:after="200" w:line="360"/>
        <w:ind w:firstLine="431"/>
        <w:jc w:val="both"/>
      </w:pPr>
      <w:r>
        <w:rPr>
          <w:rFonts w:ascii="微軟正黑體" w:cs="微軟正黑體" w:eastAsia="微軟正黑體" w:hAnsi="微軟正黑體"/>
          <w:sz w:val="22"/>
          <w:szCs w:val="22"/>
        </w:rPr>
        <w:t xml:space="preserve">組織文化兼具正向功能與負向病態之雙面性，學者復依價值取向為軸，發展出多種文化類型學，協助比較不同組織之文化差異，為理解公部門文化多元並存現象之重要分析工具。</w:t>
      </w:r>
    </w:p>
    <w:p>
      <w:pPr>
        <w:spacing w:after="140" w:before="260"/>
      </w:pPr>
      <w:r>
        <w:rPr>
          <w:rFonts w:ascii="微軟正黑體" w:cs="微軟正黑體" w:eastAsia="微軟正黑體" w:hAnsi="微軟正黑體"/>
          <w:b/>
          <w:bCs/>
          <w:color w:val="2E5C8A"/>
          <w:sz w:val="23"/>
          <w:szCs w:val="23"/>
        </w:rPr>
        <w:t xml:space="preserve">二、理論發展</w:t>
      </w:r>
    </w:p>
    <w:p>
      <w:pPr>
        <w:pStyle w:val="ListParagraph"/>
        <w:numPr>
          <w:ilvl w:val="0"/>
          <w:numId w:val="2"/>
        </w:numPr>
        <w:spacing w:after="120" w:line="340"/>
      </w:pPr>
      <w:r>
        <w:rPr>
          <w:rFonts w:ascii="微軟正黑體" w:cs="微軟正黑體" w:eastAsia="微軟正黑體" w:hAnsi="微軟正黑體"/>
          <w:sz w:val="22"/>
          <w:szCs w:val="22"/>
        </w:rPr>
        <w:t xml:space="preserve">組織文化之正向功能包括：凝聚與認同功能（提供成員共同身分與歸屬感，降低不確定性，形成我們感）、承諾與激勵功能（超越正式報酬，透過價值內化提升成員對組織目標之承諾，如公共服務動機PSM即依賴文化支撐）、社會控制與協調功能（文化作為非正式控制機制，透過同儕壓力與內在規範降低監督成本）、意義詮釋功能（提供認知地圖，協助成員解釋事件、減少焦慮）、邊界界定與正當化功能（區隔組織與外在環境，累積正當性）。當文化過度強固或與環境脫節，便產生負向作用：變革阻礙（強文化導致盲從、團體盲思，排斥異議）、多元排斥（高度同質文化抑制多元觀點，不利創新）、倫理盲目（若文化默許績效至上而不擇手段，易導致目標錯置）、形式主義與防衛性（公部門過度強調層級與程序，易形成報喜不報憂、規避責任之自保文化）。</w:t>
      </w:r>
    </w:p>
    <w:p>
      <w:pPr>
        <w:pStyle w:val="ListParagraph"/>
        <w:numPr>
          <w:ilvl w:val="0"/>
          <w:numId w:val="2"/>
        </w:numPr>
        <w:spacing w:after="120" w:line="340"/>
      </w:pPr>
      <w:r>
        <w:rPr>
          <w:rFonts w:ascii="微軟正黑體" w:cs="微軟正黑體" w:eastAsia="微軟正黑體" w:hAnsi="微軟正黑體"/>
          <w:sz w:val="22"/>
          <w:szCs w:val="22"/>
        </w:rPr>
        <w:t xml:space="preserve">學者發展多種文化類型分類：Harrison（1972）提出四型——權力取向文化以控制與競爭為核心，決策集中；角色取向文化以合法性與明文職責為核心，強調層級節制與法規遵循，傳統官僚屬之；工作取向文化以任務達成為優先，重視專業與理性；人員取向文化以關懷、互助與以人為中心，重視個人成長，公部門常兼具角色與人員之混合。Deal與Kennedy（1982）以環境風險與回饋速度為軸，提出四型——硬漢文化（高風險快回饋）重績效成王敗寇；辛勤工作盡情享受文化（低風險快回饋）強調行動力與服務；長線賭注文化（高風險慢回饋）重視專業經驗層級節制；強調過程文化（低風險慢回饋）易流於官僚因循但求無過，傳統公文批核文化即是。</w:t>
      </w:r>
    </w:p>
    <w:p>
      <w:pPr>
        <w:spacing w:after="140" w:before="260"/>
      </w:pPr>
      <w:r>
        <w:rPr>
          <w:rFonts w:ascii="微軟正黑體" w:cs="微軟正黑體" w:eastAsia="微軟正黑體" w:hAnsi="微軟正黑體"/>
          <w:b/>
          <w:bCs/>
          <w:color w:val="2E5C8A"/>
          <w:sz w:val="23"/>
          <w:szCs w:val="23"/>
        </w:rPr>
        <w:t xml:space="preserve">三、主要學者</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800"/>
        <w:gridCol w:w="1800"/>
        <w:gridCol w:w="2200"/>
        <w:gridCol w:w="3226"/>
      </w:tblGrid>
      <w:tr>
        <w:trPr>
          <w:tblHeader/>
        </w:trPr>
        <w:tc>
          <w:tcPr>
            <w:tcW w:type="dxa" w:w="18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模型</w:t>
            </w:r>
          </w:p>
        </w:tc>
        <w:tc>
          <w:tcPr>
            <w:tcW w:type="dxa" w:w="18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分類軸線</w:t>
            </w:r>
          </w:p>
        </w:tc>
        <w:tc>
          <w:tcPr>
            <w:tcW w:type="dxa" w:w="22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類型</w:t>
            </w:r>
          </w:p>
        </w:tc>
        <w:tc>
          <w:tcPr>
            <w:tcW w:type="dxa" w:w="3226"/>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公部門對應</w:t>
            </w:r>
          </w:p>
        </w:tc>
      </w:tr>
      <w:tr>
        <w:tc>
          <w:tcPr>
            <w:tcW w:type="dxa" w:w="18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Harrison</w:t>
            </w:r>
          </w:p>
        </w:tc>
        <w:tc>
          <w:tcPr>
            <w:tcW w:type="dxa" w:w="18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權力vs關懷</w:t>
            </w:r>
          </w:p>
        </w:tc>
        <w:tc>
          <w:tcPr>
            <w:tcW w:type="dxa" w:w="22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權力、角色、工作、人員</w:t>
            </w:r>
          </w:p>
        </w:tc>
        <w:tc>
          <w:tcPr>
            <w:tcW w:type="dxa" w:w="3226"/>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傳統官僚為角色取向，專案為工作取向</w:t>
            </w:r>
          </w:p>
        </w:tc>
      </w:tr>
      <w:tr>
        <w:tc>
          <w:tcPr>
            <w:tcW w:type="dxa" w:w="18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Deal &amp; Kennedy</w:t>
            </w:r>
          </w:p>
        </w:tc>
        <w:tc>
          <w:tcPr>
            <w:tcW w:type="dxa" w:w="18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風險vs回饋</w:t>
            </w:r>
          </w:p>
        </w:tc>
        <w:tc>
          <w:tcPr>
            <w:tcW w:type="dxa" w:w="22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硬漢、辛勤、長線賭注、過程</w:t>
            </w:r>
          </w:p>
        </w:tc>
        <w:tc>
          <w:tcPr>
            <w:tcW w:type="dxa" w:w="3226"/>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傳統為過程，數位櫃檯轉向辛勤</w:t>
            </w:r>
          </w:p>
        </w:tc>
      </w:tr>
      <w:tr>
        <w:tc>
          <w:tcPr>
            <w:tcW w:type="dxa" w:w="18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Quinn╱Cameron（CVF）</w:t>
            </w:r>
          </w:p>
        </w:tc>
        <w:tc>
          <w:tcPr>
            <w:tcW w:type="dxa" w:w="18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內外vs彈性控制</w:t>
            </w:r>
          </w:p>
        </w:tc>
        <w:tc>
          <w:tcPr>
            <w:tcW w:type="dxa" w:w="22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層級、理性、共識、發展</w:t>
            </w:r>
          </w:p>
        </w:tc>
        <w:tc>
          <w:tcPr>
            <w:tcW w:type="dxa" w:w="3226"/>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NPM推理性，NPS推共識，AI推發展</w:t>
            </w:r>
          </w:p>
        </w:tc>
      </w:tr>
      <w:tr>
        <w:tc>
          <w:tcPr>
            <w:tcW w:type="dxa" w:w="18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Ouchi Z理論</w:t>
            </w:r>
          </w:p>
        </w:tc>
        <w:tc>
          <w:tcPr>
            <w:tcW w:type="dxa" w:w="18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信任與整合</w:t>
            </w:r>
          </w:p>
        </w:tc>
        <w:tc>
          <w:tcPr>
            <w:tcW w:type="dxa" w:w="22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Z型文化</w:t>
            </w:r>
          </w:p>
        </w:tc>
        <w:tc>
          <w:tcPr>
            <w:tcW w:type="dxa" w:w="3226"/>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建構信任與整體關懷的公共組織</w:t>
            </w:r>
          </w:p>
        </w:tc>
      </w:tr>
    </w:tbl>
    <w:p>
      <w:pPr>
        <w:spacing w:after="280" w:before="120"/>
        <w:jc w:val="center"/>
      </w:pPr>
      <w:r>
        <w:rPr>
          <w:rFonts w:ascii="微軟正黑體" w:cs="微軟正黑體" w:eastAsia="微軟正黑體" w:hAnsi="微軟正黑體"/>
          <w:i/>
          <w:iCs/>
          <w:color w:val="555555"/>
          <w:sz w:val="18"/>
          <w:szCs w:val="18"/>
        </w:rPr>
        <w:t xml:space="preserve">表18-C　主流組織文化類型綜合比較</w:t>
      </w:r>
    </w:p>
    <w:p>
      <w:pPr>
        <w:spacing w:after="140" w:before="260"/>
      </w:pPr>
      <w:r>
        <w:rPr>
          <w:rFonts w:ascii="微軟正黑體" w:cs="微軟正黑體" w:eastAsia="微軟正黑體" w:hAnsi="微軟正黑體"/>
          <w:b/>
          <w:bCs/>
          <w:color w:val="2E5C8A"/>
          <w:sz w:val="23"/>
          <w:szCs w:val="23"/>
        </w:rPr>
        <w:t xml:space="preserve">四、核心命題</w:t>
      </w:r>
    </w:p>
    <w:p>
      <w:pPr>
        <w:spacing w:after="200" w:line="360"/>
        <w:ind w:firstLine="431"/>
        <w:jc w:val="both"/>
      </w:pPr>
      <w:r>
        <w:rPr>
          <w:rFonts w:ascii="微軟正黑體" w:cs="微軟正黑體" w:eastAsia="微軟正黑體" w:hAnsi="微軟正黑體"/>
          <w:sz w:val="22"/>
          <w:szCs w:val="22"/>
        </w:rPr>
        <w:t xml:space="preserve">Quinn與McGrath後經Cameron與Quinn發揚為競爭價值架構（Competing Values Framework, CVF），以內外焦點與彈性控制兩軸交織出四型：層級文化（內部+控制）重視穩定、效率與規章，為傳統機關主文化；理性╱市場文化（外部+控制）重視績效、成本與競爭力，新公共管理所倡；共識╱家族文化（內部+彈性）重視參與、分權、團隊與信任；發展╱創新文化（外部+彈性）強調彈性、成長與創新突破，為AI治理所需。高效能公部門須依任務靈活切換四型文化，而非固守單一類型；William Ouchi（1981）綜合日本與美國經驗提出Z型文化：長期僱用以建立信任、緩慢升遷以培養多功能歷練、共識決策以取得承諾、人人負責與整體關懷以強化忠誠，其啟示在於功績制下如何兼顧關懷與效率，避免純市場理性導致之切割與短期化。</w:t>
      </w:r>
    </w:p>
    <w:p>
      <w:pPr>
        <w:spacing w:after="140" w:before="260"/>
      </w:pPr>
      <w:r>
        <w:rPr>
          <w:rFonts w:ascii="微軟正黑體" w:cs="微軟正黑體" w:eastAsia="微軟正黑體" w:hAnsi="微軟正黑體"/>
          <w:b/>
          <w:bCs/>
          <w:color w:val="2E5C8A"/>
          <w:sz w:val="23"/>
          <w:szCs w:val="23"/>
        </w:rPr>
        <w:t xml:space="preserve">五、優點與限制</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200"/>
        <w:gridCol w:w="3413"/>
        <w:gridCol w:w="3413"/>
      </w:tblGrid>
      <w:tr>
        <w:trPr>
          <w:tblHeader/>
        </w:trPr>
        <w:tc>
          <w:tcPr>
            <w:tcW w:type="dxa" w:w="22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架構</w:t>
            </w:r>
          </w:p>
        </w:tc>
        <w:tc>
          <w:tcPr>
            <w:tcW w:type="dxa" w:w="3413"/>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貢獻</w:t>
            </w:r>
          </w:p>
        </w:tc>
        <w:tc>
          <w:tcPr>
            <w:tcW w:type="dxa" w:w="3413"/>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限制</w:t>
            </w:r>
          </w:p>
        </w:tc>
      </w:tr>
      <w:tr>
        <w:tc>
          <w:tcPr>
            <w:tcW w:type="dxa" w:w="22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文化正負功能框架</w:t>
            </w:r>
          </w:p>
        </w:tc>
        <w:tc>
          <w:tcPr>
            <w:tcW w:type="dxa" w:w="34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系統呈現文化之凝聚承諾控制意義詮釋等正向功能，並揭示強文化可能導致之團體盲思倫理盲目等病態，提醒管理者文化並非愈強愈好</w:t>
            </w:r>
          </w:p>
        </w:tc>
        <w:tc>
          <w:tcPr>
            <w:tcW w:type="dxa" w:w="34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正負功能之判斷具高度脈絡依賴性，同一文化特質（如層級節制）在不同任務情境下可能是優勢亦可能是限制，缺乏放諸四海皆準之判準</w:t>
            </w:r>
          </w:p>
        </w:tc>
      </w:tr>
      <w:tr>
        <w:tc>
          <w:tcPr>
            <w:tcW w:type="dxa" w:w="22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四種文化類型模型（Harrison╱Deal&amp;Kennedy╱CVF╱Ouchi）</w:t>
            </w:r>
          </w:p>
        </w:tc>
        <w:tc>
          <w:tcPr>
            <w:tcW w:type="dxa" w:w="34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提供多元分類軸線（權力關懷、風險回饋、內外彈性控制、信任整合），協助組織診斷自身文化定位並比較差異</w:t>
            </w:r>
          </w:p>
        </w:tc>
        <w:tc>
          <w:tcPr>
            <w:tcW w:type="dxa" w:w="34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各模型分類軸線不同，實務應用時易生模型間概念混淆，且真實組織文化多為混合型，純粹單一類型在實務上較為罕見</w:t>
            </w:r>
          </w:p>
        </w:tc>
      </w:tr>
    </w:tbl>
    <w:p>
      <w:pPr>
        <w:spacing w:after="280" w:before="120"/>
        <w:jc w:val="center"/>
      </w:pPr>
      <w:r>
        <w:rPr>
          <w:rFonts w:ascii="微軟正黑體" w:cs="微軟正黑體" w:eastAsia="微軟正黑體" w:hAnsi="微軟正黑體"/>
          <w:i/>
          <w:iCs/>
          <w:color w:val="555555"/>
          <w:sz w:val="18"/>
          <w:szCs w:val="18"/>
        </w:rPr>
        <w:t xml:space="preserve">表18-D　文化功能與類型模型之貢獻與限制</w:t>
      </w:r>
    </w:p>
    <w:p>
      <w:pPr>
        <w:spacing w:after="140" w:before="260"/>
      </w:pPr>
      <w:r>
        <w:rPr>
          <w:rFonts w:ascii="微軟正黑體" w:cs="微軟正黑體" w:eastAsia="微軟正黑體" w:hAnsi="微軟正黑體"/>
          <w:b/>
          <w:bCs/>
          <w:color w:val="2E5C8A"/>
          <w:sz w:val="23"/>
          <w:szCs w:val="23"/>
        </w:rPr>
        <w:t xml:space="preserve">六、當代發展</w:t>
      </w:r>
    </w:p>
    <w:p>
      <w:pPr>
        <w:spacing w:after="200" w:line="360"/>
        <w:ind w:firstLine="431"/>
        <w:jc w:val="both"/>
      </w:pPr>
      <w:r>
        <w:rPr>
          <w:rFonts w:ascii="微軟正黑體" w:cs="微軟正黑體" w:eastAsia="微軟正黑體" w:hAnsi="微軟正黑體"/>
          <w:sz w:val="22"/>
          <w:szCs w:val="22"/>
        </w:rPr>
        <w:t xml:space="preserve">數位時代回饋加速，迫使公部門由傳統之「強調過程文化」（低風險慢回饋），逐步邁向「辛勤工作盡情享受文化」與「硬漢文化」之混合型態——即在維持專業審慎之同時，須提升行動力與服務回應速度；此一轉型亦呼應CVF架構中，公部門須從層級文化為主，逐步納入發展╱創新文化之元素，以因應AI治理所需之彈性與創新能量。</w:t>
      </w:r>
    </w:p>
    <w:p>
      <w:pPr>
        <w:spacing w:after="140" w:before="260"/>
      </w:pPr>
      <w:r>
        <w:rPr>
          <w:rFonts w:ascii="微軟正黑體" w:cs="微軟正黑體" w:eastAsia="微軟正黑體" w:hAnsi="微軟正黑體"/>
          <w:b/>
          <w:bCs/>
          <w:color w:val="2E5C8A"/>
          <w:sz w:val="23"/>
          <w:szCs w:val="23"/>
        </w:rPr>
        <w:t xml:space="preserve">七、臺灣行政實務</w:t>
      </w:r>
    </w:p>
    <w:p>
      <w:pPr>
        <w:spacing w:after="200" w:line="360"/>
        <w:ind w:firstLine="431"/>
        <w:jc w:val="both"/>
      </w:pPr>
      <w:r>
        <w:rPr>
          <w:rFonts w:ascii="微軟正黑體" w:cs="微軟正黑體" w:eastAsia="微軟正黑體" w:hAnsi="微軟正黑體"/>
          <w:sz w:val="22"/>
          <w:szCs w:val="22"/>
        </w:rPr>
        <w:t xml:space="preserve">我國傳統行政機關多呈現層級文化（CVF）與角色取向文化（Harrison）之混合特徵，重視穩定、效率、規章與層級節制；近年推動之開放政府、公民參與平台，則展現共識╱家族文化與人員取向文化之元素；面對AI導入需求，部分機關開始嘗試發展╱創新文化之實踐，如設置沙盒試點單位，展現公部門文化正朝多元並存、依任務靈活切換之方向轉型。</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DCE6F5" w:sz="2"/>
              <w:left w:val="single" w:color="1F4E79" w:sz="24"/>
              <w:bottom w:val="single" w:color="DCE6F5" w:sz="2"/>
              <w:right w:val="single" w:color="DCE6F5" w:sz="2"/>
            </w:tcBorders>
            <w:shd w:fill="DCE6F5" w:val="clear"/>
            <w:tcMar>
              <w:top w:type="dxa" w:w="160"/>
              <w:left w:type="dxa" w:w="220"/>
              <w:bottom w:type="dxa" w:w="160"/>
              <w:right w:type="dxa" w:w="220"/>
            </w:tcMar>
          </w:tcPr>
          <w:p>
            <w:pPr>
              <w:spacing w:after="100"/>
            </w:pPr>
            <w:r>
              <w:rPr>
                <w:rFonts w:ascii="微軟正黑體" w:cs="微軟正黑體" w:eastAsia="微軟正黑體" w:hAnsi="微軟正黑體"/>
                <w:b/>
                <w:bCs/>
                <w:color w:val="1F4E79"/>
                <w:sz w:val="22"/>
                <w:szCs w:val="22"/>
              </w:rPr>
              <w:t xml:space="preserve">【國考考點】</w:t>
            </w:r>
          </w:p>
          <w:p>
            <w:pPr>
              <w:spacing w:after="80" w:line="320"/>
            </w:pPr>
            <w:r>
              <w:rPr>
                <w:rFonts w:ascii="微軟正黑體" w:cs="微軟正黑體" w:eastAsia="微軟正黑體" w:hAnsi="微軟正黑體"/>
                <w:sz w:val="21"/>
                <w:szCs w:val="21"/>
              </w:rPr>
              <w:t xml:space="preserve">•　①文化正向功能五項：凝聚認同╱承諾激勵╱社會控制協調╱意義詮釋╱邊界界定正當化</w:t>
            </w:r>
          </w:p>
          <w:p>
            <w:pPr>
              <w:spacing w:after="80" w:line="320"/>
            </w:pPr>
            <w:r>
              <w:rPr>
                <w:rFonts w:ascii="微軟正黑體" w:cs="微軟正黑體" w:eastAsia="微軟正黑體" w:hAnsi="微軟正黑體"/>
                <w:sz w:val="21"/>
                <w:szCs w:val="21"/>
              </w:rPr>
              <w:t xml:space="preserve">•　②文化負向病態四項：變革阻礙╱多元排斥╱倫理盲目╱形式主義防衛性</w:t>
            </w:r>
          </w:p>
          <w:p>
            <w:pPr>
              <w:spacing w:after="80" w:line="320"/>
            </w:pPr>
            <w:r>
              <w:rPr>
                <w:rFonts w:ascii="微軟正黑體" w:cs="微軟正黑體" w:eastAsia="微軟正黑體" w:hAnsi="微軟正黑體"/>
                <w:sz w:val="21"/>
                <w:szCs w:val="21"/>
              </w:rPr>
              <w:t xml:space="preserve">•　③四種文化類型模型：Harrison（權力角色工作人員）╱Deal&amp;Kennedy（硬漢辛勤長線過程）╱CVF（層級理性共識發展）╱Ouchi Z理論</w:t>
            </w:r>
          </w:p>
          <w:p>
            <w:pPr>
              <w:spacing w:after="0" w:line="320"/>
            </w:pPr>
            <w:r>
              <w:rPr>
                <w:rFonts w:ascii="微軟正黑體" w:cs="微軟正黑體" w:eastAsia="微軟正黑體" w:hAnsi="微軟正黑體"/>
                <w:sz w:val="21"/>
                <w:szCs w:val="21"/>
              </w:rPr>
              <w:t xml:space="preserve">•　④CVF兩軸：內外焦點 vs 彈性控制</w:t>
            </w:r>
          </w:p>
        </w:tc>
      </w:tr>
    </w:tbl>
    <w:p>
      <w:pPr>
        <w:spacing w:after="14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E8F5E9" w:sz="2"/>
              <w:left w:val="single" w:color="2E7D32" w:sz="24"/>
              <w:bottom w:val="single" w:color="E8F5E9" w:sz="2"/>
              <w:right w:val="single" w:color="E8F5E9" w:sz="2"/>
            </w:tcBorders>
            <w:shd w:fill="E8F5E9" w:val="clear"/>
            <w:tcMar>
              <w:top w:type="dxa" w:w="160"/>
              <w:left w:type="dxa" w:w="220"/>
              <w:bottom w:type="dxa" w:w="160"/>
              <w:right w:type="dxa" w:w="220"/>
            </w:tcMar>
          </w:tcPr>
          <w:p>
            <w:pPr>
              <w:spacing w:after="100"/>
            </w:pPr>
            <w:r>
              <w:rPr>
                <w:rFonts w:ascii="微軟正黑體" w:cs="微軟正黑體" w:eastAsia="微軟正黑體" w:hAnsi="微軟正黑體"/>
                <w:b/>
                <w:bCs/>
                <w:color w:val="2E7D32"/>
                <w:sz w:val="22"/>
                <w:szCs w:val="22"/>
              </w:rPr>
              <w:t xml:space="preserve">【一分鐘記憶】</w:t>
            </w:r>
          </w:p>
          <w:p>
            <w:pPr>
              <w:spacing w:after="80" w:line="320"/>
            </w:pPr>
            <w:r>
              <w:rPr>
                <w:rFonts w:ascii="微軟正黑體" w:cs="微軟正黑體" w:eastAsia="微軟正黑體" w:hAnsi="微軟正黑體"/>
                <w:sz w:val="21"/>
                <w:szCs w:val="21"/>
              </w:rPr>
              <w:t xml:space="preserve">•　文化正向功能口訣：凝（聚認同）、承（諾激勵）、控（制協調）、意（義詮釋）、邊（界正當化）——「凝承控意邊」五字訣</w:t>
            </w:r>
          </w:p>
          <w:p>
            <w:pPr>
              <w:spacing w:after="80" w:line="320"/>
            </w:pPr>
            <w:r>
              <w:rPr>
                <w:rFonts w:ascii="微軟正黑體" w:cs="微軟正黑體" w:eastAsia="微軟正黑體" w:hAnsi="微軟正黑體"/>
                <w:sz w:val="21"/>
                <w:szCs w:val="21"/>
              </w:rPr>
              <w:t xml:space="preserve">•　Harrison四型口訣：權（力）、角（色）、工（作）、人（員）——「權角工人」四字訣</w:t>
            </w:r>
          </w:p>
          <w:p>
            <w:pPr>
              <w:spacing w:after="0" w:line="320"/>
            </w:pPr>
            <w:r>
              <w:rPr>
                <w:rFonts w:ascii="微軟正黑體" w:cs="微軟正黑體" w:eastAsia="微軟正黑體" w:hAnsi="微軟正黑體"/>
                <w:sz w:val="21"/>
                <w:szCs w:val="21"/>
              </w:rPr>
              <w:t xml:space="preserve">•　CVF記憶：層（級，內部控制）、理（性，外部控制）、共（識，內部彈性）、發（展，外部彈性）——兩軸交織四型</w:t>
            </w:r>
          </w:p>
        </w:tc>
      </w:tr>
    </w:tbl>
    <w:p>
      <w:pPr>
        <w:spacing w:after="14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FDECEA" w:sz="2"/>
              <w:left w:val="single" w:color="C0392B" w:sz="24"/>
              <w:bottom w:val="single" w:color="FDECEA" w:sz="2"/>
              <w:right w:val="single" w:color="FDECEA" w:sz="2"/>
            </w:tcBorders>
            <w:shd w:fill="FDECEA" w:val="clear"/>
            <w:tcMar>
              <w:top w:type="dxa" w:w="160"/>
              <w:left w:type="dxa" w:w="220"/>
              <w:bottom w:type="dxa" w:w="160"/>
              <w:right w:type="dxa" w:w="220"/>
            </w:tcMar>
          </w:tcPr>
          <w:p>
            <w:pPr>
              <w:spacing w:after="100"/>
            </w:pPr>
            <w:r>
              <w:rPr>
                <w:rFonts w:ascii="微軟正黑體" w:cs="微軟正黑體" w:eastAsia="微軟正黑體" w:hAnsi="微軟正黑體"/>
                <w:b/>
                <w:bCs/>
                <w:color w:val="C0392B"/>
                <w:sz w:val="22"/>
                <w:szCs w:val="22"/>
              </w:rPr>
              <w:t xml:space="preserve">【容易混淆】</w:t>
            </w:r>
          </w:p>
          <w:p>
            <w:pPr>
              <w:spacing w:after="80" w:line="320"/>
            </w:pPr>
            <w:r>
              <w:rPr>
                <w:rFonts w:ascii="微軟正黑體" w:cs="微軟正黑體" w:eastAsia="微軟正黑體" w:hAnsi="微軟正黑體"/>
                <w:sz w:val="21"/>
                <w:szCs w:val="21"/>
              </w:rPr>
              <w:t xml:space="preserve">•　「角色取向文化」（Harrison四型之一，以合法性與明文職責為核心，強調層級節制與法規遵循，傳統官僚屬之）與「層級文化」（CVF四型之一，內部焦點、強調控制，重視穩定效率與規章）常被考生視為同一概念——兩者雖高度相似且皆描述傳統官僚特徵，惟分屬不同學者提出之不同分類架構（Harrison權力關懷軸 vs Cameron&amp;Quinn內外彈性控制軸），作答時應清楚標示所援引之理論架構，不可混用軸線名稱。</w:t>
            </w:r>
          </w:p>
          <w:p>
            <w:pPr>
              <w:spacing w:after="0" w:line="320"/>
            </w:pPr>
            <w:r>
              <w:rPr>
                <w:rFonts w:ascii="微軟正黑體" w:cs="微軟正黑體" w:eastAsia="微軟正黑體" w:hAnsi="微軟正黑體"/>
                <w:sz w:val="21"/>
                <w:szCs w:val="21"/>
              </w:rPr>
              <w:t xml:space="preserve">•　「文化之凝聚功能」（提供共同身分與歸屬感，為正向功能）與「團體盲思」（強文化導致盲從排斥異議，為負向病態）常被考生視為矛盾而不知如何調和——兩者並不矛盾，而是同一「文化強度」之光譜兩端：適度之凝聚有益團隊合作，過度之凝聚則可能演變為團體盲思，管理者之課題在於維持適度文化強度，而非一味追求「文化愈強愈好」。</w:t>
            </w:r>
          </w:p>
        </w:tc>
      </w:tr>
    </w:tbl>
    <w:p>
      <w:pPr>
        <w:spacing w:after="260"/>
      </w:pPr>
    </w:p>
    <w:p>
      <w:pPr>
        <w:spacing w:after="180" w:before="360"/>
      </w:pPr>
      <w:r>
        <w:rPr>
          <w:rFonts w:ascii="微軟正黑體" w:cs="微軟正黑體" w:eastAsia="微軟正黑體" w:hAnsi="微軟正黑體"/>
          <w:b/>
          <w:bCs/>
          <w:color w:val="1F4E79"/>
          <w:sz w:val="26"/>
          <w:szCs w:val="26"/>
        </w:rPr>
        <w:t xml:space="preserve">第三節　組織文化的塑造、維持、變革與我國行政文化之特性轉型</w:t>
      </w:r>
    </w:p>
    <w:p>
      <w:pPr>
        <w:spacing w:after="140" w:before="260"/>
      </w:pPr>
      <w:r>
        <w:rPr>
          <w:rFonts w:ascii="微軟正黑體" w:cs="微軟正黑體" w:eastAsia="微軟正黑體" w:hAnsi="微軟正黑體"/>
          <w:b/>
          <w:bCs/>
          <w:color w:val="2E5C8A"/>
          <w:sz w:val="23"/>
          <w:szCs w:val="23"/>
        </w:rPr>
        <w:t xml:space="preserve">一、核心概念</w:t>
      </w:r>
    </w:p>
    <w:p>
      <w:pPr>
        <w:spacing w:after="200" w:line="360"/>
        <w:ind w:firstLine="431"/>
        <w:jc w:val="both"/>
      </w:pPr>
      <w:r>
        <w:rPr>
          <w:rFonts w:ascii="微軟正黑體" w:cs="微軟正黑體" w:eastAsia="微軟正黑體" w:hAnsi="微軟正黑體"/>
          <w:sz w:val="22"/>
          <w:szCs w:val="22"/>
        </w:rPr>
        <w:t xml:space="preserve">組織文化並非靜態既存，而是透過持續之塑造、維持、傳遞機制而形成與延續，其變革則須歷經系統性之解凍、變遷、再凍結歷程；我國行政文化受歷史與制度多重因素形塑，正處於傳統特性與當代轉型趨向並存之動態階段。</w:t>
      </w:r>
    </w:p>
    <w:p>
      <w:pPr>
        <w:spacing w:after="140" w:before="260"/>
      </w:pPr>
      <w:r>
        <w:rPr>
          <w:rFonts w:ascii="微軟正黑體" w:cs="微軟正黑體" w:eastAsia="微軟正黑體" w:hAnsi="微軟正黑體"/>
          <w:b/>
          <w:bCs/>
          <w:color w:val="2E5C8A"/>
          <w:sz w:val="23"/>
          <w:szCs w:val="23"/>
        </w:rPr>
        <w:t xml:space="preserve">二、理論發展</w:t>
      </w:r>
    </w:p>
    <w:p>
      <w:pPr>
        <w:pStyle w:val="ListParagraph"/>
        <w:numPr>
          <w:ilvl w:val="0"/>
          <w:numId w:val="2"/>
        </w:numPr>
        <w:spacing w:after="120" w:line="340"/>
      </w:pPr>
      <w:r>
        <w:rPr>
          <w:rFonts w:ascii="微軟正黑體" w:cs="微軟正黑體" w:eastAsia="微軟正黑體" w:hAnsi="微軟正黑體"/>
          <w:sz w:val="22"/>
          <w:szCs w:val="22"/>
        </w:rPr>
        <w:t xml:space="preserve">Schein指出五大初級形塑機制最關鍵：領導者關注、衡量與控制之事；對重大危機之反應；角色模範與教誨；分配獎酬與地位之標準；選才、晉升與解僱之標準。次級機制包括組織結構、制度、實體空間、故事與宣言。文化透過組織社會化傳遞給新成員，歷經預期、撞擊與轉化三階段，公部門的初任訓練、師徒制與輪調即為社會化機制。</w:t>
      </w:r>
    </w:p>
    <w:p>
      <w:pPr>
        <w:pStyle w:val="ListParagraph"/>
        <w:numPr>
          <w:ilvl w:val="0"/>
          <w:numId w:val="2"/>
        </w:numPr>
        <w:spacing w:after="120" w:line="340"/>
      </w:pPr>
      <w:r>
        <w:rPr>
          <w:rFonts w:ascii="微軟正黑體" w:cs="微軟正黑體" w:eastAsia="微軟正黑體" w:hAnsi="微軟正黑體"/>
          <w:sz w:val="22"/>
          <w:szCs w:val="22"/>
        </w:rPr>
        <w:t xml:space="preserve">文化具惰性，阻力來自既得利益、認知防衛與系統互賴。Lewin提出解凍—變遷—再凍結三階段模型：解凍需透過績效落差、危機意識與心理安全感；變遷階段導入新行為與價值；再凍結將新文化制度化為結構與獎酬。公部門變革需雙軌並行：符號象徵策略快速創造可見改變，如首長使用開放資料儀表板；結構制度策略深入改變激勵，如將跨域協作納入考績；人本策略如對話、敘事與欣賞式探詢，降低防衛，促進集體反思。</w:t>
      </w:r>
    </w:p>
    <w:p>
      <w:pPr>
        <w:spacing w:after="140" w:before="260"/>
      </w:pPr>
      <w:r>
        <w:rPr>
          <w:rFonts w:ascii="微軟正黑體" w:cs="微軟正黑體" w:eastAsia="微軟正黑體" w:hAnsi="微軟正黑體"/>
          <w:b/>
          <w:bCs/>
          <w:color w:val="2E5C8A"/>
          <w:sz w:val="23"/>
          <w:szCs w:val="23"/>
        </w:rPr>
        <w:t xml:space="preserve">三、主要學者</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600"/>
        <w:gridCol w:w="6426"/>
      </w:tblGrid>
      <w:tr>
        <w:trPr>
          <w:tblHeader/>
        </w:trPr>
        <w:tc>
          <w:tcPr>
            <w:tcW w:type="dxa" w:w="26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特性</w:t>
            </w:r>
          </w:p>
        </w:tc>
        <w:tc>
          <w:tcPr>
            <w:tcW w:type="dxa" w:w="6426"/>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內涵</w:t>
            </w:r>
          </w:p>
        </w:tc>
      </w:tr>
      <w:tr>
        <w:tc>
          <w:tcPr>
            <w:tcW w:type="dxa" w:w="26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高權力距離與層級取向</w:t>
            </w:r>
          </w:p>
        </w:tc>
        <w:tc>
          <w:tcPr>
            <w:tcW w:type="dxa" w:w="6426"/>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重長官意志與倫理秩序，決策權集中於上層</w:t>
            </w:r>
          </w:p>
        </w:tc>
      </w:tr>
      <w:tr>
        <w:tc>
          <w:tcPr>
            <w:tcW w:type="dxa" w:w="26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集體主義與關係取向</w:t>
            </w:r>
          </w:p>
        </w:tc>
        <w:tc>
          <w:tcPr>
            <w:tcW w:type="dxa" w:w="6426"/>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重人情、關係與面子，非正式網絡發達</w:t>
            </w:r>
          </w:p>
        </w:tc>
      </w:tr>
      <w:tr>
        <w:tc>
          <w:tcPr>
            <w:tcW w:type="dxa" w:w="26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形式主義與法規取向</w:t>
            </w:r>
          </w:p>
        </w:tc>
        <w:tc>
          <w:tcPr>
            <w:tcW w:type="dxa" w:w="6426"/>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重程序正確，追求依法行政，惟易僵化</w:t>
            </w:r>
          </w:p>
        </w:tc>
      </w:tr>
      <w:tr>
        <w:tc>
          <w:tcPr>
            <w:tcW w:type="dxa" w:w="26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家父長與德治色彩</w:t>
            </w:r>
          </w:p>
        </w:tc>
        <w:tc>
          <w:tcPr>
            <w:tcW w:type="dxa" w:w="6426"/>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領導者如家長，強調道德感召而非純粹法制</w:t>
            </w:r>
          </w:p>
        </w:tc>
      </w:tr>
      <w:tr>
        <w:tc>
          <w:tcPr>
            <w:tcW w:type="dxa" w:w="26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保守穩健與風險規避</w:t>
            </w:r>
          </w:p>
        </w:tc>
        <w:tc>
          <w:tcPr>
            <w:tcW w:type="dxa" w:w="6426"/>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少做少錯之自保心態，抑制創新試錯</w:t>
            </w:r>
          </w:p>
        </w:tc>
      </w:tr>
    </w:tbl>
    <w:p>
      <w:pPr>
        <w:spacing w:after="280" w:before="120"/>
        <w:jc w:val="center"/>
      </w:pPr>
      <w:r>
        <w:rPr>
          <w:rFonts w:ascii="微軟正黑體" w:cs="微軟正黑體" w:eastAsia="微軟正黑體" w:hAnsi="微軟正黑體"/>
          <w:i/>
          <w:iCs/>
          <w:color w:val="555555"/>
          <w:sz w:val="18"/>
          <w:szCs w:val="18"/>
        </w:rPr>
        <w:t xml:space="preserve">表18-E　我國傳統行政文化之五項特性</w:t>
      </w:r>
    </w:p>
    <w:p>
      <w:pPr>
        <w:spacing w:after="140" w:before="260"/>
      </w:pPr>
      <w:r>
        <w:rPr>
          <w:rFonts w:ascii="微軟正黑體" w:cs="微軟正黑體" w:eastAsia="微軟正黑體" w:hAnsi="微軟正黑體"/>
          <w:b/>
          <w:bCs/>
          <w:color w:val="2E5C8A"/>
          <w:sz w:val="23"/>
          <w:szCs w:val="23"/>
        </w:rPr>
        <w:t xml:space="preserve">四、核心命題</w:t>
      </w:r>
    </w:p>
    <w:p>
      <w:pPr>
        <w:spacing w:after="200" w:line="360"/>
        <w:ind w:firstLine="431"/>
        <w:jc w:val="both"/>
      </w:pPr>
      <w:r>
        <w:rPr>
          <w:rFonts w:ascii="微軟正黑體" w:cs="微軟正黑體" w:eastAsia="微軟正黑體" w:hAnsi="微軟正黑體"/>
          <w:sz w:val="22"/>
          <w:szCs w:val="22"/>
        </w:rPr>
        <w:t xml:space="preserve">我國行政文化深受傳統中華文化、威權現代化遺緒與民主化、全球化三重疊加影響，形成多層複合特質。自1990年代行政革新至今，文化轉型呈現四大趨向：由層級控制轉向服務賦能、由法規遵從轉向績效結果、由單向保密轉向開放透明、由內部本位轉向協作共創。開放政府、公共服務動機、數位素養與性別主流化逐漸內化為新價值，惟仍存在結構—文化落差：制度已導入績效工具，深層假定仍風險規避，須透過領導、制度與社會化同步重塑，此一「結構可以一夕重組、文化卻需經年累月」之命題，為理解我國行政組織變革成效有限之關鍵診斷視角。</w:t>
      </w:r>
    </w:p>
    <w:p>
      <w:pPr>
        <w:spacing w:after="140" w:before="260"/>
      </w:pPr>
      <w:r>
        <w:rPr>
          <w:rFonts w:ascii="微軟正黑體" w:cs="微軟正黑體" w:eastAsia="微軟正黑體" w:hAnsi="微軟正黑體"/>
          <w:b/>
          <w:bCs/>
          <w:color w:val="2E5C8A"/>
          <w:sz w:val="23"/>
          <w:szCs w:val="23"/>
        </w:rPr>
        <w:t xml:space="preserve">五、優點與限制</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200"/>
        <w:gridCol w:w="3413"/>
        <w:gridCol w:w="3413"/>
      </w:tblGrid>
      <w:tr>
        <w:trPr>
          <w:tblHeader/>
        </w:trPr>
        <w:tc>
          <w:tcPr>
            <w:tcW w:type="dxa" w:w="22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機制╱特性</w:t>
            </w:r>
          </w:p>
        </w:tc>
        <w:tc>
          <w:tcPr>
            <w:tcW w:type="dxa" w:w="3413"/>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貢獻</w:t>
            </w:r>
          </w:p>
        </w:tc>
        <w:tc>
          <w:tcPr>
            <w:tcW w:type="dxa" w:w="3413"/>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限制</w:t>
            </w:r>
          </w:p>
        </w:tc>
      </w:tr>
      <w:tr>
        <w:tc>
          <w:tcPr>
            <w:tcW w:type="dxa" w:w="22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Lewin解凍—變遷—再凍結模型</w:t>
            </w:r>
          </w:p>
        </w:tc>
        <w:tc>
          <w:tcPr>
            <w:tcW w:type="dxa" w:w="34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提供文化變革之系統性階段架構，明確指出心理安全感為解凍階段之關鍵，再凍結階段則強調制度化之必要性，避免變革曇花一現</w:t>
            </w:r>
          </w:p>
        </w:tc>
        <w:tc>
          <w:tcPr>
            <w:tcW w:type="dxa" w:w="34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三階段模型呈現線性變革想像，惟實務上文化變革常呈現反覆拉扯、局部解凍局部凍結之非線性歷程，須搭配持續監測調整</w:t>
            </w:r>
          </w:p>
        </w:tc>
      </w:tr>
      <w:tr>
        <w:tc>
          <w:tcPr>
            <w:tcW w:type="dxa" w:w="22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我國傳統行政文化特性</w:t>
            </w:r>
          </w:p>
        </w:tc>
        <w:tc>
          <w:tcPr>
            <w:tcW w:type="dxa" w:w="34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有助診斷我國公部門文化之歷史根源與結構性特徵，說明「為何改革措施常打折扣」之深層原因，而非僅歸咎執行不力</w:t>
            </w:r>
          </w:p>
        </w:tc>
        <w:tc>
          <w:tcPr>
            <w:tcW w:type="dxa" w:w="34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傳統特性之描述易流於刻板印象化，實務上不同機關、世代、職務層級之文化差異甚大，須避免以單一標籤概括全體公部門</w:t>
            </w:r>
          </w:p>
        </w:tc>
      </w:tr>
    </w:tbl>
    <w:p>
      <w:pPr>
        <w:spacing w:after="280" w:before="120"/>
        <w:jc w:val="center"/>
      </w:pPr>
      <w:r>
        <w:rPr>
          <w:rFonts w:ascii="微軟正黑體" w:cs="微軟正黑體" w:eastAsia="微軟正黑體" w:hAnsi="微軟正黑體"/>
          <w:i/>
          <w:iCs/>
          <w:color w:val="555555"/>
          <w:sz w:val="18"/>
          <w:szCs w:val="18"/>
        </w:rPr>
        <w:t xml:space="preserve">表18-F　文化變革機制與我國行政文化特性之貢獻與限制</w:t>
      </w:r>
    </w:p>
    <w:p>
      <w:pPr>
        <w:spacing w:after="140" w:before="260"/>
      </w:pPr>
      <w:r>
        <w:rPr>
          <w:rFonts w:ascii="微軟正黑體" w:cs="微軟正黑體" w:eastAsia="微軟正黑體" w:hAnsi="微軟正黑體"/>
          <w:b/>
          <w:bCs/>
          <w:color w:val="2E5C8A"/>
          <w:sz w:val="23"/>
          <w:szCs w:val="23"/>
        </w:rPr>
        <w:t xml:space="preserve">六、當代發展</w:t>
      </w:r>
    </w:p>
    <w:p>
      <w:pPr>
        <w:spacing w:after="200" w:line="360"/>
        <w:ind w:firstLine="431"/>
        <w:jc w:val="both"/>
      </w:pPr>
      <w:r>
        <w:rPr>
          <w:rFonts w:ascii="微軟正黑體" w:cs="微軟正黑體" w:eastAsia="微軟正黑體" w:hAnsi="微軟正黑體"/>
          <w:sz w:val="22"/>
          <w:szCs w:val="22"/>
        </w:rPr>
        <w:t xml:space="preserve">當代文化轉型面臨之核心挑戰，在於制度工具（如績效考核、開放資料平台）之導入速度，往往快於深層基本假定之轉化速度，形成「結構—文化落差」：許多機關已建置數位化績效儀表板（器物層與價值層皆已更新），惟基層承辦人員之基本假定仍停留於「少做少錯」之風險規避思維，導致新工具淪為形式主義之新載體，而非真正驅動行為改變，此一現象呼應本章第二節所述「形式主義與防衛性」之文化病態。</w:t>
      </w:r>
    </w:p>
    <w:p>
      <w:pPr>
        <w:spacing w:after="140" w:before="260"/>
      </w:pPr>
      <w:r>
        <w:rPr>
          <w:rFonts w:ascii="微軟正黑體" w:cs="微軟正黑體" w:eastAsia="微軟正黑體" w:hAnsi="微軟正黑體"/>
          <w:b/>
          <w:bCs/>
          <w:color w:val="2E5C8A"/>
          <w:sz w:val="23"/>
          <w:szCs w:val="23"/>
        </w:rPr>
        <w:t xml:space="preserve">七、臺灣行政實務</w:t>
      </w:r>
    </w:p>
    <w:p>
      <w:pPr>
        <w:spacing w:after="200" w:line="360"/>
        <w:ind w:firstLine="431"/>
        <w:jc w:val="both"/>
      </w:pPr>
      <w:r>
        <w:rPr>
          <w:rFonts w:ascii="微軟正黑體" w:cs="微軟正黑體" w:eastAsia="微軟正黑體" w:hAnsi="微軟正黑體"/>
          <w:sz w:val="22"/>
          <w:szCs w:val="22"/>
        </w:rPr>
        <w:t xml:space="preserve">我國初任公務人員訓練、師徒制與定期輪調，即為組織社會化之具體機制，透過預期、衝擊、轉化三階段，將新進人員逐步納入既有文化體系；近年推動之開放政府聯絡人制度、跨域協作納入考績等作為，則體現Lewin再凍結階段「將新文化制度化為結構與獎酬」之具體實踐，惟其成效仍須搭配領導倡議與心理安全感營造，方能真正轉化基本假定層次。</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DCE6F5" w:sz="2"/>
              <w:left w:val="single" w:color="1F4E79" w:sz="24"/>
              <w:bottom w:val="single" w:color="DCE6F5" w:sz="2"/>
              <w:right w:val="single" w:color="DCE6F5" w:sz="2"/>
            </w:tcBorders>
            <w:shd w:fill="DCE6F5" w:val="clear"/>
            <w:tcMar>
              <w:top w:type="dxa" w:w="160"/>
              <w:left w:type="dxa" w:w="220"/>
              <w:bottom w:type="dxa" w:w="160"/>
              <w:right w:type="dxa" w:w="220"/>
            </w:tcMar>
          </w:tcPr>
          <w:p>
            <w:pPr>
              <w:spacing w:after="100"/>
            </w:pPr>
            <w:r>
              <w:rPr>
                <w:rFonts w:ascii="微軟正黑體" w:cs="微軟正黑體" w:eastAsia="微軟正黑體" w:hAnsi="微軟正黑體"/>
                <w:b/>
                <w:bCs/>
                <w:color w:val="1F4E79"/>
                <w:sz w:val="22"/>
                <w:szCs w:val="22"/>
              </w:rPr>
              <w:t xml:space="preserve">【國考考點】</w:t>
            </w:r>
          </w:p>
          <w:p>
            <w:pPr>
              <w:spacing w:after="80" w:line="320"/>
            </w:pPr>
            <w:r>
              <w:rPr>
                <w:rFonts w:ascii="微軟正黑體" w:cs="微軟正黑體" w:eastAsia="微軟正黑體" w:hAnsi="微軟正黑體"/>
                <w:sz w:val="21"/>
                <w:szCs w:val="21"/>
              </w:rPr>
              <w:t xml:space="preserve">•　①Schein文化形塑五大初級機制：領導者關注衡量控制之事╱對重大危機之反應╱角色模範與教誨╱分配獎酬地位標準╱選才晉升解僱標準</w:t>
            </w:r>
          </w:p>
          <w:p>
            <w:pPr>
              <w:spacing w:after="80" w:line="320"/>
            </w:pPr>
            <w:r>
              <w:rPr>
                <w:rFonts w:ascii="微軟正黑體" w:cs="微軟正黑體" w:eastAsia="微軟正黑體" w:hAnsi="微軟正黑體"/>
                <w:sz w:val="21"/>
                <w:szCs w:val="21"/>
              </w:rPr>
              <w:t xml:space="preserve">•　②組織社會化三階段：預期╱撞擊╱轉化</w:t>
            </w:r>
          </w:p>
          <w:p>
            <w:pPr>
              <w:spacing w:after="80" w:line="320"/>
            </w:pPr>
            <w:r>
              <w:rPr>
                <w:rFonts w:ascii="微軟正黑體" w:cs="微軟正黑體" w:eastAsia="微軟正黑體" w:hAnsi="微軟正黑體"/>
                <w:sz w:val="21"/>
                <w:szCs w:val="21"/>
              </w:rPr>
              <w:t xml:space="preserve">•　③Lewin解凍—變遷—再凍結三階段模型，及心理安全感之角色</w:t>
            </w:r>
          </w:p>
          <w:p>
            <w:pPr>
              <w:spacing w:after="80" w:line="320"/>
            </w:pPr>
            <w:r>
              <w:rPr>
                <w:rFonts w:ascii="微軟正黑體" w:cs="微軟正黑體" w:eastAsia="微軟正黑體" w:hAnsi="微軟正黑體"/>
                <w:sz w:val="21"/>
                <w:szCs w:val="21"/>
              </w:rPr>
              <w:t xml:space="preserve">•　④我國傳統行政文化五項特性：高權力距離層級取向╱集體主義關係取向╱形式主義法規取向╱家父長德治色彩╱保守穩健風險規避</w:t>
            </w:r>
          </w:p>
          <w:p>
            <w:pPr>
              <w:spacing w:after="0" w:line="320"/>
            </w:pPr>
            <w:r>
              <w:rPr>
                <w:rFonts w:ascii="微軟正黑體" w:cs="微軟正黑體" w:eastAsia="微軟正黑體" w:hAnsi="微軟正黑體"/>
                <w:sz w:val="21"/>
                <w:szCs w:val="21"/>
              </w:rPr>
              <w:t xml:space="preserve">•　⑤當代轉型四大趨向：層級控制→服務賦能╱法規遵從→績效結果╱單向保密→開放透明╱內部本位→協作共創</w:t>
            </w:r>
          </w:p>
        </w:tc>
      </w:tr>
    </w:tbl>
    <w:p>
      <w:pPr>
        <w:spacing w:after="14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E8F5E9" w:sz="2"/>
              <w:left w:val="single" w:color="2E7D32" w:sz="24"/>
              <w:bottom w:val="single" w:color="E8F5E9" w:sz="2"/>
              <w:right w:val="single" w:color="E8F5E9" w:sz="2"/>
            </w:tcBorders>
            <w:shd w:fill="E8F5E9" w:val="clear"/>
            <w:tcMar>
              <w:top w:type="dxa" w:w="160"/>
              <w:left w:type="dxa" w:w="220"/>
              <w:bottom w:type="dxa" w:w="160"/>
              <w:right w:type="dxa" w:w="220"/>
            </w:tcMar>
          </w:tcPr>
          <w:p>
            <w:pPr>
              <w:spacing w:after="100"/>
            </w:pPr>
            <w:r>
              <w:rPr>
                <w:rFonts w:ascii="微軟正黑體" w:cs="微軟正黑體" w:eastAsia="微軟正黑體" w:hAnsi="微軟正黑體"/>
                <w:b/>
                <w:bCs/>
                <w:color w:val="2E7D32"/>
                <w:sz w:val="22"/>
                <w:szCs w:val="22"/>
              </w:rPr>
              <w:t xml:space="preserve">【一分鐘記憶】</w:t>
            </w:r>
          </w:p>
          <w:p>
            <w:pPr>
              <w:spacing w:after="80" w:line="320"/>
            </w:pPr>
            <w:r>
              <w:rPr>
                <w:rFonts w:ascii="微軟正黑體" w:cs="微軟正黑體" w:eastAsia="微軟正黑體" w:hAnsi="微軟正黑體"/>
                <w:sz w:val="21"/>
                <w:szCs w:val="21"/>
              </w:rPr>
              <w:t xml:space="preserve">•　Schein五大初級機制口訣：關（注衡量控制）、危（機反應）、模（範教誨）、獎（酬地位）、選（才晉升解僱）——「關危模獎選」五字訣</w:t>
            </w:r>
          </w:p>
          <w:p>
            <w:pPr>
              <w:spacing w:after="80" w:line="320"/>
            </w:pPr>
            <w:r>
              <w:rPr>
                <w:rFonts w:ascii="微軟正黑體" w:cs="微軟正黑體" w:eastAsia="微軟正黑體" w:hAnsi="微軟正黑體"/>
                <w:sz w:val="21"/>
                <w:szCs w:val="21"/>
              </w:rPr>
              <w:t xml:space="preserve">•　Lewin三階段口訣：解（凍）、變（遷）、再（凍結）——「解變再」三字訣</w:t>
            </w:r>
          </w:p>
          <w:p>
            <w:pPr>
              <w:spacing w:after="0" w:line="320"/>
            </w:pPr>
            <w:r>
              <w:rPr>
                <w:rFonts w:ascii="微軟正黑體" w:cs="微軟正黑體" w:eastAsia="微軟正黑體" w:hAnsi="微軟正黑體"/>
                <w:sz w:val="21"/>
                <w:szCs w:val="21"/>
              </w:rPr>
              <w:t xml:space="preserve">•　我國傳統行政文化口訣：權（力距離）、關（係取向）、形（式主義）、家（父長）、保（守規避）——「權關形家保」五字訣</w:t>
            </w:r>
          </w:p>
        </w:tc>
      </w:tr>
    </w:tbl>
    <w:p>
      <w:pPr>
        <w:spacing w:after="14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FDECEA" w:sz="2"/>
              <w:left w:val="single" w:color="C0392B" w:sz="24"/>
              <w:bottom w:val="single" w:color="FDECEA" w:sz="2"/>
              <w:right w:val="single" w:color="FDECEA" w:sz="2"/>
            </w:tcBorders>
            <w:shd w:fill="FDECEA" w:val="clear"/>
            <w:tcMar>
              <w:top w:type="dxa" w:w="160"/>
              <w:left w:type="dxa" w:w="220"/>
              <w:bottom w:type="dxa" w:w="160"/>
              <w:right w:type="dxa" w:w="220"/>
            </w:tcMar>
          </w:tcPr>
          <w:p>
            <w:pPr>
              <w:spacing w:after="100"/>
            </w:pPr>
            <w:r>
              <w:rPr>
                <w:rFonts w:ascii="微軟正黑體" w:cs="微軟正黑體" w:eastAsia="微軟正黑體" w:hAnsi="微軟正黑體"/>
                <w:b/>
                <w:bCs/>
                <w:color w:val="C0392B"/>
                <w:sz w:val="22"/>
                <w:szCs w:val="22"/>
              </w:rPr>
              <w:t xml:space="preserve">【容易混淆】</w:t>
            </w:r>
          </w:p>
          <w:p>
            <w:pPr>
              <w:spacing w:after="80" w:line="320"/>
            </w:pPr>
            <w:r>
              <w:rPr>
                <w:rFonts w:ascii="微軟正黑體" w:cs="微軟正黑體" w:eastAsia="微軟正黑體" w:hAnsi="微軟正黑體"/>
                <w:sz w:val="21"/>
                <w:szCs w:val="21"/>
              </w:rPr>
              <w:t xml:space="preserve">•　「組織社會化」（新成員經預期撞擊轉化三階段習得組織文化之過程，聚焦「個人如何被文化吸收」）與「Lewin解凍—變遷—再凍結模型」（文化變革之三階段架構，聚焦「組織整體如何改變既有文化」）常被考生混為一談——前者是「文化如何傳遞給新人」，後者是「文化本身如何被改變」，兩者雖同屬文化動態歷程，惟分析對象與目的不同：一者是文化的複製機制，一者是文化的轉化機制。</w:t>
            </w:r>
          </w:p>
          <w:p>
            <w:pPr>
              <w:spacing w:after="0" w:line="320"/>
            </w:pPr>
            <w:r>
              <w:rPr>
                <w:rFonts w:ascii="微軟正黑體" w:cs="微軟正黑體" w:eastAsia="微軟正黑體" w:hAnsi="微軟正黑體"/>
                <w:sz w:val="21"/>
                <w:szCs w:val="21"/>
              </w:rPr>
              <w:t xml:space="preserve">•　「符號象徵策略」（快速創造可見改變，如首長使用開放資料儀表板，屬器物層介入）與「結構制度策略」（深入改變激勵，如將跨域協作納入考績，屬價值層與基本假定層介入）常被考生視為可互相替代——兩者應雙軌並行而非擇一：符號策略見效快但易流於表面，結構策略見效慢但影響深層，唯有兩者搭配人本策略，方能真正達成Lewin再凍結階段之制度化目標。</w:t>
            </w:r>
          </w:p>
        </w:tc>
      </w:tr>
    </w:tbl>
    <w:p>
      <w:pPr>
        <w:spacing w:after="260"/>
      </w:pPr>
    </w:p>
    <w:p>
      <w:pPr>
        <w:spacing w:after="180" w:before="360"/>
      </w:pPr>
      <w:r>
        <w:rPr>
          <w:rFonts w:ascii="微軟正黑體" w:cs="微軟正黑體" w:eastAsia="微軟正黑體" w:hAnsi="微軟正黑體"/>
          <w:b/>
          <w:bCs/>
          <w:color w:val="1F4E79"/>
          <w:sz w:val="26"/>
          <w:szCs w:val="26"/>
        </w:rPr>
        <w:t xml:space="preserve">第四節　AI鑲嵌下的組織文化：人機共融、AI倫理與虛擬組織文化</w:t>
      </w:r>
    </w:p>
    <w:p>
      <w:pPr>
        <w:spacing w:after="140" w:before="260"/>
      </w:pPr>
      <w:r>
        <w:rPr>
          <w:rFonts w:ascii="微軟正黑體" w:cs="微軟正黑體" w:eastAsia="微軟正黑體" w:hAnsi="微軟正黑體"/>
          <w:b/>
          <w:bCs/>
          <w:color w:val="2E5C8A"/>
          <w:sz w:val="23"/>
          <w:szCs w:val="23"/>
        </w:rPr>
        <w:t xml:space="preserve">一、核心概念</w:t>
      </w:r>
    </w:p>
    <w:p>
      <w:pPr>
        <w:spacing w:after="200" w:line="360"/>
        <w:ind w:firstLine="431"/>
        <w:jc w:val="both"/>
      </w:pPr>
      <w:r>
        <w:rPr>
          <w:rFonts w:ascii="微軟正黑體" w:cs="微軟正黑體" w:eastAsia="微軟正黑體" w:hAnsi="微軟正黑體"/>
          <w:sz w:val="22"/>
          <w:szCs w:val="22"/>
        </w:rPr>
        <w:t xml:space="preserve">AI時代組織文化面臨三重變異：人機共融文化（Human-AI Collaboration Culture）、AI倫理文化（AI Ethical Culture）、虛擬組織文化（Virtual Culture），傳統文化理論假定行動者僅為人類，生成式AI使非人代理人具類決策力並進入日常協作，一個更根本的問題隨之浮現：這些非人類的協作者，是否也在無聲無息之間，重塑著組織「認為理所當然」的那些深層假定？</w:t>
      </w:r>
    </w:p>
    <w:p>
      <w:pPr>
        <w:spacing w:after="140" w:before="260"/>
      </w:pPr>
      <w:r>
        <w:rPr>
          <w:rFonts w:ascii="微軟正黑體" w:cs="微軟正黑體" w:eastAsia="微軟正黑體" w:hAnsi="微軟正黑體"/>
          <w:b/>
          <w:bCs/>
          <w:color w:val="2E5C8A"/>
          <w:sz w:val="23"/>
          <w:szCs w:val="23"/>
        </w:rPr>
        <w:t xml:space="preserve">二、理論發展</w:t>
      </w:r>
    </w:p>
    <w:p>
      <w:pPr>
        <w:pStyle w:val="ListParagraph"/>
        <w:numPr>
          <w:ilvl w:val="0"/>
          <w:numId w:val="2"/>
        </w:numPr>
        <w:spacing w:after="120" w:line="340"/>
      </w:pPr>
      <w:r>
        <w:rPr>
          <w:rFonts w:ascii="微軟正黑體" w:cs="微軟正黑體" w:eastAsia="微軟正黑體" w:hAnsi="微軟正黑體"/>
          <w:sz w:val="22"/>
          <w:szCs w:val="22"/>
        </w:rPr>
        <w:t xml:space="preserve">人機共融文化方面，器物層出現AI同事、生成式AI寫作助手；價值層由人類獨占的專業主義，轉向人機增強之相互補強，強調提示工程與再學習；深層假定則挑戰何謂工作與專業判斷，共融文化需建立心理安全感，使員工視AI為夥伴而非監控工具。AI倫理文化方面，當演算法參與決策，倫理從個人德目轉為嵌入系統的文化基因，AI倫理文化強調公平、可解釋、可追溯、隱私與課責，須將倫理從合規清單轉為日常實踐，如資料來源披露、偏見檢測與可爭訟性設計，否則偏見將從資料偏誤內化為組織慣習，再外化為歧視性服務。虛擬組織文化方面，遠距辦公、元宇宙會議與虛擬公務員使文化載體由實體轉向數位，呈現去地域、非同步、符號化與紀錄留痕特性，信任建立從長期面對面轉向任務導向與數位聲譽，領導需重視結果透明與數位儀式，同時需刻意設計線上互動以維持凝聚。</w:t>
      </w:r>
    </w:p>
    <w:p>
      <w:pPr>
        <w:pStyle w:val="ListParagraph"/>
        <w:numPr>
          <w:ilvl w:val="0"/>
          <w:numId w:val="2"/>
        </w:numPr>
        <w:spacing w:after="120" w:line="340"/>
      </w:pPr>
      <w:r>
        <w:rPr>
          <w:rFonts w:ascii="微軟正黑體" w:cs="微軟正黑體" w:eastAsia="微軟正黑體" w:hAnsi="微軟正黑體"/>
          <w:sz w:val="22"/>
          <w:szCs w:val="22"/>
        </w:rPr>
        <w:t xml:space="preserve">Schein三層次需重譯以回應AI治理挑戰：器物層新增提示詞範本與流程圖；價值層須將可解釋性、公平性提升為公務核心並落實於採購與考績；基本假定層須追問真理來源是長官或數據，此翻轉決定共融成敗。文化類型亦須轉化：層級文化須轉為風險分級之彈性層級，容許沙盒；創新╱發展文化因AI放大，鼓勵敏捷試點但避免技術狂熱忽略公平；支持╱共識文化更關鍵，強調心理安全與共學，防止人機對立。</w:t>
      </w:r>
    </w:p>
    <w:p>
      <w:pPr>
        <w:spacing w:after="140" w:before="260"/>
      </w:pPr>
      <w:r>
        <w:rPr>
          <w:rFonts w:ascii="微軟正黑體" w:cs="微軟正黑體" w:eastAsia="微軟正黑體" w:hAnsi="微軟正黑體"/>
          <w:b/>
          <w:bCs/>
          <w:color w:val="2E5C8A"/>
          <w:sz w:val="23"/>
          <w:szCs w:val="23"/>
        </w:rPr>
        <w:t xml:space="preserve">三、主要學者</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400"/>
        <w:gridCol w:w="2400"/>
        <w:gridCol w:w="2400"/>
        <w:gridCol w:w="2826"/>
      </w:tblGrid>
      <w:tr>
        <w:trPr>
          <w:tblHeader/>
        </w:trPr>
        <w:tc>
          <w:tcPr>
            <w:tcW w:type="dxa" w:w="14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文化層次</w:t>
            </w:r>
          </w:p>
        </w:tc>
        <w:tc>
          <w:tcPr>
            <w:tcW w:type="dxa" w:w="24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傳統公部門文化</w:t>
            </w:r>
          </w:p>
        </w:tc>
        <w:tc>
          <w:tcPr>
            <w:tcW w:type="dxa" w:w="24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AI世代變異</w:t>
            </w:r>
          </w:p>
        </w:tc>
        <w:tc>
          <w:tcPr>
            <w:tcW w:type="dxa" w:w="2826"/>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管理課題</w:t>
            </w:r>
          </w:p>
        </w:tc>
      </w:tr>
      <w:tr>
        <w:tc>
          <w:tcPr>
            <w:tcW w:type="dxa" w:w="14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器物層</w:t>
            </w:r>
          </w:p>
        </w:tc>
        <w:tc>
          <w:tcPr>
            <w:tcW w:type="dxa" w:w="24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紙本公文、封閉辦公室</w:t>
            </w:r>
          </w:p>
        </w:tc>
        <w:tc>
          <w:tcPr>
            <w:tcW w:type="dxa" w:w="24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AI助手、儀表板、虛擬化身</w:t>
            </w:r>
          </w:p>
        </w:tc>
        <w:tc>
          <w:tcPr>
            <w:tcW w:type="dxa" w:w="2826"/>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數位器物是否反映價值抑或裝飾</w:t>
            </w:r>
          </w:p>
        </w:tc>
      </w:tr>
      <w:tr>
        <w:tc>
          <w:tcPr>
            <w:tcW w:type="dxa" w:w="14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價值層</w:t>
            </w:r>
          </w:p>
        </w:tc>
        <w:tc>
          <w:tcPr>
            <w:tcW w:type="dxa" w:w="24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依法行政、保密、穩定</w:t>
            </w:r>
          </w:p>
        </w:tc>
        <w:tc>
          <w:tcPr>
            <w:tcW w:type="dxa" w:w="24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可解釋性、共融、實驗容錯</w:t>
            </w:r>
          </w:p>
        </w:tc>
        <w:tc>
          <w:tcPr>
            <w:tcW w:type="dxa" w:w="2826"/>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如何將AI倫理轉為獎酬</w:t>
            </w:r>
          </w:p>
        </w:tc>
      </w:tr>
      <w:tr>
        <w:tc>
          <w:tcPr>
            <w:tcW w:type="dxa" w:w="14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基本假定</w:t>
            </w:r>
          </w:p>
        </w:tc>
        <w:tc>
          <w:tcPr>
            <w:tcW w:type="dxa" w:w="24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人是唯一行動者</w:t>
            </w:r>
          </w:p>
        </w:tc>
        <w:tc>
          <w:tcPr>
            <w:tcW w:type="dxa" w:w="24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人機共構、數據為真理來源之一</w:t>
            </w:r>
          </w:p>
        </w:tc>
        <w:tc>
          <w:tcPr>
            <w:tcW w:type="dxa" w:w="2826"/>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重塑人性與權威假定</w:t>
            </w:r>
          </w:p>
        </w:tc>
      </w:tr>
    </w:tbl>
    <w:p>
      <w:pPr>
        <w:spacing w:after="280" w:before="120"/>
        <w:jc w:val="center"/>
      </w:pPr>
      <w:r>
        <w:rPr>
          <w:rFonts w:ascii="微軟正黑體" w:cs="微軟正黑體" w:eastAsia="微軟正黑體" w:hAnsi="微軟正黑體"/>
          <w:i/>
          <w:iCs/>
          <w:color w:val="555555"/>
          <w:sz w:val="18"/>
          <w:szCs w:val="18"/>
        </w:rPr>
        <w:t xml:space="preserve">表18-G　AI時代組織文化變異對照</w:t>
      </w:r>
    </w:p>
    <w:p>
      <w:pPr>
        <w:spacing w:after="140" w:before="260"/>
      </w:pPr>
      <w:r>
        <w:rPr>
          <w:rFonts w:ascii="微軟正黑體" w:cs="微軟正黑體" w:eastAsia="微軟正黑體" w:hAnsi="微軟正黑體"/>
          <w:b/>
          <w:bCs/>
          <w:color w:val="2E5C8A"/>
          <w:sz w:val="23"/>
          <w:szCs w:val="23"/>
        </w:rPr>
        <w:t xml:space="preserve">四、核心命題</w:t>
      </w:r>
    </w:p>
    <w:p>
      <w:pPr>
        <w:spacing w:after="200" w:line="360"/>
        <w:ind w:firstLine="431"/>
        <w:jc w:val="both"/>
      </w:pPr>
      <w:r>
        <w:rPr>
          <w:rFonts w:ascii="微軟正黑體" w:cs="微軟正黑體" w:eastAsia="微軟正黑體" w:hAnsi="微軟正黑體"/>
          <w:sz w:val="22"/>
          <w:szCs w:val="22"/>
        </w:rPr>
        <w:t xml:space="preserve">AI鑲嵌治理過程中存在三種權力移轉：情境建構權（P1）延伸——AI代理人參與日常協作時，提示詞範本、知識庫內容與AI生成之公文草稿，實質上定義了「什麼是組織正常運作的樣子」，設計這些範本與知識庫的人，便掌握了文化器物層的建構權；行政裁量權（P2）移轉——當「依法行政」的價值宣稱，在基本假定層面逐漸轉向「數據說了算」，承辦人員原本依經驗與同儕文化形成之裁量默契，可能悄然讓渡給AI系統之預設邏輯與訓練資料所隱含之偏好；公權力影響力（P3）擴散——若行政院生成式AI使用指引僅以禁令方式推行，而未搭配賦能框架，實務上將由基層自行摸索「私下使用」之潛規則，形成一套不受官方文化論述承認、卻真實運作的地下文化，其形塑者未必是任何具正式課責之人。三種結構性效應中，本章以邊界消解最為核心：當AI參與知識庫維護、公文草擬與案件分流，人類與AI在文化器物層次的分工邊界日益模糊，「這份文件是誰寫的」「這個判斷是誰做的」愈來愈難簡單回答。</w:t>
      </w:r>
    </w:p>
    <w:p>
      <w:pPr>
        <w:spacing w:after="140" w:before="260"/>
      </w:pPr>
      <w:r>
        <w:rPr>
          <w:rFonts w:ascii="微軟正黑體" w:cs="微軟正黑體" w:eastAsia="微軟正黑體" w:hAnsi="微軟正黑體"/>
          <w:b/>
          <w:bCs/>
          <w:color w:val="2E5C8A"/>
          <w:sz w:val="23"/>
          <w:szCs w:val="23"/>
        </w:rPr>
        <w:t xml:space="preserve">五、優點與限制</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200"/>
        <w:gridCol w:w="3413"/>
        <w:gridCol w:w="3413"/>
      </w:tblGrid>
      <w:tr>
        <w:trPr>
          <w:tblHeader/>
        </w:trPr>
        <w:tc>
          <w:tcPr>
            <w:tcW w:type="dxa" w:w="22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架構</w:t>
            </w:r>
          </w:p>
        </w:tc>
        <w:tc>
          <w:tcPr>
            <w:tcW w:type="dxa" w:w="3413"/>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貢獻</w:t>
            </w:r>
          </w:p>
        </w:tc>
        <w:tc>
          <w:tcPr>
            <w:tcW w:type="dxa" w:w="3413"/>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限制</w:t>
            </w:r>
          </w:p>
        </w:tc>
      </w:tr>
      <w:tr>
        <w:tc>
          <w:tcPr>
            <w:tcW w:type="dxa" w:w="22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人機共融文化與AI倫理文化</w:t>
            </w:r>
          </w:p>
        </w:tc>
        <w:tc>
          <w:tcPr>
            <w:tcW w:type="dxa" w:w="34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提供組織回應AI鑲嵌之雙重焦點——前者處理協作關係之心理安全，後者處理演算法應用之倫理內化，兩者互補覆蓋情感與規範兩個層面</w:t>
            </w:r>
          </w:p>
        </w:tc>
        <w:tc>
          <w:tcPr>
            <w:tcW w:type="dxa" w:w="34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若僅停留於口號或指引文件，未落實於採購考績等具體制度，易形成表面共融、實質對立，或表面合規、私下使用之雙軌文化</w:t>
            </w:r>
          </w:p>
        </w:tc>
      </w:tr>
      <w:tr>
        <w:tc>
          <w:tcPr>
            <w:tcW w:type="dxa" w:w="22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虛擬組織文化架構</w:t>
            </w:r>
          </w:p>
        </w:tc>
        <w:tc>
          <w:tcPr>
            <w:tcW w:type="dxa" w:w="34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精準描述文化載體由實體轉向數位之特性（去地域非同步符號化紀錄留痕），提醒領導者須刻意設計數位儀式以維持凝聚</w:t>
            </w:r>
          </w:p>
        </w:tc>
        <w:tc>
          <w:tcPr>
            <w:tcW w:type="dxa" w:w="34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信任建立機制從長期面對面轉向任務導向與數位聲譽，惟數位聲譽之公平性與可驗證性仍待更完善之制度配套，避免形成新型態之隱性偏見</w:t>
            </w:r>
          </w:p>
        </w:tc>
      </w:tr>
    </w:tbl>
    <w:p>
      <w:pPr>
        <w:spacing w:after="280" w:before="120"/>
        <w:jc w:val="center"/>
      </w:pPr>
      <w:r>
        <w:rPr>
          <w:rFonts w:ascii="微軟正黑體" w:cs="微軟正黑體" w:eastAsia="微軟正黑體" w:hAnsi="微軟正黑體"/>
          <w:i/>
          <w:iCs/>
          <w:color w:val="555555"/>
          <w:sz w:val="18"/>
          <w:szCs w:val="18"/>
        </w:rPr>
        <w:t xml:space="preserve">表18-H　AI時代文化架構之貢獻與限制</w:t>
      </w:r>
    </w:p>
    <w:p>
      <w:pPr>
        <w:spacing w:after="140" w:before="260"/>
      </w:pPr>
      <w:r>
        <w:rPr>
          <w:rFonts w:ascii="微軟正黑體" w:cs="微軟正黑體" w:eastAsia="微軟正黑體" w:hAnsi="微軟正黑體"/>
          <w:b/>
          <w:bCs/>
          <w:color w:val="2E5C8A"/>
          <w:sz w:val="23"/>
          <w:szCs w:val="23"/>
        </w:rPr>
        <w:t xml:space="preserve">六、當代發展</w:t>
      </w:r>
    </w:p>
    <w:p>
      <w:pPr>
        <w:spacing w:after="200" w:line="360"/>
        <w:ind w:firstLine="431"/>
        <w:jc w:val="both"/>
      </w:pPr>
      <w:r>
        <w:rPr>
          <w:rFonts w:ascii="微軟正黑體" w:cs="微軟正黑體" w:eastAsia="微軟正黑體" w:hAnsi="微軟正黑體"/>
          <w:sz w:val="22"/>
          <w:szCs w:val="22"/>
        </w:rPr>
        <w:t xml:space="preserve">工具一為AI倫理文化評估，涵蓋倫理成熟度（公平檢測、可解釋文件、偏見稽核）、人機互動健康度（信任、焦慮）、文化外顯指標（指引是否連動訓練與獎酬），透過健檢揭露落差；工具二為主權AI與文化主權，避免完全依賴境外模型導致繁中語境與民主價值被同化，發展在地語料之主權AI，確保價值自主，此一概念與本書第十六章「主權AI四主權架構」及第十五章「雙模型工具箱四主權」相互呼應，惟本章聚焦「文化」層次之主權——即避免組織之基本假定被境外模型之訓練語料所隱性同化。</w:t>
      </w:r>
    </w:p>
    <w:p>
      <w:pPr>
        <w:spacing w:after="140" w:before="260"/>
      </w:pPr>
      <w:r>
        <w:rPr>
          <w:rFonts w:ascii="微軟正黑體" w:cs="微軟正黑體" w:eastAsia="微軟正黑體" w:hAnsi="微軟正黑體"/>
          <w:b/>
          <w:bCs/>
          <w:color w:val="2E5C8A"/>
          <w:sz w:val="23"/>
          <w:szCs w:val="23"/>
        </w:rPr>
        <w:t xml:space="preserve">七、臺灣行政實務</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600"/>
        <w:gridCol w:w="4826"/>
        <w:gridCol w:w="2600"/>
      </w:tblGrid>
      <w:tr>
        <w:trPr>
          <w:tblHeader/>
        </w:trPr>
        <w:tc>
          <w:tcPr>
            <w:tcW w:type="dxa" w:w="16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治理鏈</w:t>
            </w:r>
          </w:p>
        </w:tc>
        <w:tc>
          <w:tcPr>
            <w:tcW w:type="dxa" w:w="4826"/>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本章對應內容</w:t>
            </w:r>
          </w:p>
        </w:tc>
        <w:tc>
          <w:tcPr>
            <w:tcW w:type="dxa" w:w="26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對應審計</w:t>
            </w:r>
          </w:p>
        </w:tc>
      </w:tr>
      <w:tr>
        <w:tc>
          <w:tcPr>
            <w:tcW w:type="dxa" w:w="16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情境建構鏈</w:t>
            </w:r>
          </w:p>
        </w:tc>
        <w:tc>
          <w:tcPr>
            <w:tcW w:type="dxa" w:w="4826"/>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AI協作之提示詞範本與知識庫內容，如何定義組織「正常運作」之樣態與優先順序</w:t>
            </w:r>
          </w:p>
        </w:tc>
        <w:tc>
          <w:tcPr>
            <w:tcW w:type="dxa" w:w="26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資料代表性審計、組織能力審計</w:t>
            </w:r>
          </w:p>
        </w:tc>
      </w:tr>
      <w:tr>
        <w:tc>
          <w:tcPr>
            <w:tcW w:type="dxa" w:w="16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權威鏈</w:t>
            </w:r>
          </w:p>
        </w:tc>
        <w:tc>
          <w:tcPr>
            <w:tcW w:type="dxa" w:w="4826"/>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AI倫理文化若僅停留於指引文件，而未落實於採購與考績，其實質權威是否足以引導行為</w:t>
            </w:r>
          </w:p>
        </w:tc>
        <w:tc>
          <w:tcPr>
            <w:tcW w:type="dxa" w:w="26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責任歸屬審計、組織能力審計</w:t>
            </w:r>
          </w:p>
        </w:tc>
      </w:tr>
      <w:tr>
        <w:tc>
          <w:tcPr>
            <w:tcW w:type="dxa" w:w="16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理由鏈</w:t>
            </w:r>
          </w:p>
        </w:tc>
        <w:tc>
          <w:tcPr>
            <w:tcW w:type="dxa" w:w="4826"/>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AI生成之公文草稿或建議，其產出理由是否可供承辦人員理解並向上級說明</w:t>
            </w:r>
          </w:p>
        </w:tc>
        <w:tc>
          <w:tcPr>
            <w:tcW w:type="dxa" w:w="26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理由說明審計、裁量邊界審計</w:t>
            </w:r>
          </w:p>
        </w:tc>
      </w:tr>
      <w:tr>
        <w:tc>
          <w:tcPr>
            <w:tcW w:type="dxa" w:w="16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責任鏈</w:t>
            </w:r>
          </w:p>
        </w:tc>
        <w:tc>
          <w:tcPr>
            <w:tcW w:type="dxa" w:w="4826"/>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當雙軌文化（表面合規╱私下使用）導致機敏資料外洩或錯誤公文流出，責任應如何歸屬</w:t>
            </w:r>
          </w:p>
        </w:tc>
        <w:tc>
          <w:tcPr>
            <w:tcW w:type="dxa" w:w="26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責任歸屬審計、民主課責審計</w:t>
            </w:r>
          </w:p>
        </w:tc>
      </w:tr>
    </w:tbl>
    <w:p>
      <w:pPr>
        <w:spacing w:after="280" w:before="120"/>
        <w:jc w:val="center"/>
      </w:pPr>
      <w:r>
        <w:rPr>
          <w:rFonts w:ascii="微軟正黑體" w:cs="微軟正黑體" w:eastAsia="微軟正黑體" w:hAnsi="微軟正黑體"/>
          <w:i/>
          <w:iCs/>
          <w:color w:val="555555"/>
          <w:sz w:val="18"/>
          <w:szCs w:val="18"/>
        </w:rPr>
        <w:t xml:space="preserve">表18-I　組織文化階段四鏈七審應用</w:t>
      </w:r>
    </w:p>
    <w:p>
      <w:pPr>
        <w:spacing w:after="200" w:line="360"/>
        <w:ind w:firstLine="431"/>
        <w:jc w:val="both"/>
      </w:pPr>
      <w:r>
        <w:rPr>
          <w:rFonts w:ascii="微軟正黑體" w:cs="微軟正黑體" w:eastAsia="微軟正黑體" w:hAnsi="微軟正黑體"/>
          <w:sz w:val="22"/>
          <w:szCs w:val="22"/>
        </w:rPr>
        <w:t xml:space="preserve">行政院2023年《生成式AI使用參考指引》要求機敏不輸入、代表文件不由AI直接產出、須揭露與人工覆核，若僅作禁令，易生表面合規、私下使用之雙軌文化；若轉化為賦能框架，搭配封閉式沙盒、練兵場與標竿表揚（如AI草擬多語衛教單經人工覆核），即可將限制轉為人機共融、透明可責與倫理內化之新文化。行政院公共數位創新空間（PDIS）自2016年起以開放協作試錯與快速迭代為核心精神，公開會議紀錄、原始碼公開、失敗經驗坦然分享，皆屬刻意設計之器物層實踐，用以支撐「錯誤是學習材料而非究責證據」之深層價值，恰與傳統行政組織「少做少錯」之風險規避基本假定形成鮮明對照，為組織能否在導入AI工具追求效率之同時仍保有試錯與回饋文化，提供了珍貴之實務參照。</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DCE6F5" w:sz="2"/>
              <w:left w:val="single" w:color="1F4E79" w:sz="24"/>
              <w:bottom w:val="single" w:color="DCE6F5" w:sz="2"/>
              <w:right w:val="single" w:color="DCE6F5" w:sz="2"/>
            </w:tcBorders>
            <w:shd w:fill="DCE6F5" w:val="clear"/>
            <w:tcMar>
              <w:top w:type="dxa" w:w="160"/>
              <w:left w:type="dxa" w:w="220"/>
              <w:bottom w:type="dxa" w:w="160"/>
              <w:right w:type="dxa" w:w="220"/>
            </w:tcMar>
          </w:tcPr>
          <w:p>
            <w:pPr>
              <w:spacing w:after="100"/>
            </w:pPr>
            <w:r>
              <w:rPr>
                <w:rFonts w:ascii="微軟正黑體" w:cs="微軟正黑體" w:eastAsia="微軟正黑體" w:hAnsi="微軟正黑體"/>
                <w:b/>
                <w:bCs/>
                <w:color w:val="1F4E79"/>
                <w:sz w:val="22"/>
                <w:szCs w:val="22"/>
              </w:rPr>
              <w:t xml:space="preserve">【國考考點】</w:t>
            </w:r>
          </w:p>
          <w:p>
            <w:pPr>
              <w:spacing w:after="80" w:line="320"/>
            </w:pPr>
            <w:r>
              <w:rPr>
                <w:rFonts w:ascii="微軟正黑體" w:cs="微軟正黑體" w:eastAsia="微軟正黑體" w:hAnsi="微軟正黑體"/>
                <w:sz w:val="21"/>
                <w:szCs w:val="21"/>
              </w:rPr>
              <w:t xml:space="preserve">•　①人機共融文化、AI倫理文化、虛擬組織文化三重變異之定義</w:t>
            </w:r>
          </w:p>
          <w:p>
            <w:pPr>
              <w:spacing w:after="80" w:line="320"/>
            </w:pPr>
            <w:r>
              <w:rPr>
                <w:rFonts w:ascii="微軟正黑體" w:cs="微軟正黑體" w:eastAsia="微軟正黑體" w:hAnsi="微軟正黑體"/>
                <w:sz w:val="21"/>
                <w:szCs w:val="21"/>
              </w:rPr>
              <w:t xml:space="preserve">•　②Schein三層次於AI時代之重譯：器物層（提示詞範本）╱價值層（可解釋性公平性）╱基本假定層（真理來源為長官或數據）</w:t>
            </w:r>
          </w:p>
          <w:p>
            <w:pPr>
              <w:spacing w:after="80" w:line="320"/>
            </w:pPr>
            <w:r>
              <w:rPr>
                <w:rFonts w:ascii="微軟正黑體" w:cs="微軟正黑體" w:eastAsia="微軟正黑體" w:hAnsi="微軟正黑體"/>
                <w:sz w:val="21"/>
                <w:szCs w:val="21"/>
              </w:rPr>
              <w:t xml:space="preserve">•　③三種權力移轉：P1情境建構權（提示詞與知識庫設計權）╱P2行政裁量權（依法行政讓渡數據說了算）╱P3公權力影響力（雙軌文化之地下形塑者）</w:t>
            </w:r>
          </w:p>
          <w:p>
            <w:pPr>
              <w:spacing w:after="80" w:line="320"/>
            </w:pPr>
            <w:r>
              <w:rPr>
                <w:rFonts w:ascii="微軟正黑體" w:cs="微軟正黑體" w:eastAsia="微軟正黑體" w:hAnsi="微軟正黑體"/>
                <w:sz w:val="21"/>
                <w:szCs w:val="21"/>
              </w:rPr>
              <w:t xml:space="preserve">•　④邊界消解：人類與AI在文化器物層次之分工邊界模糊化</w:t>
            </w:r>
          </w:p>
          <w:p>
            <w:pPr>
              <w:spacing w:after="0" w:line="320"/>
            </w:pPr>
            <w:r>
              <w:rPr>
                <w:rFonts w:ascii="微軟正黑體" w:cs="微軟正黑體" w:eastAsia="微軟正黑體" w:hAnsi="微軟正黑體"/>
                <w:sz w:val="21"/>
                <w:szCs w:val="21"/>
              </w:rPr>
              <w:t xml:space="preserve">•　⑤四鏈七審於AI倫理文化、雙軌文化案例之應用；行政院生成式AI使用指引╱PDIS案例</w:t>
            </w:r>
          </w:p>
        </w:tc>
      </w:tr>
    </w:tbl>
    <w:p>
      <w:pPr>
        <w:spacing w:after="14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E8F5E9" w:sz="2"/>
              <w:left w:val="single" w:color="2E7D32" w:sz="24"/>
              <w:bottom w:val="single" w:color="E8F5E9" w:sz="2"/>
              <w:right w:val="single" w:color="E8F5E9" w:sz="2"/>
            </w:tcBorders>
            <w:shd w:fill="E8F5E9" w:val="clear"/>
            <w:tcMar>
              <w:top w:type="dxa" w:w="160"/>
              <w:left w:type="dxa" w:w="220"/>
              <w:bottom w:type="dxa" w:w="160"/>
              <w:right w:type="dxa" w:w="220"/>
            </w:tcMar>
          </w:tcPr>
          <w:p>
            <w:pPr>
              <w:spacing w:after="100"/>
            </w:pPr>
            <w:r>
              <w:rPr>
                <w:rFonts w:ascii="微軟正黑體" w:cs="微軟正黑體" w:eastAsia="微軟正黑體" w:hAnsi="微軟正黑體"/>
                <w:b/>
                <w:bCs/>
                <w:color w:val="2E7D32"/>
                <w:sz w:val="22"/>
                <w:szCs w:val="22"/>
              </w:rPr>
              <w:t xml:space="preserve">【一分鐘記憶】</w:t>
            </w:r>
          </w:p>
          <w:p>
            <w:pPr>
              <w:spacing w:after="80" w:line="320"/>
            </w:pPr>
            <w:r>
              <w:rPr>
                <w:rFonts w:ascii="微軟正黑體" w:cs="微軟正黑體" w:eastAsia="微軟正黑體" w:hAnsi="微軟正黑體"/>
                <w:sz w:val="21"/>
                <w:szCs w:val="21"/>
              </w:rPr>
              <w:t xml:space="preserve">•　三重文化變異口訣：人（機共融）、AI（倫理）、虛（擬組織文化）——「人AI虛」三字訣</w:t>
            </w:r>
          </w:p>
          <w:p>
            <w:pPr>
              <w:spacing w:after="80" w:line="320"/>
            </w:pPr>
            <w:r>
              <w:rPr>
                <w:rFonts w:ascii="微軟正黑體" w:cs="微軟正黑體" w:eastAsia="微軟正黑體" w:hAnsi="微軟正黑體"/>
                <w:sz w:val="21"/>
                <w:szCs w:val="21"/>
              </w:rPr>
              <w:t xml:space="preserve">•　AI倫理文化核心口訣：公（平）、可（解釋）、可（追溯）、隱（私）、課（責）——「公可可隱課」五字訣</w:t>
            </w:r>
          </w:p>
          <w:p>
            <w:pPr>
              <w:spacing w:after="0" w:line="320"/>
            </w:pPr>
            <w:r>
              <w:rPr>
                <w:rFonts w:ascii="微軟正黑體" w:cs="微軟正黑體" w:eastAsia="微軟正黑體" w:hAnsi="微軟正黑體"/>
                <w:sz w:val="21"/>
                <w:szCs w:val="21"/>
              </w:rPr>
              <w:t xml:space="preserve">•　雙軌文化一句話記憶：表面遵守指引，私下另尋管道——禁令沒有賦能配套的必然後果</w:t>
            </w:r>
          </w:p>
        </w:tc>
      </w:tr>
    </w:tbl>
    <w:p>
      <w:pPr>
        <w:spacing w:after="14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FDECEA" w:sz="2"/>
              <w:left w:val="single" w:color="C0392B" w:sz="24"/>
              <w:bottom w:val="single" w:color="FDECEA" w:sz="2"/>
              <w:right w:val="single" w:color="FDECEA" w:sz="2"/>
            </w:tcBorders>
            <w:shd w:fill="FDECEA" w:val="clear"/>
            <w:tcMar>
              <w:top w:type="dxa" w:w="160"/>
              <w:left w:type="dxa" w:w="220"/>
              <w:bottom w:type="dxa" w:w="160"/>
              <w:right w:type="dxa" w:w="220"/>
            </w:tcMar>
          </w:tcPr>
          <w:p>
            <w:pPr>
              <w:spacing w:after="100"/>
            </w:pPr>
            <w:r>
              <w:rPr>
                <w:rFonts w:ascii="微軟正黑體" w:cs="微軟正黑體" w:eastAsia="微軟正黑體" w:hAnsi="微軟正黑體"/>
                <w:b/>
                <w:bCs/>
                <w:color w:val="C0392B"/>
                <w:sz w:val="22"/>
                <w:szCs w:val="22"/>
              </w:rPr>
              <w:t xml:space="preserve">【容易混淆】</w:t>
            </w:r>
          </w:p>
          <w:p>
            <w:pPr>
              <w:spacing w:after="80" w:line="320"/>
            </w:pPr>
            <w:r>
              <w:rPr>
                <w:rFonts w:ascii="微軟正黑體" w:cs="微軟正黑體" w:eastAsia="微軟正黑體" w:hAnsi="微軟正黑體"/>
                <w:sz w:val="21"/>
                <w:szCs w:val="21"/>
              </w:rPr>
              <w:t xml:space="preserve">•　「人機共融文化」（聚焦協作關係之心理安全，強調AI是夥伴而非監控工具，屬情感與關係層面）與「AI倫理文化」（聚焦演算法應用之規範內化，強調公平可解釋可追溯，屬規範與制度層面）常被考生混為一談——兩者雖同屬AI時代文化變異之環節，惟前者處理「人如何看待AI同事」，後者處理「組織如何規範AI之倫理使用」，一情感一規範，須分開論述方能完整回應AI鑲嵌之雙重挑戰。</w:t>
            </w:r>
          </w:p>
          <w:p>
            <w:pPr>
              <w:spacing w:after="0" w:line="320"/>
            </w:pPr>
            <w:r>
              <w:rPr>
                <w:rFonts w:ascii="微軟正黑體" w:cs="微軟正黑體" w:eastAsia="微軟正黑體" w:hAnsi="微軟正黑體"/>
                <w:sz w:val="21"/>
                <w:szCs w:val="21"/>
              </w:rPr>
              <w:t xml:space="preserve">•　「表面合規」（機關形式上遵守AI使用指引，如口頭宣導禁令）與「倫理內化」（AI倫理真正成為組織基本假定，落實於採購考績等具體制度）常被考生視為同一回事——本章明確指出兩者之落差正是雙軌文化之根源：表面合規僅停留於價值宣稱層次（甚至僅止於器物層之文件存在），倫理內化則須深入基本假定層次，唯有後者才能真正預防「表面合規、私下使用」之現象。</w:t>
            </w:r>
          </w:p>
        </w:tc>
      </w:tr>
    </w:tbl>
    <w:p>
      <w:pPr>
        <w:spacing w:after="260"/>
      </w:pPr>
    </w:p>
    <w:p>
      <w:pPr>
        <w:spacing w:after="200" w:before="400"/>
      </w:pPr>
      <w:r>
        <w:rPr>
          <w:rFonts w:ascii="微軟正黑體" w:cs="微軟正黑體" w:eastAsia="微軟正黑體" w:hAnsi="微軟正黑體"/>
          <w:b/>
          <w:bCs/>
          <w:sz w:val="32"/>
          <w:szCs w:val="32"/>
        </w:rPr>
        <w:t xml:space="preserve">【申論解題】</w:t>
      </w:r>
    </w:p>
    <w:p>
      <w:pPr>
        <w:spacing w:after="200" w:line="360"/>
        <w:ind w:firstLine="431"/>
        <w:jc w:val="both"/>
      </w:pPr>
      <w:r>
        <w:rPr>
          <w:rFonts w:ascii="微軟正黑體" w:cs="微軟正黑體" w:eastAsia="微軟正黑體" w:hAnsi="微軟正黑體"/>
          <w:sz w:val="22"/>
          <w:szCs w:val="22"/>
        </w:rPr>
        <w:t xml:space="preserve">本章語料庫（107-111年）原查得2題與組織文化相關之申論真題：108年-外交「政府機關重塑積極主動組織文化之變革層面與作為」，經查證其類科非屬一般行政類科，不列入本章完整解析；111年-地三「組織文化之定義及政府部門與民間部門組織文化差異」，經查證屬一般行政符合，列為題目二完整解析；惟2026年9月新查得112-115年考選部公告試題後，題目一已改列114年高考三級真題（跨部門治理之組織文化挑戰），取代原參考108年-外交真題核心理論架構之模擬命題。題目一、題目二均附「考題出處」標示；題目三仍為依本章第四節AI治理內容自行設計之模擬命題，附「考題出處（重要說明）」標示。依全書格式定版說明，僅題目一（A級）提供基本得分版、標準版、高分版三種完整答案；題目二（B級）與題目三（C級）改為提供【參考答案·標準版】單一版本，並於【得分關鍵】【常見失分】之後新增【高分加分點】。</w:t>
      </w:r>
    </w:p>
    <w:p>
      <w:pPr>
        <w:spacing w:after="180" w:before="360"/>
      </w:pPr>
      <w:r>
        <w:rPr>
          <w:rFonts w:ascii="微軟正黑體" w:cs="微軟正黑體" w:eastAsia="微軟正黑體" w:hAnsi="微軟正黑體"/>
          <w:b/>
          <w:bCs/>
          <w:color w:val="1F4E79"/>
          <w:sz w:val="26"/>
          <w:szCs w:val="26"/>
        </w:rPr>
        <w:t xml:space="preserve">題目一（A級基本題·114年高考三級）</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F2F6FA" w:sz="2"/>
              <w:left w:val="single" w:color="555555" w:sz="24"/>
              <w:bottom w:val="single" w:color="F2F6FA" w:sz="2"/>
              <w:right w:val="single" w:color="F2F6FA" w:sz="2"/>
            </w:tcBorders>
            <w:shd w:fill="F2F6FA" w:val="clear"/>
            <w:tcMar>
              <w:top w:type="dxa" w:w="160"/>
              <w:left w:type="dxa" w:w="220"/>
              <w:bottom w:type="dxa" w:w="160"/>
              <w:right w:type="dxa" w:w="220"/>
            </w:tcMar>
          </w:tcPr>
          <w:p>
            <w:pPr>
              <w:spacing w:after="100"/>
            </w:pPr>
            <w:r>
              <w:rPr>
                <w:rFonts w:ascii="微軟正黑體" w:cs="微軟正黑體" w:eastAsia="微軟正黑體" w:hAnsi="微軟正黑體"/>
                <w:b/>
                <w:bCs/>
                <w:color w:val="555555"/>
                <w:sz w:val="22"/>
                <w:szCs w:val="22"/>
              </w:rPr>
              <w:t xml:space="preserve">考題出處</w:t>
            </w:r>
          </w:p>
          <w:p>
            <w:pPr>
              <w:spacing w:line="340"/>
              <w:jc w:val="both"/>
            </w:pPr>
            <w:r>
              <w:rPr>
                <w:rFonts w:ascii="微軟正黑體" w:cs="微軟正黑體" w:eastAsia="微軟正黑體" w:hAnsi="微軟正黑體"/>
                <w:sz w:val="21"/>
                <w:szCs w:val="21"/>
              </w:rPr>
              <w:t xml:space="preserve">114年公務人員高等考試三級考試（一般行政、一般民政、客家事務行政、原住民族行政、人事行政、法律廉政），行政學，申論題第二題（25分）——完全符合一般行政類科、三等（相當高考三級）目標等別。</w:t>
            </w:r>
          </w:p>
        </w:tc>
      </w:tr>
    </w:tbl>
    <w:p>
      <w:pPr>
        <w:spacing w:after="120"/>
      </w:pPr>
    </w:p>
    <w:p>
      <w:pPr>
        <w:spacing w:after="200" w:line="360"/>
        <w:ind w:firstLine="431"/>
        <w:jc w:val="both"/>
      </w:pPr>
      <w:r>
        <w:rPr>
          <w:rFonts w:ascii="微軟正黑體" w:cs="微軟正黑體" w:eastAsia="微軟正黑體" w:hAnsi="微軟正黑體"/>
          <w:sz w:val="22"/>
          <w:szCs w:val="22"/>
        </w:rPr>
        <w:t xml:space="preserve">「請以公部門為中心，運用『組織文化』的概念來分析『跨部門治理』的挑戰及其緩解之道。（25分）」</w:t>
      </w:r>
    </w:p>
    <w:p>
      <w:pPr>
        <w:spacing w:after="100" w:before="160"/>
      </w:pPr>
      <w:r>
        <w:rPr>
          <w:rFonts w:ascii="微軟正黑體" w:cs="微軟正黑體" w:eastAsia="微軟正黑體" w:hAnsi="微軟正黑體"/>
          <w:b/>
          <w:bCs/>
          <w:color w:val="444444"/>
          <w:sz w:val="21"/>
          <w:szCs w:val="21"/>
        </w:rPr>
        <w:t xml:space="preserve">【題型判斷】</w:t>
      </w:r>
    </w:p>
    <w:p>
      <w:pPr>
        <w:spacing w:after="200" w:line="360"/>
        <w:ind w:firstLine="431"/>
        <w:jc w:val="both"/>
      </w:pPr>
      <w:r>
        <w:rPr>
          <w:rFonts w:ascii="微軟正黑體" w:cs="微軟正黑體" w:eastAsia="微軟正黑體" w:hAnsi="微軟正黑體"/>
          <w:sz w:val="22"/>
          <w:szCs w:val="22"/>
        </w:rPr>
        <w:t xml:space="preserve">這是一題「概念應用＋挑戰分析＋緩解對策題」，考生須以組織文化概念分析跨部門治理面臨之挑戰，並提出對應之緩解之道——若改以組織結構或法規權限分析跨部門治理挑戰，未扣緊題目明確要求之「組織文化」視角，或緩解之道與前述挑戰分析脫節，均屬論述不完整。</w:t>
      </w:r>
    </w:p>
    <w:p>
      <w:pPr>
        <w:spacing w:after="100" w:before="160"/>
      </w:pPr>
      <w:r>
        <w:rPr>
          <w:rFonts w:ascii="微軟正黑體" w:cs="微軟正黑體" w:eastAsia="微軟正黑體" w:hAnsi="微軟正黑體"/>
          <w:b/>
          <w:bCs/>
          <w:color w:val="444444"/>
          <w:sz w:val="21"/>
          <w:szCs w:val="21"/>
        </w:rPr>
        <w:t xml:space="preserve">【關鍵字】</w:t>
      </w:r>
    </w:p>
    <w:p>
      <w:pPr>
        <w:spacing w:after="200" w:line="360"/>
        <w:ind w:firstLine="431"/>
        <w:jc w:val="both"/>
      </w:pPr>
      <w:r>
        <w:rPr>
          <w:rFonts w:ascii="微軟正黑體" w:cs="微軟正黑體" w:eastAsia="微軟正黑體" w:hAnsi="微軟正黑體"/>
          <w:sz w:val="22"/>
          <w:szCs w:val="22"/>
        </w:rPr>
        <w:t xml:space="preserve">組織文化差異 ＋ 跨部門治理挑戰（價值取向、溝通慣例、課責歸屬） ＋ 緩解之道（共同願景、協調機制、績效誘因）。</w:t>
      </w:r>
    </w:p>
    <w:p>
      <w:pPr>
        <w:spacing w:after="100" w:before="160"/>
      </w:pPr>
      <w:r>
        <w:rPr>
          <w:rFonts w:ascii="微軟正黑體" w:cs="微軟正黑體" w:eastAsia="微軟正黑體" w:hAnsi="微軟正黑體"/>
          <w:b/>
          <w:bCs/>
          <w:color w:val="444444"/>
          <w:sz w:val="21"/>
          <w:szCs w:val="21"/>
        </w:rPr>
        <w:t xml:space="preserve">【答題架構】</w:t>
      </w:r>
    </w:p>
    <w:p>
      <w:pPr>
        <w:pStyle w:val="ListParagraph"/>
        <w:numPr>
          <w:ilvl w:val="0"/>
          <w:numId w:val="2"/>
        </w:numPr>
        <w:spacing w:after="120" w:line="340"/>
      </w:pPr>
      <w:r>
        <w:rPr>
          <w:rFonts w:ascii="微軟正黑體" w:cs="微軟正黑體" w:eastAsia="微軟正黑體" w:hAnsi="微軟正黑體"/>
          <w:sz w:val="22"/>
          <w:szCs w:val="22"/>
        </w:rPr>
        <w:t xml:space="preserve">一、前言：文化差異，跨部門治理最隱形的阻力</w:t>
      </w:r>
    </w:p>
    <w:p>
      <w:pPr>
        <w:pStyle w:val="ListParagraph"/>
        <w:numPr>
          <w:ilvl w:val="0"/>
          <w:numId w:val="2"/>
        </w:numPr>
        <w:spacing w:after="120" w:line="340"/>
      </w:pPr>
      <w:r>
        <w:rPr>
          <w:rFonts w:ascii="微軟正黑體" w:cs="微軟正黑體" w:eastAsia="微軟正黑體" w:hAnsi="微軟正黑體"/>
          <w:sz w:val="22"/>
          <w:szCs w:val="22"/>
        </w:rPr>
        <w:t xml:space="preserve">二、組織文化如何形塑跨部門治理之挑戰</w:t>
      </w:r>
    </w:p>
    <w:p>
      <w:pPr>
        <w:pStyle w:val="ListParagraph"/>
        <w:numPr>
          <w:ilvl w:val="0"/>
          <w:numId w:val="2"/>
        </w:numPr>
        <w:spacing w:after="120" w:line="340"/>
      </w:pPr>
      <w:r>
        <w:rPr>
          <w:rFonts w:ascii="微軟正黑體" w:cs="微軟正黑體" w:eastAsia="微軟正黑體" w:hAnsi="微軟正黑體"/>
          <w:sz w:val="22"/>
          <w:szCs w:val="22"/>
        </w:rPr>
        <w:t xml:space="preserve">三、跨部門治理中組織文化衝突之具體樣態</w:t>
      </w:r>
    </w:p>
    <w:p>
      <w:pPr>
        <w:pStyle w:val="ListParagraph"/>
        <w:numPr>
          <w:ilvl w:val="0"/>
          <w:numId w:val="2"/>
        </w:numPr>
        <w:spacing w:after="120" w:line="340"/>
      </w:pPr>
      <w:r>
        <w:rPr>
          <w:rFonts w:ascii="微軟正黑體" w:cs="微軟正黑體" w:eastAsia="微軟正黑體" w:hAnsi="微軟正黑體"/>
          <w:sz w:val="22"/>
          <w:szCs w:val="22"/>
        </w:rPr>
        <w:t xml:space="preserve">四、緩解之道：從文化差異到文化整合</w:t>
      </w:r>
    </w:p>
    <w:p>
      <w:pPr>
        <w:pStyle w:val="ListParagraph"/>
        <w:numPr>
          <w:ilvl w:val="0"/>
          <w:numId w:val="2"/>
        </w:numPr>
        <w:spacing w:after="120" w:line="340"/>
      </w:pPr>
      <w:r>
        <w:rPr>
          <w:rFonts w:ascii="微軟正黑體" w:cs="微軟正黑體" w:eastAsia="微軟正黑體" w:hAnsi="微軟正黑體"/>
          <w:sz w:val="22"/>
          <w:szCs w:val="22"/>
        </w:rPr>
        <w:t xml:space="preserve">五、結論</w:t>
      </w:r>
    </w:p>
    <w:p>
      <w:pPr>
        <w:spacing w:after="100" w:before="160"/>
      </w:pPr>
      <w:r>
        <w:rPr>
          <w:rFonts w:ascii="微軟正黑體" w:cs="微軟正黑體" w:eastAsia="微軟正黑體" w:hAnsi="微軟正黑體"/>
          <w:b/>
          <w:bCs/>
          <w:color w:val="444444"/>
          <w:sz w:val="21"/>
          <w:szCs w:val="21"/>
        </w:rPr>
        <w:t xml:space="preserve">【參考答案·基本得分版】（約500-700字，考場時間不夠時至少拿到基本分）</w:t>
      </w:r>
    </w:p>
    <w:p>
      <w:pPr>
        <w:spacing w:after="200" w:line="360"/>
        <w:ind w:firstLine="431"/>
        <w:jc w:val="both"/>
      </w:pPr>
      <w:r>
        <w:rPr>
          <w:rFonts w:ascii="微軟正黑體" w:cs="微軟正黑體" w:eastAsia="微軟正黑體" w:hAnsi="微軟正黑體"/>
          <w:sz w:val="22"/>
          <w:szCs w:val="22"/>
        </w:rPr>
        <w:t xml:space="preserve">組織文化指組織成員共享之價值、信念與基本假定，用以界定組織獨特之風格與行為模式。當公部門推動跨部門治理時，各機關往往各自擁有不同之組織文化（如本位主義、專業導向、風險態度不同），此一文化差異即成為跨部門合作之主要挑戰：其一，價值取向不一致，各機關對優先目標認知不同；其二，溝通語言與慣例不同，各機關專業術語與作業慣例形成隱形溝通障礙；其三，課責歸屬模糊，跨部門合作成果難以歸功於單一機關，降低參與誘因。</w:t>
      </w:r>
    </w:p>
    <w:p>
      <w:pPr>
        <w:spacing w:after="200" w:line="360"/>
        <w:ind w:firstLine="431"/>
        <w:jc w:val="both"/>
      </w:pPr>
      <w:r>
        <w:rPr>
          <w:rFonts w:ascii="微軟正黑體" w:cs="微軟正黑體" w:eastAsia="微軟正黑體" w:hAnsi="微軟正黑體"/>
          <w:sz w:val="22"/>
          <w:szCs w:val="22"/>
        </w:rPr>
        <w:t xml:space="preserve">緩解之道包括：建立共同願景與跨部門共享之目標敘事、設置常態性溝通平台（如聯合小組、跨部門圓桌會議），以及調整績效考核制度使跨部門合作貢獻獲得認可，方能逐步弭平文化差異對跨部門治理之阻礙。</w:t>
      </w:r>
    </w:p>
    <w:p>
      <w:pPr>
        <w:spacing w:after="100" w:before="160"/>
      </w:pPr>
      <w:r>
        <w:rPr>
          <w:rFonts w:ascii="微軟正黑體" w:cs="微軟正黑體" w:eastAsia="微軟正黑體" w:hAnsi="微軟正黑體"/>
          <w:b/>
          <w:bCs/>
          <w:color w:val="444444"/>
          <w:sz w:val="21"/>
          <w:szCs w:val="21"/>
        </w:rPr>
        <w:t xml:space="preserve">【參考答案·標準版】（約1,150-1,400字，主要示範答案）</w:t>
      </w:r>
    </w:p>
    <w:p>
      <w:pPr>
        <w:spacing w:after="200" w:line="360"/>
        <w:ind w:firstLine="431"/>
        <w:jc w:val="both"/>
      </w:pPr>
      <w:r>
        <w:rPr>
          <w:rFonts w:ascii="微軟正黑體" w:cs="微軟正黑體" w:eastAsia="微軟正黑體" w:hAnsi="微軟正黑體"/>
          <w:sz w:val="22"/>
          <w:szCs w:val="22"/>
        </w:rPr>
        <w:t xml:space="preserve">一、前言</w:t>
      </w:r>
    </w:p>
    <w:p>
      <w:pPr>
        <w:spacing w:after="200" w:line="360"/>
        <w:ind w:firstLine="431"/>
        <w:jc w:val="both"/>
      </w:pPr>
      <w:r>
        <w:rPr>
          <w:rFonts w:ascii="微軟正黑體" w:cs="微軟正黑體" w:eastAsia="微軟正黑體" w:hAnsi="微軟正黑體"/>
          <w:sz w:val="22"/>
          <w:szCs w:val="22"/>
        </w:rPr>
        <w:t xml:space="preserve">跨部門治理（cross-boundary governance）之核心挑戰，往往不在於法規權限之劃分不清，而在於各參與機關背後那套「看不見卻處處起作用」的組織文化——當不同機關帶著各自的價值假定、溝通慣例與課責邏輯進入同一協作場域，文化差異便可能成為比制度障礙更難跨越的合作阻力。</w:t>
      </w:r>
    </w:p>
    <w:p>
      <w:pPr>
        <w:spacing w:after="200" w:line="360"/>
        <w:ind w:firstLine="431"/>
        <w:jc w:val="both"/>
      </w:pPr>
      <w:r>
        <w:rPr>
          <w:rFonts w:ascii="微軟正黑體" w:cs="微軟正黑體" w:eastAsia="微軟正黑體" w:hAnsi="微軟正黑體"/>
          <w:sz w:val="22"/>
          <w:szCs w:val="22"/>
        </w:rPr>
        <w:t xml:space="preserve">二、組織文化如何形塑跨部門治理之挑戰</w:t>
      </w:r>
    </w:p>
    <w:p>
      <w:pPr>
        <w:spacing w:after="200" w:line="360"/>
        <w:ind w:firstLine="431"/>
        <w:jc w:val="both"/>
      </w:pPr>
      <w:r>
        <w:rPr>
          <w:rFonts w:ascii="微軟正黑體" w:cs="微軟正黑體" w:eastAsia="微軟正黑體" w:hAnsi="微軟正黑體"/>
          <w:sz w:val="22"/>
          <w:szCs w:val="22"/>
        </w:rPr>
        <w:t xml:space="preserve">組織文化係組織成員共享之價值、信念、基本假定與行為模式，用以界定組織之獨特風格並指引成員之認知與行動；不同機關因其法定職掌、專業社群與歷史發展路徑不同，往往形成差異顯著之組織次文化，例如工程專業機關偏重效率與量化指標之「任務導向文化」，社福機關偏重個案與同理之「關係導向文化」，主計與審計機關則偏重程序正確之「層級文化」。當跨部門治理要求這些文化背景殊異之機關共同合作時，文化差異便直接轉化為合作之挑戰。</w:t>
      </w:r>
    </w:p>
    <w:p>
      <w:pPr>
        <w:spacing w:after="200" w:line="360"/>
        <w:ind w:firstLine="431"/>
        <w:jc w:val="both"/>
      </w:pPr>
      <w:r>
        <w:rPr>
          <w:rFonts w:ascii="微軟正黑體" w:cs="微軟正黑體" w:eastAsia="微軟正黑體" w:hAnsi="微軟正黑體"/>
          <w:sz w:val="22"/>
          <w:szCs w:val="22"/>
        </w:rPr>
        <w:t xml:space="preserve">三、跨部門治理中組織文化衝突之具體樣態</w:t>
      </w:r>
    </w:p>
    <w:p>
      <w:pPr>
        <w:spacing w:after="200" w:line="360"/>
        <w:ind w:firstLine="431"/>
        <w:jc w:val="both"/>
      </w:pPr>
      <w:r>
        <w:rPr>
          <w:rFonts w:ascii="微軟正黑體" w:cs="微軟正黑體" w:eastAsia="微軟正黑體" w:hAnsi="微軟正黑體"/>
          <w:sz w:val="22"/>
          <w:szCs w:val="22"/>
        </w:rPr>
        <w:t xml:space="preserve">具體而言，組織文化差異對跨部門治理造成之挑戰可歸納為三類：其一，價值取向衝突，各機關對於「什麼才是成功」認知不同，如環保機關重視長期永續、經濟機關重視短期產值，同一政策議題可能因價值優先順序不同而僵持不下；其二，溝通與慣例落差，各機關擁有自身之專業術語、公文格式與決策節奏，即使立意良善，跨部門會議也可能因「聽不懂彼此的話」而效率低落；其三，本位主義與課責歸屬模糊，跨部門合作之成果常難以明確歸功於單一機關，而失敗之責任卻可能被相互推諉，此一課責結構之不對稱，降低機關投入跨部門合作之誘因，形成「共同利益卻各自保留」之集體行動困境。</w:t>
      </w:r>
    </w:p>
    <w:p>
      <w:pPr>
        <w:spacing w:after="200" w:line="360"/>
        <w:ind w:firstLine="431"/>
        <w:jc w:val="both"/>
      </w:pPr>
      <w:r>
        <w:rPr>
          <w:rFonts w:ascii="微軟正黑體" w:cs="微軟正黑體" w:eastAsia="微軟正黑體" w:hAnsi="微軟正黑體"/>
          <w:sz w:val="22"/>
          <w:szCs w:val="22"/>
        </w:rPr>
        <w:t xml:space="preserve">四、緩解之道：從文化差異到文化整合</w:t>
      </w:r>
    </w:p>
    <w:p>
      <w:pPr>
        <w:spacing w:after="200" w:line="360"/>
        <w:ind w:firstLine="431"/>
        <w:jc w:val="both"/>
      </w:pPr>
      <w:r>
        <w:rPr>
          <w:rFonts w:ascii="微軟正黑體" w:cs="微軟正黑體" w:eastAsia="微軟正黑體" w:hAnsi="微軟正黑體"/>
          <w:sz w:val="22"/>
          <w:szCs w:val="22"/>
        </w:rPr>
        <w:t xml:space="preserve">面對上述挑戰，緩解之道可從三個層面著手：其一，建立共同願景與敘事，透過高層共同宣示跨域政策之共同目標（如以「同一個城市、同一個市民」之敘事凝聚不同機關之認同），為文化整合提供價值層次之錨點；其二，建置常態性協調機制，如成立聯合任務小組、跨部門圓桌會議、輪調或借調人員，透過長期互動逐步建立跨機關之信任基礎與共通語言，緩解溝通落差；其三，調整績效與誘因結構，將跨部門合作之具體貢獻納入機關與個人績效考核項目，並設計共享型績效指標（joint KPI），使機關不再因參與跨部門合作而「為他人作嫁」，從結構面化解本位主義。</w:t>
      </w:r>
    </w:p>
    <w:p>
      <w:pPr>
        <w:spacing w:after="200" w:line="360"/>
        <w:ind w:firstLine="431"/>
        <w:jc w:val="both"/>
      </w:pPr>
      <w:r>
        <w:rPr>
          <w:rFonts w:ascii="微軟正黑體" w:cs="微軟正黑體" w:eastAsia="微軟正黑體" w:hAnsi="微軟正黑體"/>
          <w:sz w:val="22"/>
          <w:szCs w:val="22"/>
        </w:rPr>
        <w:t xml:space="preserve">五、結論</w:t>
      </w:r>
    </w:p>
    <w:p>
      <w:pPr>
        <w:spacing w:after="200" w:line="360"/>
        <w:ind w:firstLine="431"/>
        <w:jc w:val="both"/>
      </w:pPr>
      <w:r>
        <w:rPr>
          <w:rFonts w:ascii="微軟正黑體" w:cs="微軟正黑體" w:eastAsia="微軟正黑體" w:hAnsi="微軟正黑體"/>
          <w:sz w:val="22"/>
          <w:szCs w:val="22"/>
        </w:rPr>
        <w:t xml:space="preserve">跨部門治理之成敗，關鍵往往不在於是否設置了正式的協調機制，而在於能否正視並處理機關之間潛藏的組織文化差異；唯有透過共同願景之建立、常態溝通平台之運作，以及績效誘因結構之調整，方能使不同文化背景的機關，從「各自為政」逐步走向「同舟共濟」，真正實現跨部門治理之綜效。</w:t>
      </w:r>
    </w:p>
    <w:p>
      <w:pPr>
        <w:spacing w:after="100" w:before="160"/>
      </w:pPr>
      <w:r>
        <w:rPr>
          <w:rFonts w:ascii="微軟正黑體" w:cs="微軟正黑體" w:eastAsia="微軟正黑體" w:hAnsi="微軟正黑體"/>
          <w:b/>
          <w:bCs/>
          <w:color w:val="444444"/>
          <w:sz w:val="21"/>
          <w:szCs w:val="21"/>
        </w:rPr>
        <w:t xml:space="preserve">【參考答案·高分版補充】（在標準版基礎上，加入學者、比較、批判、當代案例、AI治理、臺灣實務）</w:t>
      </w:r>
    </w:p>
    <w:p>
      <w:pPr>
        <w:pStyle w:val="ListParagraph"/>
        <w:numPr>
          <w:ilvl w:val="0"/>
          <w:numId w:val="2"/>
        </w:numPr>
        <w:spacing w:after="120" w:line="340"/>
      </w:pPr>
      <w:r>
        <w:rPr>
          <w:rFonts w:ascii="微軟正黑體" w:cs="微軟正黑體" w:eastAsia="微軟正黑體" w:hAnsi="微軟正黑體"/>
          <w:sz w:val="22"/>
          <w:szCs w:val="22"/>
        </w:rPr>
        <w:t xml:space="preserve">補充文化類型學視角：可援引CVF競爭價值架構，說明不同機關可能分屬層級文化、市場文化、宗族文化、發展文化四種不同象限，跨部門治理實為不同文化象限機關間之協調過程，深化理論層次。</w:t>
      </w:r>
    </w:p>
    <w:p>
      <w:pPr>
        <w:pStyle w:val="ListParagraph"/>
        <w:numPr>
          <w:ilvl w:val="0"/>
          <w:numId w:val="2"/>
        </w:numPr>
        <w:spacing w:after="120" w:line="340"/>
      </w:pPr>
      <w:r>
        <w:rPr>
          <w:rFonts w:ascii="微軟正黑體" w:cs="微軟正黑體" w:eastAsia="微軟正黑體" w:hAnsi="微軟正黑體"/>
          <w:sz w:val="22"/>
          <w:szCs w:val="22"/>
        </w:rPr>
        <w:t xml:space="preserve">補充Schein三層次文化模式：可說明跨部門治理之文化整合，不能僅止於器物層次（如共用識別系統、聯合辦公空間），更須觸及基本假定層次（如「誰該為結果負責」之潛在信念），方能真正化解深層衝突。</w:t>
      </w:r>
    </w:p>
    <w:p>
      <w:pPr>
        <w:pStyle w:val="ListParagraph"/>
        <w:numPr>
          <w:ilvl w:val="0"/>
          <w:numId w:val="2"/>
        </w:numPr>
        <w:spacing w:after="120" w:line="340"/>
      </w:pPr>
      <w:r>
        <w:rPr>
          <w:rFonts w:ascii="微軟正黑體" w:cs="微軟正黑體" w:eastAsia="微軟正黑體" w:hAnsi="微軟正黑體"/>
          <w:sz w:val="22"/>
          <w:szCs w:val="22"/>
        </w:rPr>
        <w:t xml:space="preserve">補充我國實務案例：可援引中央流行疫情指揮中心整合衛福部、內政部、教育部等跨機關資源之經驗，說明危機情境下透過單一指揮權威暫時壓制文化差異之特殊模式，並反思其於常態性跨部門治理中之侷限（危機模式不可長期依賴）。</w:t>
      </w:r>
    </w:p>
    <w:p>
      <w:pPr>
        <w:pStyle w:val="ListParagraph"/>
        <w:numPr>
          <w:ilvl w:val="0"/>
          <w:numId w:val="2"/>
        </w:numPr>
        <w:spacing w:after="120" w:line="340"/>
      </w:pPr>
      <w:r>
        <w:rPr>
          <w:rFonts w:ascii="微軟正黑體" w:cs="微軟正黑體" w:eastAsia="微軟正黑體" w:hAnsi="微軟正黑體"/>
          <w:sz w:val="22"/>
          <w:szCs w:val="22"/>
        </w:rPr>
        <w:t xml:space="preserve">補充AI治理視角：可延伸說明，當跨部門治理進一步導入AI中台整合各機關資料時，不同機關對資料開放程度與風險容忍度之文化差異，亦可能成為資料共享之隱形障礙，呼應本章第四節AI鑲嵌內容，展現跨節整合之論述廣度。</w:t>
      </w:r>
    </w:p>
    <w:p>
      <w:pPr>
        <w:spacing w:after="100" w:before="160"/>
      </w:pPr>
      <w:r>
        <w:rPr>
          <w:rFonts w:ascii="微軟正黑體" w:cs="微軟正黑體" w:eastAsia="微軟正黑體" w:hAnsi="微軟正黑體"/>
          <w:b/>
          <w:bCs/>
          <w:color w:val="444444"/>
          <w:sz w:val="21"/>
          <w:szCs w:val="21"/>
        </w:rPr>
        <w:t xml:space="preserve">【得分關鍵】</w:t>
      </w:r>
    </w:p>
    <w:p>
      <w:pPr>
        <w:pStyle w:val="ListParagraph"/>
        <w:numPr>
          <w:ilvl w:val="0"/>
          <w:numId w:val="2"/>
        </w:numPr>
        <w:spacing w:after="120" w:line="340"/>
      </w:pPr>
      <w:r>
        <w:rPr>
          <w:rFonts w:ascii="微軟正黑體" w:cs="微軟正黑體" w:eastAsia="微軟正黑體" w:hAnsi="微軟正黑體"/>
          <w:sz w:val="22"/>
          <w:szCs w:val="22"/>
        </w:rPr>
        <w:t xml:space="preserve">須明確以「組織文化」概念（而非僅組織結構或法規權限）分析跨部門治理之挑戰，此為題目明確要求之分析視角。</w:t>
      </w:r>
    </w:p>
    <w:p>
      <w:pPr>
        <w:pStyle w:val="ListParagraph"/>
        <w:numPr>
          <w:ilvl w:val="0"/>
          <w:numId w:val="2"/>
        </w:numPr>
        <w:spacing w:after="120" w:line="340"/>
      </w:pPr>
      <w:r>
        <w:rPr>
          <w:rFonts w:ascii="微軟正黑體" w:cs="微軟正黑體" w:eastAsia="微軟正黑體" w:hAnsi="微軟正黑體"/>
          <w:sz w:val="22"/>
          <w:szCs w:val="22"/>
        </w:rPr>
        <w:t xml:space="preserve">挑戰分析須具體展開價值取向、溝通慣例、課責歸屬三個層面，不可籠統稱「文化不同」。</w:t>
      </w:r>
    </w:p>
    <w:p>
      <w:pPr>
        <w:pStyle w:val="ListParagraph"/>
        <w:numPr>
          <w:ilvl w:val="0"/>
          <w:numId w:val="2"/>
        </w:numPr>
        <w:spacing w:after="120" w:line="340"/>
      </w:pPr>
      <w:r>
        <w:rPr>
          <w:rFonts w:ascii="微軟正黑體" w:cs="微軟正黑體" w:eastAsia="微軟正黑體" w:hAnsi="微軟正黑體"/>
          <w:sz w:val="22"/>
          <w:szCs w:val="22"/>
        </w:rPr>
        <w:t xml:space="preserve">緩解之道須具體可操作並對應前述挑戰分析，形成前後呼應之完整論述。</w:t>
      </w:r>
    </w:p>
    <w:p>
      <w:pPr>
        <w:spacing w:after="100" w:before="160"/>
      </w:pPr>
      <w:r>
        <w:rPr>
          <w:rFonts w:ascii="微軟正黑體" w:cs="微軟正黑體" w:eastAsia="微軟正黑體" w:hAnsi="微軟正黑體"/>
          <w:b/>
          <w:bCs/>
          <w:color w:val="444444"/>
          <w:sz w:val="21"/>
          <w:szCs w:val="21"/>
        </w:rPr>
        <w:t xml:space="preserve">【常見失分】</w:t>
      </w:r>
    </w:p>
    <w:p>
      <w:pPr>
        <w:pStyle w:val="ListParagraph"/>
        <w:numPr>
          <w:ilvl w:val="0"/>
          <w:numId w:val="2"/>
        </w:numPr>
        <w:spacing w:after="120" w:line="340"/>
      </w:pPr>
      <w:r>
        <w:rPr>
          <w:rFonts w:ascii="微軟正黑體" w:cs="微軟正黑體" w:eastAsia="微軟正黑體" w:hAnsi="微軟正黑體"/>
          <w:sz w:val="22"/>
          <w:szCs w:val="22"/>
        </w:rPr>
        <w:t xml:space="preserve">❌ 以組織結構或法規權限分析跨部門治理挑戰，未扣緊題目明確要求之「組織文化」概念。</w:t>
      </w:r>
    </w:p>
    <w:p>
      <w:pPr>
        <w:pStyle w:val="ListParagraph"/>
        <w:numPr>
          <w:ilvl w:val="0"/>
          <w:numId w:val="2"/>
        </w:numPr>
        <w:spacing w:after="120" w:line="340"/>
      </w:pPr>
      <w:r>
        <w:rPr>
          <w:rFonts w:ascii="微軟正黑體" w:cs="微軟正黑體" w:eastAsia="微軟正黑體" w:hAnsi="微軟正黑體"/>
          <w:sz w:val="22"/>
          <w:szCs w:val="22"/>
        </w:rPr>
        <w:t xml:space="preserve">❌ 挑戰分析籠統稱「機關間文化不同」，未具體說明價值取向、溝通慣例、課責歸屬等面向。</w:t>
      </w:r>
    </w:p>
    <w:p>
      <w:pPr>
        <w:pStyle w:val="ListParagraph"/>
        <w:numPr>
          <w:ilvl w:val="0"/>
          <w:numId w:val="2"/>
        </w:numPr>
        <w:spacing w:after="120" w:line="340"/>
      </w:pPr>
      <w:r>
        <w:rPr>
          <w:rFonts w:ascii="微軟正黑體" w:cs="微軟正黑體" w:eastAsia="微軟正黑體" w:hAnsi="微軟正黑體"/>
          <w:sz w:val="22"/>
          <w:szCs w:val="22"/>
        </w:rPr>
        <w:t xml:space="preserve">❌ 緩解之道與前述挑戰分析脫節，僅重複「應加強溝通協調」等空泛立場。</w:t>
      </w:r>
    </w:p>
    <w:p>
      <w:pPr>
        <w:spacing w:after="220"/>
      </w:pPr>
    </w:p>
    <w:p>
      <w:pPr>
        <w:spacing w:after="180" w:before="360"/>
      </w:pPr>
      <w:r>
        <w:rPr>
          <w:rFonts w:ascii="微軟正黑體" w:cs="微軟正黑體" w:eastAsia="微軟正黑體" w:hAnsi="微軟正黑體"/>
          <w:b/>
          <w:bCs/>
          <w:color w:val="1F4E79"/>
          <w:sz w:val="26"/>
          <w:szCs w:val="26"/>
        </w:rPr>
        <w:t xml:space="preserve">題目二（B級比較題·111年公務人員特種考試地方政府公務人員三等考試）</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F2F6FA" w:sz="2"/>
              <w:left w:val="single" w:color="555555" w:sz="24"/>
              <w:bottom w:val="single" w:color="F2F6FA" w:sz="2"/>
              <w:right w:val="single" w:color="F2F6FA" w:sz="2"/>
            </w:tcBorders>
            <w:shd w:fill="F2F6FA" w:val="clear"/>
            <w:tcMar>
              <w:top w:type="dxa" w:w="160"/>
              <w:left w:type="dxa" w:w="220"/>
              <w:bottom w:type="dxa" w:w="160"/>
              <w:right w:type="dxa" w:w="220"/>
            </w:tcMar>
          </w:tcPr>
          <w:p>
            <w:pPr>
              <w:spacing w:after="100"/>
            </w:pPr>
            <w:r>
              <w:rPr>
                <w:rFonts w:ascii="微軟正黑體" w:cs="微軟正黑體" w:eastAsia="微軟正黑體" w:hAnsi="微軟正黑體"/>
                <w:b/>
                <w:bCs/>
                <w:color w:val="555555"/>
                <w:sz w:val="22"/>
                <w:szCs w:val="22"/>
              </w:rPr>
              <w:t xml:space="preserve">考題出處</w:t>
            </w:r>
          </w:p>
          <w:p>
            <w:pPr>
              <w:spacing w:line="340"/>
              <w:jc w:val="both"/>
            </w:pPr>
            <w:r>
              <w:rPr>
                <w:rFonts w:ascii="微軟正黑體" w:cs="微軟正黑體" w:eastAsia="微軟正黑體" w:hAnsi="微軟正黑體"/>
                <w:sz w:val="21"/>
                <w:szCs w:val="21"/>
              </w:rPr>
              <w:t xml:space="preserve">111年公務人員特種考試地方政府公務人員及離島地區公務人員考試三等考試（一般行政），行政學，申論題——完全符合一般行政類科、三等（相當高考三級）目標等別。</w:t>
            </w:r>
          </w:p>
        </w:tc>
      </w:tr>
    </w:tbl>
    <w:p>
      <w:pPr>
        <w:spacing w:after="120"/>
      </w:pPr>
    </w:p>
    <w:p>
      <w:pPr>
        <w:spacing w:after="200" w:line="360"/>
        <w:ind w:firstLine="431"/>
        <w:jc w:val="both"/>
      </w:pPr>
      <w:r>
        <w:rPr>
          <w:rFonts w:ascii="微軟正黑體" w:cs="微軟正黑體" w:eastAsia="微軟正黑體" w:hAnsi="微軟正黑體"/>
          <w:sz w:val="22"/>
          <w:szCs w:val="22"/>
        </w:rPr>
        <w:t xml:space="preserve">「何謂組織文化？一般認為，政府部門與民間部門的組織文化有相當大的差異，請至少提出五項差異並說明之。（25分）」</w:t>
      </w:r>
    </w:p>
    <w:p>
      <w:pPr>
        <w:spacing w:after="100" w:before="160"/>
      </w:pPr>
      <w:r>
        <w:rPr>
          <w:rFonts w:ascii="微軟正黑體" w:cs="微軟正黑體" w:eastAsia="微軟正黑體" w:hAnsi="微軟正黑體"/>
          <w:b/>
          <w:bCs/>
          <w:color w:val="444444"/>
          <w:sz w:val="21"/>
          <w:szCs w:val="21"/>
        </w:rPr>
        <w:t xml:space="preserve">【題型判斷】</w:t>
      </w:r>
    </w:p>
    <w:p>
      <w:pPr>
        <w:spacing w:after="200" w:line="360"/>
        <w:ind w:firstLine="431"/>
        <w:jc w:val="both"/>
      </w:pPr>
      <w:r>
        <w:rPr>
          <w:rFonts w:ascii="微軟正黑體" w:cs="微軟正黑體" w:eastAsia="微軟正黑體" w:hAnsi="微軟正黑體"/>
          <w:sz w:val="22"/>
          <w:szCs w:val="22"/>
        </w:rPr>
        <w:t xml:space="preserve">這是一題「概念定義＋多項差異比較題」，考生須先定義組織文化，再至少提出五項政府部門與民間部門組織文化之差異並逐一說明——若差異項目不足五項，或僅列出項目名稱而無具體說明，均屬答題不完整。</w:t>
      </w:r>
    </w:p>
    <w:p>
      <w:pPr>
        <w:spacing w:after="100" w:before="160"/>
      </w:pPr>
      <w:r>
        <w:rPr>
          <w:rFonts w:ascii="微軟正黑體" w:cs="微軟正黑體" w:eastAsia="微軟正黑體" w:hAnsi="微軟正黑體"/>
          <w:b/>
          <w:bCs/>
          <w:color w:val="444444"/>
          <w:sz w:val="21"/>
          <w:szCs w:val="21"/>
        </w:rPr>
        <w:t xml:space="preserve">【關鍵字】</w:t>
      </w:r>
    </w:p>
    <w:p>
      <w:pPr>
        <w:spacing w:after="200" w:line="360"/>
        <w:ind w:firstLine="431"/>
        <w:jc w:val="both"/>
      </w:pPr>
      <w:r>
        <w:rPr>
          <w:rFonts w:ascii="微軟正黑體" w:cs="微軟正黑體" w:eastAsia="微軟正黑體" w:hAnsi="微軟正黑體"/>
          <w:sz w:val="22"/>
          <w:szCs w:val="22"/>
        </w:rPr>
        <w:t xml:space="preserve">組織文化之定義 ＋ 政府部門vs民間部門組織文化至少五項差異。</w:t>
      </w:r>
    </w:p>
    <w:p>
      <w:pPr>
        <w:spacing w:after="100" w:before="160"/>
      </w:pPr>
      <w:r>
        <w:rPr>
          <w:rFonts w:ascii="微軟正黑體" w:cs="微軟正黑體" w:eastAsia="微軟正黑體" w:hAnsi="微軟正黑體"/>
          <w:b/>
          <w:bCs/>
          <w:color w:val="444444"/>
          <w:sz w:val="21"/>
          <w:szCs w:val="21"/>
        </w:rPr>
        <w:t xml:space="preserve">【答題架構】</w:t>
      </w:r>
    </w:p>
    <w:p>
      <w:pPr>
        <w:pStyle w:val="ListParagraph"/>
        <w:numPr>
          <w:ilvl w:val="0"/>
          <w:numId w:val="2"/>
        </w:numPr>
        <w:spacing w:after="120" w:line="340"/>
      </w:pPr>
      <w:r>
        <w:rPr>
          <w:rFonts w:ascii="微軟正黑體" w:cs="微軟正黑體" w:eastAsia="微軟正黑體" w:hAnsi="微軟正黑體"/>
          <w:sz w:val="22"/>
          <w:szCs w:val="22"/>
        </w:rPr>
        <w:t xml:space="preserve">一、前言：為什麼公部門與私部門的「氣質」不一樣？</w:t>
      </w:r>
    </w:p>
    <w:p>
      <w:pPr>
        <w:pStyle w:val="ListParagraph"/>
        <w:numPr>
          <w:ilvl w:val="0"/>
          <w:numId w:val="2"/>
        </w:numPr>
        <w:spacing w:after="120" w:line="340"/>
      </w:pPr>
      <w:r>
        <w:rPr>
          <w:rFonts w:ascii="微軟正黑體" w:cs="微軟正黑體" w:eastAsia="微軟正黑體" w:hAnsi="微軟正黑體"/>
          <w:sz w:val="22"/>
          <w:szCs w:val="22"/>
        </w:rPr>
        <w:t xml:space="preserve">二、組織文化之定義</w:t>
      </w:r>
    </w:p>
    <w:p>
      <w:pPr>
        <w:pStyle w:val="ListParagraph"/>
        <w:numPr>
          <w:ilvl w:val="0"/>
          <w:numId w:val="2"/>
        </w:numPr>
        <w:spacing w:after="120" w:line="340"/>
      </w:pPr>
      <w:r>
        <w:rPr>
          <w:rFonts w:ascii="微軟正黑體" w:cs="微軟正黑體" w:eastAsia="微軟正黑體" w:hAnsi="微軟正黑體"/>
          <w:sz w:val="22"/>
          <w:szCs w:val="22"/>
        </w:rPr>
        <w:t xml:space="preserve">三、政府部門與民間部門組織文化之五項差異</w:t>
      </w:r>
    </w:p>
    <w:p>
      <w:pPr>
        <w:pStyle w:val="ListParagraph"/>
        <w:numPr>
          <w:ilvl w:val="0"/>
          <w:numId w:val="2"/>
        </w:numPr>
        <w:spacing w:after="120" w:line="340"/>
      </w:pPr>
      <w:r>
        <w:rPr>
          <w:rFonts w:ascii="微軟正黑體" w:cs="微軟正黑體" w:eastAsia="微軟正黑體" w:hAnsi="微軟正黑體"/>
          <w:sz w:val="22"/>
          <w:szCs w:val="22"/>
        </w:rPr>
        <w:t xml:space="preserve">四、結論</w:t>
      </w:r>
    </w:p>
    <w:p>
      <w:pPr>
        <w:spacing w:after="100" w:before="160"/>
      </w:pPr>
      <w:r>
        <w:rPr>
          <w:rFonts w:ascii="微軟正黑體" w:cs="微軟正黑體" w:eastAsia="微軟正黑體" w:hAnsi="微軟正黑體"/>
          <w:b/>
          <w:bCs/>
          <w:color w:val="444444"/>
          <w:sz w:val="21"/>
          <w:szCs w:val="21"/>
        </w:rPr>
        <w:t xml:space="preserve">【參考答案·標準版】（約1,300字）</w:t>
      </w:r>
    </w:p>
    <w:p>
      <w:pPr>
        <w:spacing w:after="200" w:line="360"/>
        <w:ind w:firstLine="431"/>
        <w:jc w:val="both"/>
      </w:pPr>
      <w:r>
        <w:rPr>
          <w:rFonts w:ascii="微軟正黑體" w:cs="微軟正黑體" w:eastAsia="微軟正黑體" w:hAnsi="微軟正黑體"/>
          <w:sz w:val="22"/>
          <w:szCs w:val="22"/>
        </w:rPr>
        <w:t xml:space="preserve">一、前言</w:t>
      </w:r>
    </w:p>
    <w:p>
      <w:pPr>
        <w:spacing w:after="200" w:line="360"/>
        <w:ind w:firstLine="431"/>
        <w:jc w:val="both"/>
      </w:pPr>
      <w:r>
        <w:rPr>
          <w:rFonts w:ascii="微軟正黑體" w:cs="微軟正黑體" w:eastAsia="微軟正黑體" w:hAnsi="微軟正黑體"/>
          <w:sz w:val="22"/>
          <w:szCs w:val="22"/>
        </w:rPr>
        <w:t xml:space="preserve">同樣是「組織」，為什麼公務機關與民間企業給人的感覺總是不太一樣？答案不在制度條文，而在組織文化——那套成員共享、卻往往說不清楚的價值、信念與基本假定，正是公私部門「氣質」差異的根源。</w:t>
      </w:r>
    </w:p>
    <w:p>
      <w:pPr>
        <w:spacing w:after="200" w:line="360"/>
        <w:ind w:firstLine="431"/>
        <w:jc w:val="both"/>
      </w:pPr>
      <w:r>
        <w:rPr>
          <w:rFonts w:ascii="微軟正黑體" w:cs="微軟正黑體" w:eastAsia="微軟正黑體" w:hAnsi="微軟正黑體"/>
          <w:sz w:val="22"/>
          <w:szCs w:val="22"/>
        </w:rPr>
        <w:t xml:space="preserve">二、組織文化之定義</w:t>
      </w:r>
    </w:p>
    <w:p>
      <w:pPr>
        <w:spacing w:after="200" w:line="360"/>
        <w:ind w:firstLine="431"/>
        <w:jc w:val="both"/>
      </w:pPr>
      <w:r>
        <w:rPr>
          <w:rFonts w:ascii="微軟正黑體" w:cs="微軟正黑體" w:eastAsia="微軟正黑體" w:hAnsi="微軟正黑體"/>
          <w:sz w:val="22"/>
          <w:szCs w:val="22"/>
        </w:rPr>
        <w:t xml:space="preserve">組織文化（Organizational Culture）是組織成員共享之一套價值、信念、假定、符號與行為模式，用以界定組織獨特之風格與認同，並作為成員認知、思考與行動之指南。依Schein之定義，組織文化係團體在解決外在適應與內在整合問題時所發明、發現或發展出的基本假定型態，若運作良好，便被視為有效而傳授給新成員，作為知覺、思考與感覺的正確方式；組織文化具共享性、層次性、習得性與穩定性三核心特徵。</w:t>
      </w:r>
    </w:p>
    <w:p>
      <w:pPr>
        <w:spacing w:after="200" w:line="360"/>
        <w:ind w:firstLine="431"/>
        <w:jc w:val="both"/>
      </w:pPr>
      <w:r>
        <w:rPr>
          <w:rFonts w:ascii="微軟正黑體" w:cs="微軟正黑體" w:eastAsia="微軟正黑體" w:hAnsi="微軟正黑體"/>
          <w:sz w:val="22"/>
          <w:szCs w:val="22"/>
        </w:rPr>
        <w:t xml:space="preserve">三、政府部門與民間部門組織文化之五項差異</w:t>
      </w:r>
    </w:p>
    <w:p>
      <w:pPr>
        <w:spacing w:after="200" w:line="360"/>
        <w:ind w:firstLine="431"/>
        <w:jc w:val="both"/>
      </w:pPr>
      <w:r>
        <w:rPr>
          <w:rFonts w:ascii="微軟正黑體" w:cs="微軟正黑體" w:eastAsia="微軟正黑體" w:hAnsi="微軟正黑體"/>
          <w:sz w:val="22"/>
          <w:szCs w:val="22"/>
        </w:rPr>
        <w:t xml:space="preserve">其一，價值取向差異，政府部門以公共利益、依法行政與公平正義為核心價值，民間部門則以利潤極大化、市場競爭力與股東權益為核心價值，兩者之組織目標本質不同；其二，績效衡量差異，政府部門之績效多元、模糊且難以量化（如民主回應、社會公平），民間部門之績效則相對單一、明確且可透過財務指標衡量（如營收、市占率）；其三，風險態度差異，政府部門深受「少做少錯」之風險規避基本假定影響，重視程序正確與依法行政，創新試錯空間有限；民間部門則較能容忍風險與失敗，強調快速試錯與市場反饋，創新誘因較強；其四，權力與決策結構差異，政府部門決策深受層級節制、法規拘束與政治監督影響，決策過程相對緩慢且須兼顧多元利害關係人；民間部門決策相對集中、靈活，能因應市場變化快速調整；其五，人事與激勵機制差異，政府部門之用人與晉升受公務人員法制拘束，重視年資與考試銓敘，薪給相對穩定但彈性較低；民間部門之用人與激勵則更貼近市場機制，績效薪給彈性大，惟工作保障相對較低。</w:t>
      </w:r>
    </w:p>
    <w:p>
      <w:pPr>
        <w:spacing w:after="200" w:line="360"/>
        <w:ind w:firstLine="431"/>
        <w:jc w:val="both"/>
      </w:pPr>
      <w:r>
        <w:rPr>
          <w:rFonts w:ascii="微軟正黑體" w:cs="微軟正黑體" w:eastAsia="微軟正黑體" w:hAnsi="微軟正黑體"/>
          <w:sz w:val="22"/>
          <w:szCs w:val="22"/>
        </w:rPr>
        <w:t xml:space="preserve">四、結論</w:t>
      </w:r>
    </w:p>
    <w:p>
      <w:pPr>
        <w:spacing w:after="200" w:line="360"/>
        <w:ind w:firstLine="431"/>
        <w:jc w:val="both"/>
      </w:pPr>
      <w:r>
        <w:rPr>
          <w:rFonts w:ascii="微軟正黑體" w:cs="微軟正黑體" w:eastAsia="微軟正黑體" w:hAnsi="微軟正黑體"/>
          <w:sz w:val="22"/>
          <w:szCs w:val="22"/>
        </w:rPr>
        <w:t xml:space="preserve">政府部門與民間部門組織文化之差異，本質上源於兩者所處之制度環境、課責對象與核心使命截然不同：政府部門須在依法行政、民主課責與公共利益之框架下運作，民間部門則須在市場競爭與股東課責之邏輯下運作。理解此一差異，有助於避免將私部門管理工具（如企業型政府之績效邏輯）不假思索地移植至公部門，而應審慎評估公共性價值與效率訴求之平衡。</w:t>
      </w:r>
    </w:p>
    <w:p>
      <w:pPr>
        <w:spacing w:after="100" w:before="160"/>
      </w:pPr>
      <w:r>
        <w:rPr>
          <w:rFonts w:ascii="微軟正黑體" w:cs="微軟正黑體" w:eastAsia="微軟正黑體" w:hAnsi="微軟正黑體"/>
          <w:b/>
          <w:bCs/>
          <w:color w:val="444444"/>
          <w:sz w:val="21"/>
          <w:szCs w:val="21"/>
        </w:rPr>
        <w:t xml:space="preserve">【得分關鍵】</w:t>
      </w:r>
    </w:p>
    <w:p>
      <w:pPr>
        <w:pStyle w:val="ListParagraph"/>
        <w:numPr>
          <w:ilvl w:val="0"/>
          <w:numId w:val="2"/>
        </w:numPr>
        <w:spacing w:after="120" w:line="340"/>
      </w:pPr>
      <w:r>
        <w:rPr>
          <w:rFonts w:ascii="微軟正黑體" w:cs="微軟正黑體" w:eastAsia="微軟正黑體" w:hAnsi="微軟正黑體"/>
          <w:sz w:val="22"/>
          <w:szCs w:val="22"/>
        </w:rPr>
        <w:t xml:space="preserve">須先完整定義組織文化，展現對Schein理論之掌握，再進入差異比較，不可省略定義直接列舉差異。</w:t>
      </w:r>
    </w:p>
    <w:p>
      <w:pPr>
        <w:pStyle w:val="ListParagraph"/>
        <w:numPr>
          <w:ilvl w:val="0"/>
          <w:numId w:val="2"/>
        </w:numPr>
        <w:spacing w:after="120" w:line="340"/>
      </w:pPr>
      <w:r>
        <w:rPr>
          <w:rFonts w:ascii="微軟正黑體" w:cs="微軟正黑體" w:eastAsia="微軟正黑體" w:hAnsi="微軟正黑體"/>
          <w:sz w:val="22"/>
          <w:szCs w:val="22"/>
        </w:rPr>
        <w:t xml:space="preserve">差異項目須至少五項，且每項均須具體說明而非僅列舉名詞，此為題目明確要求之作答字數與深度門檻。</w:t>
      </w:r>
    </w:p>
    <w:p>
      <w:pPr>
        <w:pStyle w:val="ListParagraph"/>
        <w:numPr>
          <w:ilvl w:val="0"/>
          <w:numId w:val="2"/>
        </w:numPr>
        <w:spacing w:after="120" w:line="340"/>
      </w:pPr>
      <w:r>
        <w:rPr>
          <w:rFonts w:ascii="微軟正黑體" w:cs="微軟正黑體" w:eastAsia="微軟正黑體" w:hAnsi="微軟正黑體"/>
          <w:sz w:val="22"/>
          <w:szCs w:val="22"/>
        </w:rPr>
        <w:t xml:space="preserve">五項差異宜涵蓋不同面向（價值、績效、風險、決策、人事），避免五項差異實質上重複同一主題。</w:t>
      </w:r>
    </w:p>
    <w:p>
      <w:pPr>
        <w:spacing w:after="100" w:before="160"/>
      </w:pPr>
      <w:r>
        <w:rPr>
          <w:rFonts w:ascii="微軟正黑體" w:cs="微軟正黑體" w:eastAsia="微軟正黑體" w:hAnsi="微軟正黑體"/>
          <w:b/>
          <w:bCs/>
          <w:color w:val="444444"/>
          <w:sz w:val="21"/>
          <w:szCs w:val="21"/>
        </w:rPr>
        <w:t xml:space="preserve">【常見失分】</w:t>
      </w:r>
    </w:p>
    <w:p>
      <w:pPr>
        <w:pStyle w:val="ListParagraph"/>
        <w:numPr>
          <w:ilvl w:val="0"/>
          <w:numId w:val="2"/>
        </w:numPr>
        <w:spacing w:after="120" w:line="340"/>
      </w:pPr>
      <w:r>
        <w:rPr>
          <w:rFonts w:ascii="微軟正黑體" w:cs="微軟正黑體" w:eastAsia="微軟正黑體" w:hAnsi="微軟正黑體"/>
          <w:sz w:val="22"/>
          <w:szCs w:val="22"/>
        </w:rPr>
        <w:t xml:space="preserve">❌ 未先定義組織文化，直接進入差異列舉，未能完整回應題目「何謂組織文化」之提問。</w:t>
      </w:r>
    </w:p>
    <w:p>
      <w:pPr>
        <w:pStyle w:val="ListParagraph"/>
        <w:numPr>
          <w:ilvl w:val="0"/>
          <w:numId w:val="2"/>
        </w:numPr>
        <w:spacing w:after="120" w:line="340"/>
      </w:pPr>
      <w:r>
        <w:rPr>
          <w:rFonts w:ascii="微軟正黑體" w:cs="微軟正黑體" w:eastAsia="微軟正黑體" w:hAnsi="微軟正黑體"/>
          <w:sz w:val="22"/>
          <w:szCs w:val="22"/>
        </w:rPr>
        <w:t xml:space="preserve">❌ 差異項目不足五項，或雖列出五項但部分項目實質重複（如將「風險規避」與「保守文化」列為兩項不同差異）。</w:t>
      </w:r>
    </w:p>
    <w:p>
      <w:pPr>
        <w:spacing w:after="100" w:before="160"/>
      </w:pPr>
      <w:r>
        <w:rPr>
          <w:rFonts w:ascii="微軟正黑體" w:cs="微軟正黑體" w:eastAsia="微軟正黑體" w:hAnsi="微軟正黑體"/>
          <w:b/>
          <w:bCs/>
          <w:color w:val="444444"/>
          <w:sz w:val="21"/>
          <w:szCs w:val="21"/>
        </w:rPr>
        <w:t xml:space="preserve">【高分加分點】</w:t>
      </w:r>
    </w:p>
    <w:p>
      <w:pPr>
        <w:pStyle w:val="ListParagraph"/>
        <w:numPr>
          <w:ilvl w:val="0"/>
          <w:numId w:val="2"/>
        </w:numPr>
        <w:spacing w:after="120" w:line="340"/>
      </w:pPr>
      <w:r>
        <w:rPr>
          <w:rFonts w:ascii="微軟正黑體" w:cs="微軟正黑體" w:eastAsia="微軟正黑體" w:hAnsi="微軟正黑體"/>
          <w:sz w:val="22"/>
          <w:szCs w:val="22"/>
        </w:rPr>
        <w:t xml:space="preserve">可補充Harrison取向模式或CVF競爭價值架構，說明政府部門多偏向角色取向文化╱層級文化，民間部門則依產業特性可能偏向工作取向文化╱理性市場文化或發展創新文化，深化理論層次之論述。</w:t>
      </w:r>
    </w:p>
    <w:p>
      <w:pPr>
        <w:pStyle w:val="ListParagraph"/>
        <w:numPr>
          <w:ilvl w:val="0"/>
          <w:numId w:val="2"/>
        </w:numPr>
        <w:spacing w:after="120" w:line="340"/>
      </w:pPr>
      <w:r>
        <w:rPr>
          <w:rFonts w:ascii="微軟正黑體" w:cs="微軟正黑體" w:eastAsia="微軟正黑體" w:hAnsi="微軟正黑體"/>
          <w:sz w:val="22"/>
          <w:szCs w:val="22"/>
        </w:rPr>
        <w:t xml:space="preserve">可補充Deal &amp; Kennedy風險回饋模型，說明政府部門傳統上偏向「強調過程文化」（低風險慢回饋），民間部門則依產業特性可能偏向「硬漢文化」或「辛勤工作盡情享受文化」，展現多元理論視角之整合。</w:t>
      </w:r>
    </w:p>
    <w:p>
      <w:pPr>
        <w:pStyle w:val="ListParagraph"/>
        <w:numPr>
          <w:ilvl w:val="0"/>
          <w:numId w:val="2"/>
        </w:numPr>
        <w:spacing w:after="120" w:line="340"/>
      </w:pPr>
      <w:r>
        <w:rPr>
          <w:rFonts w:ascii="微軟正黑體" w:cs="微軟正黑體" w:eastAsia="微軟正黑體" w:hAnsi="微軟正黑體"/>
          <w:sz w:val="22"/>
          <w:szCs w:val="22"/>
        </w:rPr>
        <w:t xml:space="preserve">可援引我國行政文化特性（高權力距離、集體主義關係取向、形式主義法規取向），具體說明我國公部門文化差異之歷史根源，增加論述之在地厚度。</w:t>
      </w:r>
    </w:p>
    <w:p>
      <w:pPr>
        <w:pStyle w:val="ListParagraph"/>
        <w:numPr>
          <w:ilvl w:val="0"/>
          <w:numId w:val="2"/>
        </w:numPr>
        <w:spacing w:after="120" w:line="340"/>
      </w:pPr>
      <w:r>
        <w:rPr>
          <w:rFonts w:ascii="微軟正黑體" w:cs="微軟正黑體" w:eastAsia="微軟正黑體" w:hAnsi="微軟正黑體"/>
          <w:sz w:val="22"/>
          <w:szCs w:val="22"/>
        </w:rPr>
        <w:t xml:space="preserve">可延伸說明，隨著企業型政府與新公共管理理念之引入，公私部門組織文化之差異有逐漸縮小之趨勢（如政府部門導入績效薪給、顧客導向服務理念），惟其核心之公共性價值仍難以完全等同於私部門之市場邏輯，此一發展趨勢可作結論前之補充論點。</w:t>
      </w:r>
    </w:p>
    <w:p>
      <w:pPr>
        <w:spacing w:after="220"/>
      </w:pPr>
    </w:p>
    <w:p>
      <w:pPr>
        <w:spacing w:after="180" w:before="360"/>
      </w:pPr>
      <w:r>
        <w:rPr>
          <w:rFonts w:ascii="微軟正黑體" w:cs="微軟正黑體" w:eastAsia="微軟正黑體" w:hAnsi="微軟正黑體"/>
          <w:b/>
          <w:bCs/>
          <w:color w:val="1F4E79"/>
          <w:sz w:val="26"/>
          <w:szCs w:val="26"/>
        </w:rPr>
        <w:t xml:space="preserve">題目三（C級綜合題·模擬命題）</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FFF3CD" w:sz="2"/>
              <w:left w:val="single" w:color="C9971A" w:sz="24"/>
              <w:bottom w:val="single" w:color="FFF3CD" w:sz="2"/>
              <w:right w:val="single" w:color="FFF3CD" w:sz="2"/>
            </w:tcBorders>
            <w:shd w:fill="FFF3CD" w:val="clear"/>
            <w:tcMar>
              <w:top w:type="dxa" w:w="160"/>
              <w:left w:type="dxa" w:w="220"/>
              <w:bottom w:type="dxa" w:w="160"/>
              <w:right w:type="dxa" w:w="220"/>
            </w:tcMar>
          </w:tcPr>
          <w:p>
            <w:pPr>
              <w:spacing w:after="100"/>
            </w:pPr>
            <w:r>
              <w:rPr>
                <w:rFonts w:ascii="微軟正黑體" w:cs="微軟正黑體" w:eastAsia="微軟正黑體" w:hAnsi="微軟正黑體"/>
                <w:b/>
                <w:bCs/>
                <w:color w:val="C9971A"/>
                <w:sz w:val="22"/>
                <w:szCs w:val="22"/>
              </w:rPr>
              <w:t xml:space="preserve">考題出處（重要說明）</w:t>
            </w:r>
          </w:p>
          <w:p>
            <w:pPr>
              <w:spacing w:line="340"/>
              <w:jc w:val="both"/>
            </w:pPr>
            <w:r>
              <w:rPr>
                <w:rFonts w:ascii="微軟正黑體" w:cs="微軟正黑體" w:eastAsia="微軟正黑體" w:hAnsi="微軟正黑體"/>
                <w:sz w:val="21"/>
                <w:szCs w:val="21"/>
              </w:rPr>
              <w:t xml:space="preserve">本題並非歷屆試題，而是依本章第四節母體教材「AI鑲嵌下的組織文化：人機共融、AI倫理與虛擬組織文化」及案例思考「防弊遇上試錯：雙軌文化拉扯」自行設計之模擬命題。本語料庫（107-111年）中，本章尚未查得與AI倫理文化、雙軌文化直接對應之申論真題，爰以模擬題形式呈現，並於此明確標示，避免與真實歷屆試題混淆。</w:t>
            </w:r>
          </w:p>
        </w:tc>
      </w:tr>
    </w:tbl>
    <w:p>
      <w:pPr>
        <w:spacing w:after="120"/>
      </w:pPr>
    </w:p>
    <w:p>
      <w:pPr>
        <w:spacing w:after="200" w:line="360"/>
        <w:ind w:firstLine="431"/>
        <w:jc w:val="both"/>
      </w:pPr>
      <w:r>
        <w:rPr>
          <w:rFonts w:ascii="微軟正黑體" w:cs="微軟正黑體" w:eastAsia="微軟正黑體" w:hAnsi="微軟正黑體"/>
          <w:sz w:val="22"/>
          <w:szCs w:val="22"/>
        </w:rPr>
        <w:t xml:space="preserve">「某機關發布『生成式AI使用參考指引』，明訂機敏資料不得輸入AI工具，惟未提供替代性之合法試用管道。半年後發現部分同仁『表面遵守指引、私下另尋管道』使用AI處理公務。請說明此一『雙軌文化』現象形成之原因，並運用Schein三層次文化模式與『四鏈七審』框架，設計一套化解雙軌文化之治理機制。（25分）」</w:t>
      </w:r>
    </w:p>
    <w:p>
      <w:pPr>
        <w:spacing w:after="100" w:before="160"/>
      </w:pPr>
      <w:r>
        <w:rPr>
          <w:rFonts w:ascii="微軟正黑體" w:cs="微軟正黑體" w:eastAsia="微軟正黑體" w:hAnsi="微軟正黑體"/>
          <w:b/>
          <w:bCs/>
          <w:color w:val="444444"/>
          <w:sz w:val="21"/>
          <w:szCs w:val="21"/>
        </w:rPr>
        <w:t xml:space="preserve">【題型判斷】</w:t>
      </w:r>
    </w:p>
    <w:p>
      <w:pPr>
        <w:spacing w:after="200" w:line="360"/>
        <w:ind w:firstLine="431"/>
        <w:jc w:val="both"/>
      </w:pPr>
      <w:r>
        <w:rPr>
          <w:rFonts w:ascii="微軟正黑體" w:cs="微軟正黑體" w:eastAsia="微軟正黑體" w:hAnsi="微軟正黑體"/>
          <w:sz w:val="22"/>
          <w:szCs w:val="22"/>
        </w:rPr>
        <w:t xml:space="preserve">這是一題「現象診斷＋理論應用＋制度設計綜合題」，考生須依序完成：說明雙軌文化形成之原因、運用Schein三層次文化模式分析問題根源、運用四鏈七審框架診斷治理斷裂點並設計化解機制——若僅提出「加強宣導」「嚴格稽查」等與雙軌文化成因脫節之建議，屬論述深度不足。</w:t>
      </w:r>
    </w:p>
    <w:p>
      <w:pPr>
        <w:spacing w:after="100" w:before="160"/>
      </w:pPr>
      <w:r>
        <w:rPr>
          <w:rFonts w:ascii="微軟正黑體" w:cs="微軟正黑體" w:eastAsia="微軟正黑體" w:hAnsi="微軟正黑體"/>
          <w:b/>
          <w:bCs/>
          <w:color w:val="444444"/>
          <w:sz w:val="21"/>
          <w:szCs w:val="21"/>
        </w:rPr>
        <w:t xml:space="preserve">【關鍵字】</w:t>
      </w:r>
    </w:p>
    <w:p>
      <w:pPr>
        <w:spacing w:after="200" w:line="360"/>
        <w:ind w:firstLine="431"/>
        <w:jc w:val="both"/>
      </w:pPr>
      <w:r>
        <w:rPr>
          <w:rFonts w:ascii="微軟正黑體" w:cs="微軟正黑體" w:eastAsia="微軟正黑體" w:hAnsi="微軟正黑體"/>
          <w:sz w:val="22"/>
          <w:szCs w:val="22"/>
        </w:rPr>
        <w:t xml:space="preserve">雙軌文化成因 ＋ Schein三層次文化模式 ＋ 四鏈七審治理機制設計。</w:t>
      </w:r>
    </w:p>
    <w:p>
      <w:pPr>
        <w:spacing w:after="100" w:before="160"/>
      </w:pPr>
      <w:r>
        <w:rPr>
          <w:rFonts w:ascii="微軟正黑體" w:cs="微軟正黑體" w:eastAsia="微軟正黑體" w:hAnsi="微軟正黑體"/>
          <w:b/>
          <w:bCs/>
          <w:color w:val="444444"/>
          <w:sz w:val="21"/>
          <w:szCs w:val="21"/>
        </w:rPr>
        <w:t xml:space="preserve">【答題架構】</w:t>
      </w:r>
    </w:p>
    <w:p>
      <w:pPr>
        <w:pStyle w:val="ListParagraph"/>
        <w:numPr>
          <w:ilvl w:val="0"/>
          <w:numId w:val="2"/>
        </w:numPr>
        <w:spacing w:after="120" w:line="340"/>
      </w:pPr>
      <w:r>
        <w:rPr>
          <w:rFonts w:ascii="微軟正黑體" w:cs="微軟正黑體" w:eastAsia="微軟正黑體" w:hAnsi="微軟正黑體"/>
          <w:sz w:val="22"/>
          <w:szCs w:val="22"/>
        </w:rPr>
        <w:t xml:space="preserve">一、前言：為什麼規定寫得再清楚，還是有人偷偷用？</w:t>
      </w:r>
    </w:p>
    <w:p>
      <w:pPr>
        <w:pStyle w:val="ListParagraph"/>
        <w:numPr>
          <w:ilvl w:val="0"/>
          <w:numId w:val="2"/>
        </w:numPr>
        <w:spacing w:after="120" w:line="340"/>
      </w:pPr>
      <w:r>
        <w:rPr>
          <w:rFonts w:ascii="微軟正黑體" w:cs="微軟正黑體" w:eastAsia="微軟正黑體" w:hAnsi="微軟正黑體"/>
          <w:sz w:val="22"/>
          <w:szCs w:val="22"/>
        </w:rPr>
        <w:t xml:space="preserve">二、雙軌文化形成之原因</w:t>
      </w:r>
    </w:p>
    <w:p>
      <w:pPr>
        <w:pStyle w:val="ListParagraph"/>
        <w:numPr>
          <w:ilvl w:val="0"/>
          <w:numId w:val="2"/>
        </w:numPr>
        <w:spacing w:after="120" w:line="340"/>
      </w:pPr>
      <w:r>
        <w:rPr>
          <w:rFonts w:ascii="微軟正黑體" w:cs="微軟正黑體" w:eastAsia="微軟正黑體" w:hAnsi="微軟正黑體"/>
          <w:sz w:val="22"/>
          <w:szCs w:val="22"/>
        </w:rPr>
        <w:t xml:space="preserve">三、以Schein三層次文化模式分析問題根源</w:t>
      </w:r>
    </w:p>
    <w:p>
      <w:pPr>
        <w:pStyle w:val="ListParagraph"/>
        <w:numPr>
          <w:ilvl w:val="0"/>
          <w:numId w:val="2"/>
        </w:numPr>
        <w:spacing w:after="120" w:line="340"/>
      </w:pPr>
      <w:r>
        <w:rPr>
          <w:rFonts w:ascii="微軟正黑體" w:cs="微軟正黑體" w:eastAsia="微軟正黑體" w:hAnsi="微軟正黑體"/>
          <w:sz w:val="22"/>
          <w:szCs w:val="22"/>
        </w:rPr>
        <w:t xml:space="preserve">四、以四鏈七審框架設計化解機制</w:t>
      </w:r>
    </w:p>
    <w:p>
      <w:pPr>
        <w:pStyle w:val="ListParagraph"/>
        <w:numPr>
          <w:ilvl w:val="0"/>
          <w:numId w:val="2"/>
        </w:numPr>
        <w:spacing w:after="120" w:line="340"/>
      </w:pPr>
      <w:r>
        <w:rPr>
          <w:rFonts w:ascii="微軟正黑體" w:cs="微軟正黑體" w:eastAsia="微軟正黑體" w:hAnsi="微軟正黑體"/>
          <w:sz w:val="22"/>
          <w:szCs w:val="22"/>
        </w:rPr>
        <w:t xml:space="preserve">五、結論</w:t>
      </w:r>
    </w:p>
    <w:p>
      <w:pPr>
        <w:spacing w:after="100" w:before="160"/>
      </w:pPr>
      <w:r>
        <w:rPr>
          <w:rFonts w:ascii="微軟正黑體" w:cs="微軟正黑體" w:eastAsia="微軟正黑體" w:hAnsi="微軟正黑體"/>
          <w:b/>
          <w:bCs/>
          <w:color w:val="444444"/>
          <w:sz w:val="21"/>
          <w:szCs w:val="21"/>
        </w:rPr>
        <w:t xml:space="preserve">【參考答案·標準版】（約1,300字）</w:t>
      </w:r>
    </w:p>
    <w:p>
      <w:pPr>
        <w:spacing w:after="200" w:line="360"/>
        <w:ind w:firstLine="431"/>
        <w:jc w:val="both"/>
      </w:pPr>
      <w:r>
        <w:rPr>
          <w:rFonts w:ascii="微軟正黑體" w:cs="微軟正黑體" w:eastAsia="微軟正黑體" w:hAnsi="微軟正黑體"/>
          <w:sz w:val="22"/>
          <w:szCs w:val="22"/>
        </w:rPr>
        <w:t xml:space="preserve">一、前言</w:t>
      </w:r>
    </w:p>
    <w:p>
      <w:pPr>
        <w:spacing w:after="200" w:line="360"/>
        <w:ind w:firstLine="431"/>
        <w:jc w:val="both"/>
      </w:pPr>
      <w:r>
        <w:rPr>
          <w:rFonts w:ascii="微軟正黑體" w:cs="微軟正黑體" w:eastAsia="微軟正黑體" w:hAnsi="微軟正黑體"/>
          <w:sz w:val="22"/>
          <w:szCs w:val="22"/>
        </w:rPr>
        <w:t xml:space="preserve">當一份AI使用指引只告訴同仁「不能做什麼」，卻沒告訴他們「可以怎麼做」，規定與現實之間的落差，終究會被基層用自己的方式填補——這正是雙軌文化最典型的形成劇本。</w:t>
      </w:r>
    </w:p>
    <w:p>
      <w:pPr>
        <w:spacing w:after="200" w:line="360"/>
        <w:ind w:firstLine="431"/>
        <w:jc w:val="both"/>
      </w:pPr>
      <w:r>
        <w:rPr>
          <w:rFonts w:ascii="微軟正黑體" w:cs="微軟正黑體" w:eastAsia="微軟正黑體" w:hAnsi="微軟正黑體"/>
          <w:sz w:val="22"/>
          <w:szCs w:val="22"/>
        </w:rPr>
        <w:t xml:space="preserve">二、雙軌文化形成之原因</w:t>
      </w:r>
    </w:p>
    <w:p>
      <w:pPr>
        <w:spacing w:after="200" w:line="360"/>
        <w:ind w:firstLine="431"/>
        <w:jc w:val="both"/>
      </w:pPr>
      <w:r>
        <w:rPr>
          <w:rFonts w:ascii="微軟正黑體" w:cs="微軟正黑體" w:eastAsia="微軟正黑體" w:hAnsi="微軟正黑體"/>
          <w:sz w:val="22"/>
          <w:szCs w:val="22"/>
        </w:rPr>
        <w:t xml:space="preserve">雙軌文化（Dual-track Culture）指當AI治理僅以禁令方式推行而未搭配賦能框架時，易生表面合規與私下使用並存之現象。其形成原因有三：其一，規範與需求之落差，禁令僅規範「不得輸入機敏資料」，卻未提供合法且便利之替代管道，使基層人員面對效率誘因與規範限制之落差時，傾向選擇變通而非完全遵循；其二，誠實成本過高，若誠實回報AI使用困境或錯誤經驗之同仁反遭究責，將產生寒蟬效應，使真正的問題持續隱匿於檯面下；其三，監督機制失焦，機關對AI實際使用狀況缺乏有效掌握管道，禁令本身反而成為「不問不查」之心理防線，使雙軌文化得以在監督死角中滋長。</w:t>
      </w:r>
    </w:p>
    <w:p>
      <w:pPr>
        <w:spacing w:after="200" w:line="360"/>
        <w:ind w:firstLine="431"/>
        <w:jc w:val="both"/>
      </w:pPr>
      <w:r>
        <w:rPr>
          <w:rFonts w:ascii="微軟正黑體" w:cs="微軟正黑體" w:eastAsia="微軟正黑體" w:hAnsi="微軟正黑體"/>
          <w:sz w:val="22"/>
          <w:szCs w:val="22"/>
        </w:rPr>
        <w:t xml:space="preserve">三、以Schein三層次文化模式分析問題根源</w:t>
      </w:r>
    </w:p>
    <w:p>
      <w:pPr>
        <w:spacing w:after="200" w:line="360"/>
        <w:ind w:firstLine="431"/>
        <w:jc w:val="both"/>
      </w:pPr>
      <w:r>
        <w:rPr>
          <w:rFonts w:ascii="微軟正黑體" w:cs="微軟正黑體" w:eastAsia="微軟正黑體" w:hAnsi="微軟正黑體"/>
          <w:sz w:val="22"/>
          <w:szCs w:val="22"/>
        </w:rPr>
        <w:t xml:space="preserve">以Schein三層次文化模式分析，雙軌文化之根源在於三層次之斷裂：其一，器物層，機關雖已發布書面指引（器物層之更新），惟指引本身僅止於文件存在，未轉化為實際可用之工具或流程；其二，價值層，機關宣稱重視資安與AI倫理（價值層之宣示），惟此一宣示與「提升效率」之實際工作壓力產生衝突，形成宣稱價值與實際行為之落差；其三，基本假定層，真正決定同仁行為的，是「多一事不如少一事」「先求不出事」之傳統風險規避基本假定，此一深層假定未被指引觸及，縱使器物與價值層面已更新，行為仍未改變，此即雙軌文化之根本成因。</w:t>
      </w:r>
    </w:p>
    <w:p>
      <w:pPr>
        <w:spacing w:after="200" w:line="360"/>
        <w:ind w:firstLine="431"/>
        <w:jc w:val="both"/>
      </w:pPr>
      <w:r>
        <w:rPr>
          <w:rFonts w:ascii="微軟正黑體" w:cs="微軟正黑體" w:eastAsia="微軟正黑體" w:hAnsi="微軟正黑體"/>
          <w:sz w:val="22"/>
          <w:szCs w:val="22"/>
        </w:rPr>
        <w:t xml:space="preserve">四、以四鏈七審框架設計化解機制</w:t>
      </w:r>
    </w:p>
    <w:p>
      <w:pPr>
        <w:spacing w:after="200" w:line="360"/>
        <w:ind w:firstLine="431"/>
        <w:jc w:val="both"/>
      </w:pPr>
      <w:r>
        <w:rPr>
          <w:rFonts w:ascii="微軟正黑體" w:cs="微軟正黑體" w:eastAsia="微軟正黑體" w:hAnsi="微軟正黑體"/>
          <w:sz w:val="22"/>
          <w:szCs w:val="22"/>
        </w:rPr>
        <w:t xml:space="preserve">以四鏈七審框架逐一設計化解機制：其一，情境建構鏈，機關應主動調查基層實際之AI使用需求與困境，重新界定「何謂可接受之AI使用情境」，而非僅由上層單方面訂定禁令，對應資料代表性審計與組織能力審計；其二，權威鏈，應建立官方認證之低風險AI試用沙盒，使合法使用管道具備明確之權威地位，取代私下摸索之潛規則，對應組織能力審計與責任歸屬審計；其三，理由鏈，指引應清楚說明「為何機敏資料不得輸入」之具體理由與風險情境，而非僅止於條文式禁令，並建立同仁可申訴或詢問之管道，對應理由說明審計與裁量邊界審計；其四，責任鏈，應明訂「誠實回報AI使用問題不予究責」之心理安全條款，將責任歸屬之重點從「個人是否違規」轉為「機制是否提供充分之合法管道」，對應責任歸屬審計與民主課責審計。</w:t>
      </w:r>
    </w:p>
    <w:p>
      <w:pPr>
        <w:spacing w:after="200" w:line="360"/>
        <w:ind w:firstLine="431"/>
        <w:jc w:val="both"/>
      </w:pPr>
      <w:r>
        <w:rPr>
          <w:rFonts w:ascii="微軟正黑體" w:cs="微軟正黑體" w:eastAsia="微軟正黑體" w:hAnsi="微軟正黑體"/>
          <w:sz w:val="22"/>
          <w:szCs w:val="22"/>
        </w:rPr>
        <w:t xml:space="preserve">五、結論</w:t>
      </w:r>
    </w:p>
    <w:p>
      <w:pPr>
        <w:spacing w:after="200" w:line="360"/>
        <w:ind w:firstLine="431"/>
        <w:jc w:val="both"/>
      </w:pPr>
      <w:r>
        <w:rPr>
          <w:rFonts w:ascii="微軟正黑體" w:cs="微軟正黑體" w:eastAsia="微軟正黑體" w:hAnsi="微軟正黑體"/>
          <w:sz w:val="22"/>
          <w:szCs w:val="22"/>
        </w:rPr>
        <w:t xml:space="preserve">雙軌文化的化解，不在於把禁令寫得更嚴厲，而在於讓「說真話」比「裝作沒發生」更划算——透過Schein三層次文化模式診斷出問題根源在於基本假定層次之風險規避心態未被觸及，並以四鏈七審框架系統性設計涵蓋情境建構、權威、理由、責任四個環節之治理機制，方能將AI治理從紙上的禁令，真正轉化為組織內化之倫理文化。</w:t>
      </w:r>
    </w:p>
    <w:p>
      <w:pPr>
        <w:spacing w:after="100" w:before="160"/>
      </w:pPr>
      <w:r>
        <w:rPr>
          <w:rFonts w:ascii="微軟正黑體" w:cs="微軟正黑體" w:eastAsia="微軟正黑體" w:hAnsi="微軟正黑體"/>
          <w:b/>
          <w:bCs/>
          <w:color w:val="444444"/>
          <w:sz w:val="21"/>
          <w:szCs w:val="21"/>
        </w:rPr>
        <w:t xml:space="preserve">【得分關鍵】</w:t>
      </w:r>
    </w:p>
    <w:p>
      <w:pPr>
        <w:pStyle w:val="ListParagraph"/>
        <w:numPr>
          <w:ilvl w:val="0"/>
          <w:numId w:val="2"/>
        </w:numPr>
        <w:spacing w:after="120" w:line="340"/>
      </w:pPr>
      <w:r>
        <w:rPr>
          <w:rFonts w:ascii="微軟正黑體" w:cs="微軟正黑體" w:eastAsia="微軟正黑體" w:hAnsi="微軟正黑體"/>
          <w:sz w:val="22"/>
          <w:szCs w:val="22"/>
        </w:rPr>
        <w:t xml:space="preserve">雙軌文化形成原因須具體分析，不可僅泛稱「大家都會想辦法偷用」，須扣緊規範需求落差、誠實成本過高、監督機制失焦三個層次說明。</w:t>
      </w:r>
    </w:p>
    <w:p>
      <w:pPr>
        <w:pStyle w:val="ListParagraph"/>
        <w:numPr>
          <w:ilvl w:val="0"/>
          <w:numId w:val="2"/>
        </w:numPr>
        <w:spacing w:after="120" w:line="340"/>
      </w:pPr>
      <w:r>
        <w:rPr>
          <w:rFonts w:ascii="微軟正黑體" w:cs="微軟正黑體" w:eastAsia="微軟正黑體" w:hAnsi="微軟正黑體"/>
          <w:sz w:val="22"/>
          <w:szCs w:val="22"/>
        </w:rPr>
        <w:t xml:space="preserve">須運用Schein三層次文化模式，指出問題根源在於基本假定層次未被觸及，此為本題最核心之診斷，不可僅停留於器物或價值層次之描述。</w:t>
      </w:r>
    </w:p>
    <w:p>
      <w:pPr>
        <w:pStyle w:val="ListParagraph"/>
        <w:numPr>
          <w:ilvl w:val="0"/>
          <w:numId w:val="2"/>
        </w:numPr>
        <w:spacing w:after="120" w:line="340"/>
      </w:pPr>
      <w:r>
        <w:rPr>
          <w:rFonts w:ascii="微軟正黑體" w:cs="微軟正黑體" w:eastAsia="微軟正黑體" w:hAnsi="微軟正黑體"/>
          <w:sz w:val="22"/>
          <w:szCs w:val="22"/>
        </w:rPr>
        <w:t xml:space="preserve">四鏈七審之治理機制設計須具體可行且逐一對應四鏈，不可僅列出框架名稱而無具體設計內容。</w:t>
      </w:r>
    </w:p>
    <w:p>
      <w:pPr>
        <w:spacing w:after="100" w:before="160"/>
      </w:pPr>
      <w:r>
        <w:rPr>
          <w:rFonts w:ascii="微軟正黑體" w:cs="微軟正黑體" w:eastAsia="微軟正黑體" w:hAnsi="微軟正黑體"/>
          <w:b/>
          <w:bCs/>
          <w:color w:val="444444"/>
          <w:sz w:val="21"/>
          <w:szCs w:val="21"/>
        </w:rPr>
        <w:t xml:space="preserve">【常見失分】</w:t>
      </w:r>
    </w:p>
    <w:p>
      <w:pPr>
        <w:pStyle w:val="ListParagraph"/>
        <w:numPr>
          <w:ilvl w:val="0"/>
          <w:numId w:val="2"/>
        </w:numPr>
        <w:spacing w:after="120" w:line="340"/>
      </w:pPr>
      <w:r>
        <w:rPr>
          <w:rFonts w:ascii="微軟正黑體" w:cs="微軟正黑體" w:eastAsia="微軟正黑體" w:hAnsi="微軟正黑體"/>
          <w:sz w:val="22"/>
          <w:szCs w:val="22"/>
        </w:rPr>
        <w:t xml:space="preserve">❌ 雙軌文化成因分析流於表面，僅稱「員工不聽話」，未能扣緊規範與需求落差、誠實成本、監督機制等結構性原因。</w:t>
      </w:r>
    </w:p>
    <w:p>
      <w:pPr>
        <w:pStyle w:val="ListParagraph"/>
        <w:numPr>
          <w:ilvl w:val="0"/>
          <w:numId w:val="2"/>
        </w:numPr>
        <w:spacing w:after="120" w:line="340"/>
      </w:pPr>
      <w:r>
        <w:rPr>
          <w:rFonts w:ascii="微軟正黑體" w:cs="微軟正黑體" w:eastAsia="微軟正黑體" w:hAnsi="微軟正黑體"/>
          <w:sz w:val="22"/>
          <w:szCs w:val="22"/>
        </w:rPr>
        <w:t xml:space="preserve">❌ 未運用Schein三層次文化模式，或運用時未能指出「基本假定層次未被觸及」此一核心診斷。</w:t>
      </w:r>
    </w:p>
    <w:p>
      <w:pPr>
        <w:pStyle w:val="ListParagraph"/>
        <w:numPr>
          <w:ilvl w:val="0"/>
          <w:numId w:val="2"/>
        </w:numPr>
        <w:spacing w:after="120" w:line="340"/>
      </w:pPr>
      <w:r>
        <w:rPr>
          <w:rFonts w:ascii="微軟正黑體" w:cs="微軟正黑體" w:eastAsia="微軟正黑體" w:hAnsi="微軟正黑體"/>
          <w:sz w:val="22"/>
          <w:szCs w:val="22"/>
        </w:rPr>
        <w:t xml:space="preserve">❌ 治理機制設計空泛，未具體對應四鏈七審框架，或建議內容與雙軌文化成因脫節（如僅建議「加強稽查」而未提供合法試用管道）。</w:t>
      </w:r>
    </w:p>
    <w:p>
      <w:pPr>
        <w:spacing w:after="100" w:before="160"/>
      </w:pPr>
      <w:r>
        <w:rPr>
          <w:rFonts w:ascii="微軟正黑體" w:cs="微軟正黑體" w:eastAsia="微軟正黑體" w:hAnsi="微軟正黑體"/>
          <w:b/>
          <w:bCs/>
          <w:color w:val="444444"/>
          <w:sz w:val="21"/>
          <w:szCs w:val="21"/>
        </w:rPr>
        <w:t xml:space="preserve">【高分加分點】</w:t>
      </w:r>
    </w:p>
    <w:p>
      <w:pPr>
        <w:pStyle w:val="ListParagraph"/>
        <w:numPr>
          <w:ilvl w:val="0"/>
          <w:numId w:val="2"/>
        </w:numPr>
        <w:spacing w:after="120" w:line="340"/>
      </w:pPr>
      <w:r>
        <w:rPr>
          <w:rFonts w:ascii="微軟正黑體" w:cs="微軟正黑體" w:eastAsia="微軟正黑體" w:hAnsi="微軟正黑體"/>
          <w:sz w:val="22"/>
          <w:szCs w:val="22"/>
        </w:rPr>
        <w:t xml:space="preserve">可具體援引行政院公共數位創新空間（PDIS）「開放協作試錯」之實務案例，說明「錯誤是學習材料而非究責證據」之文化如何具體支撐心理安全感之建立，佐證機制設計之可行性。</w:t>
      </w:r>
    </w:p>
    <w:p>
      <w:pPr>
        <w:pStyle w:val="ListParagraph"/>
        <w:numPr>
          <w:ilvl w:val="0"/>
          <w:numId w:val="2"/>
        </w:numPr>
        <w:spacing w:after="120" w:line="340"/>
      </w:pPr>
      <w:r>
        <w:rPr>
          <w:rFonts w:ascii="微軟正黑體" w:cs="微軟正黑體" w:eastAsia="微軟正黑體" w:hAnsi="微軟正黑體"/>
          <w:sz w:val="22"/>
          <w:szCs w:val="22"/>
        </w:rPr>
        <w:t xml:space="preserve">可補充三種權力移轉視角，說明雙軌文化之地下形塑者（自行摸索私下使用管道之基層人員）未必是任何具正式課責之人，此一公權力影響力擴散現象，深化論述之理論層次。</w:t>
      </w:r>
    </w:p>
    <w:p>
      <w:pPr>
        <w:pStyle w:val="ListParagraph"/>
        <w:numPr>
          <w:ilvl w:val="0"/>
          <w:numId w:val="2"/>
        </w:numPr>
        <w:spacing w:after="120" w:line="340"/>
      </w:pPr>
      <w:r>
        <w:rPr>
          <w:rFonts w:ascii="微軟正黑體" w:cs="微軟正黑體" w:eastAsia="微軟正黑體" w:hAnsi="微軟正黑體"/>
          <w:sz w:val="22"/>
          <w:szCs w:val="22"/>
        </w:rPr>
        <w:t xml:space="preserve">可補充Lewin解凍—變遷—再凍結模型，說明化解雙軌文化之過程本質上即為一次文化變革工程，須搭配符號象徵策略（如首長公開使用AI試用沙盒）與結構制度策略（如將誠實回報納入考績正面評價）雙軌並行。</w:t>
      </w:r>
    </w:p>
    <w:p>
      <w:pPr>
        <w:pStyle w:val="ListParagraph"/>
        <w:numPr>
          <w:ilvl w:val="0"/>
          <w:numId w:val="2"/>
        </w:numPr>
        <w:spacing w:after="120" w:line="340"/>
      </w:pPr>
      <w:r>
        <w:rPr>
          <w:rFonts w:ascii="微軟正黑體" w:cs="微軟正黑體" w:eastAsia="微軟正黑體" w:hAnsi="微軟正黑體"/>
          <w:sz w:val="22"/>
          <w:szCs w:val="22"/>
        </w:rPr>
        <w:t xml:space="preserve">可補充主權AI與文化主權之概念，說明沙盒試用工具之選擇若完全依賴境外模型，亦須一併考量在地語境與價值自主之風險，展現跨節整合之論述廣度。</w:t>
      </w:r>
    </w:p>
    <w:p>
      <w:pPr>
        <w:spacing w:after="300"/>
      </w:pPr>
    </w:p>
    <w:p>
      <w:pPr>
        <w:spacing w:after="200" w:before="400"/>
      </w:pPr>
      <w:r>
        <w:rPr>
          <w:rFonts w:ascii="微軟正黑體" w:cs="微軟正黑體" w:eastAsia="微軟正黑體" w:hAnsi="微軟正黑體"/>
          <w:b/>
          <w:bCs/>
          <w:sz w:val="32"/>
          <w:szCs w:val="32"/>
        </w:rPr>
        <w:t xml:space="preserve">【歷屆試題】</w:t>
      </w:r>
    </w:p>
    <w:p>
      <w:pPr>
        <w:spacing w:after="200" w:line="360"/>
        <w:ind w:firstLine="431"/>
        <w:jc w:val="both"/>
      </w:pPr>
      <w:r>
        <w:rPr>
          <w:rFonts w:ascii="微軟正黑體" w:cs="微軟正黑體" w:eastAsia="微軟正黑體" w:hAnsi="微軟正黑體"/>
          <w:sz w:val="22"/>
          <w:szCs w:val="22"/>
        </w:rPr>
        <w:t xml:space="preserve">本章語料庫原涵蓋107-111年5個年度之考選部官方公告試題（行政學╱行政學概要科目），經逐題比對，查得2題與本章「組織文化」相關之申論真題，其中1題經查證屬一般行政類科，已於本章【申論解題】完整解析（111年-地三）；惟2026年9月新查得112-115年考選部公告試題後，另查得1題完全對應之真題，已改列為題目一完整解題，取代原參考108年-外交真題核心理論架構另行設計之模擬命題。</w:t>
      </w:r>
    </w:p>
    <w:p>
      <w:pPr>
        <w:spacing w:after="12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400"/>
        <w:gridCol w:w="1300"/>
        <w:gridCol w:w="900"/>
        <w:gridCol w:w="2726"/>
        <w:gridCol w:w="1700"/>
      </w:tblGrid>
      <w:tr>
        <w:trPr>
          <w:tblHeader/>
        </w:trPr>
        <w:tc>
          <w:tcPr>
            <w:tcW w:type="dxa" w:w="24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年度／考試</w:t>
            </w:r>
          </w:p>
        </w:tc>
        <w:tc>
          <w:tcPr>
            <w:tcW w:type="dxa" w:w="13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類科</w:t>
            </w:r>
          </w:p>
        </w:tc>
        <w:tc>
          <w:tcPr>
            <w:tcW w:type="dxa" w:w="9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難度</w:t>
            </w:r>
          </w:p>
        </w:tc>
        <w:tc>
          <w:tcPr>
            <w:tcW w:type="dxa" w:w="2726"/>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考點</w:t>
            </w:r>
          </w:p>
        </w:tc>
        <w:tc>
          <w:tcPr>
            <w:tcW w:type="dxa" w:w="17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查證狀態</w:t>
            </w:r>
          </w:p>
        </w:tc>
      </w:tr>
      <w:tr>
        <w:tc>
          <w:tcPr>
            <w:tcW w:type="dxa" w:w="24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2"/>
                <w:szCs w:val="12"/>
              </w:rPr>
              <w:t xml:space="preserve">108年-外交</w:t>
            </w:r>
          </w:p>
        </w:tc>
        <w:tc>
          <w:tcPr>
            <w:tcW w:type="dxa" w:w="13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2"/>
                <w:szCs w:val="12"/>
              </w:rPr>
              <w:t xml:space="preserve">非一般行政類科</w:t>
            </w:r>
          </w:p>
        </w:tc>
        <w:tc>
          <w:tcPr>
            <w:tcW w:type="dxa" w:w="9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2"/>
                <w:szCs w:val="12"/>
              </w:rPr>
              <w:t xml:space="preserve">A</w:t>
            </w:r>
          </w:p>
        </w:tc>
        <w:tc>
          <w:tcPr>
            <w:tcW w:type="dxa" w:w="2726"/>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2"/>
                <w:szCs w:val="12"/>
              </w:rPr>
              <w:t xml:space="preserve">政府機關重塑積極主動組織文化之變革層面與作為</w:t>
            </w:r>
          </w:p>
        </w:tc>
        <w:tc>
          <w:tcPr>
            <w:tcW w:type="dxa" w:w="17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2"/>
                <w:szCs w:val="12"/>
              </w:rPr>
              <w:t xml:space="preserve">⚠️經查證非屬一般行政類科，不列入完整解析，本章題目一已改列114年真題，本題已不再作為模擬命題之參考架構來源</w:t>
            </w:r>
          </w:p>
        </w:tc>
      </w:tr>
      <w:tr>
        <w:tc>
          <w:tcPr>
            <w:tcW w:type="dxa" w:w="24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2"/>
                <w:szCs w:val="12"/>
              </w:rPr>
              <w:t xml:space="preserve">114年公務人員高等考試三級考試</w:t>
            </w:r>
          </w:p>
        </w:tc>
        <w:tc>
          <w:tcPr>
            <w:tcW w:type="dxa" w:w="13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2"/>
                <w:szCs w:val="12"/>
              </w:rPr>
              <w:t xml:space="preserve">一般行政等</w:t>
            </w:r>
          </w:p>
        </w:tc>
        <w:tc>
          <w:tcPr>
            <w:tcW w:type="dxa" w:w="9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2"/>
                <w:szCs w:val="12"/>
              </w:rPr>
              <w:t xml:space="preserve">★★★☆</w:t>
            </w:r>
          </w:p>
        </w:tc>
        <w:tc>
          <w:tcPr>
            <w:tcW w:type="dxa" w:w="2726"/>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2"/>
                <w:szCs w:val="12"/>
              </w:rPr>
              <w:t xml:space="preserve">以組織文化概念分析跨部門治理之挑戰及其緩解之道（即題目一）</w:t>
            </w:r>
          </w:p>
        </w:tc>
        <w:tc>
          <w:tcPr>
            <w:tcW w:type="dxa" w:w="17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2"/>
                <w:szCs w:val="12"/>
              </w:rPr>
              <w:t xml:space="preserve">考選部官方公告試題，完全符合一般行政類科、三等（相當高考三級）目標等別</w:t>
            </w:r>
          </w:p>
        </w:tc>
      </w:tr>
      <w:tr>
        <w:tc>
          <w:tcPr>
            <w:tcW w:type="dxa" w:w="24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2"/>
                <w:szCs w:val="12"/>
              </w:rPr>
              <w:t xml:space="preserve">111年-地三</w:t>
            </w:r>
          </w:p>
        </w:tc>
        <w:tc>
          <w:tcPr>
            <w:tcW w:type="dxa" w:w="13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2"/>
                <w:szCs w:val="12"/>
              </w:rPr>
              <w:t xml:space="preserve">一般行政符合</w:t>
            </w:r>
          </w:p>
        </w:tc>
        <w:tc>
          <w:tcPr>
            <w:tcW w:type="dxa" w:w="9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2"/>
                <w:szCs w:val="12"/>
              </w:rPr>
              <w:t xml:space="preserve">B</w:t>
            </w:r>
          </w:p>
        </w:tc>
        <w:tc>
          <w:tcPr>
            <w:tcW w:type="dxa" w:w="2726"/>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2"/>
                <w:szCs w:val="12"/>
              </w:rPr>
              <w:t xml:space="preserve">組織文化之定義及政府部門與民間部門組織文化至少五項差異</w:t>
            </w:r>
          </w:p>
        </w:tc>
        <w:tc>
          <w:tcPr>
            <w:tcW w:type="dxa" w:w="17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2"/>
                <w:szCs w:val="12"/>
              </w:rPr>
              <w:t xml:space="preserve">✅一般行政符合，已於題目二完整解析</w:t>
            </w:r>
          </w:p>
        </w:tc>
      </w:tr>
    </w:tbl>
    <w:p>
      <w:pPr>
        <w:spacing w:after="280" w:before="120"/>
        <w:jc w:val="center"/>
      </w:pPr>
      <w:r>
        <w:rPr>
          <w:rFonts w:ascii="微軟正黑體" w:cs="微軟正黑體" w:eastAsia="微軟正黑體" w:hAnsi="微軟正黑體"/>
          <w:i/>
          <w:iCs/>
          <w:color w:val="555555"/>
          <w:sz w:val="18"/>
          <w:szCs w:val="18"/>
        </w:rPr>
        <w:t xml:space="preserve">表18-J　本章歷屆試題查證狀態</w:t>
      </w:r>
    </w:p>
    <w:p>
      <w:pPr>
        <w:spacing w:after="280"/>
      </w:pPr>
    </w:p>
    <w:p>
      <w:pPr>
        <w:spacing w:after="200" w:before="400"/>
      </w:pPr>
      <w:r>
        <w:rPr>
          <w:rFonts w:ascii="微軟正黑體" w:cs="微軟正黑體" w:eastAsia="微軟正黑體" w:hAnsi="微軟正黑體"/>
          <w:b/>
          <w:bCs/>
          <w:sz w:val="32"/>
          <w:szCs w:val="32"/>
        </w:rPr>
        <w:t xml:space="preserve">【本章一頁掌握】</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DCE6F5" w:sz="2"/>
              <w:left w:val="single" w:color="1F4E79" w:sz="24"/>
              <w:bottom w:val="single" w:color="DCE6F5" w:sz="2"/>
              <w:right w:val="single" w:color="DCE6F5" w:sz="2"/>
            </w:tcBorders>
            <w:shd w:fill="DCE6F5" w:val="clear"/>
            <w:tcMar>
              <w:top w:type="dxa" w:w="160"/>
              <w:left w:type="dxa" w:w="220"/>
              <w:bottom w:type="dxa" w:w="160"/>
              <w:right w:type="dxa" w:w="220"/>
            </w:tcMar>
          </w:tcPr>
          <w:p>
            <w:pPr>
              <w:spacing w:after="100"/>
            </w:pPr>
            <w:r>
              <w:rPr>
                <w:rFonts w:ascii="微軟正黑體" w:cs="微軟正黑體" w:eastAsia="微軟正黑體" w:hAnsi="微軟正黑體"/>
                <w:b/>
                <w:bCs/>
                <w:color w:val="1F4E79"/>
                <w:sz w:val="22"/>
                <w:szCs w:val="22"/>
              </w:rPr>
              <w:t xml:space="preserve">組織文化的意涵與Schein三層次模式</w:t>
            </w:r>
          </w:p>
          <w:p>
            <w:pPr>
              <w:spacing w:line="340"/>
              <w:jc w:val="both"/>
            </w:pPr>
            <w:r>
              <w:rPr>
                <w:rFonts w:ascii="微軟正黑體" w:cs="微軟正黑體" w:eastAsia="微軟正黑體" w:hAnsi="微軟正黑體"/>
                <w:sz w:val="21"/>
                <w:szCs w:val="21"/>
              </w:rPr>
              <w:t xml:space="preserve">組織文化定義（Schein）→ 三核心特徵（共享層次習得）→ 文化vs氣候vs結構區辨 → Schein三層次（器價假）</w:t>
            </w:r>
          </w:p>
        </w:tc>
      </w:tr>
    </w:tbl>
    <w:p>
      <w:pPr>
        <w:spacing w:after="14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F2F6FA" w:sz="2"/>
              <w:left w:val="single" w:color="555555" w:sz="24"/>
              <w:bottom w:val="single" w:color="F2F6FA" w:sz="2"/>
              <w:right w:val="single" w:color="F2F6FA" w:sz="2"/>
            </w:tcBorders>
            <w:shd w:fill="F2F6FA" w:val="clear"/>
            <w:tcMar>
              <w:top w:type="dxa" w:w="160"/>
              <w:left w:type="dxa" w:w="220"/>
              <w:bottom w:type="dxa" w:w="160"/>
              <w:right w:type="dxa" w:w="220"/>
            </w:tcMar>
          </w:tcPr>
          <w:p>
            <w:pPr>
              <w:spacing w:after="100"/>
            </w:pPr>
            <w:r>
              <w:rPr>
                <w:rFonts w:ascii="微軟正黑體" w:cs="微軟正黑體" w:eastAsia="微軟正黑體" w:hAnsi="微軟正黑體"/>
                <w:b/>
                <w:bCs/>
                <w:color w:val="555555"/>
                <w:sz w:val="22"/>
                <w:szCs w:val="22"/>
              </w:rPr>
              <w:t xml:space="preserve">組織文化的功能與類型</w:t>
            </w:r>
          </w:p>
          <w:p>
            <w:pPr>
              <w:spacing w:line="340"/>
              <w:jc w:val="both"/>
            </w:pPr>
            <w:r>
              <w:rPr>
                <w:rFonts w:ascii="微軟正黑體" w:cs="微軟正黑體" w:eastAsia="微軟正黑體" w:hAnsi="微軟正黑體"/>
                <w:sz w:val="21"/>
                <w:szCs w:val="21"/>
              </w:rPr>
              <w:t xml:space="preserve">正向功能（凝承控意邊）→ 負向病態（變革阻礙多元排斥倫理盲目形式主義）→ 四種類型模型（Harrison╱Deal&amp;Kennedy╱CVF╱Ouchi）</w:t>
            </w:r>
          </w:p>
        </w:tc>
      </w:tr>
    </w:tbl>
    <w:p>
      <w:pPr>
        <w:spacing w:after="14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E8F5E9" w:sz="2"/>
              <w:left w:val="single" w:color="2E7D32" w:sz="24"/>
              <w:bottom w:val="single" w:color="E8F5E9" w:sz="2"/>
              <w:right w:val="single" w:color="E8F5E9" w:sz="2"/>
            </w:tcBorders>
            <w:shd w:fill="E8F5E9" w:val="clear"/>
            <w:tcMar>
              <w:top w:type="dxa" w:w="160"/>
              <w:left w:type="dxa" w:w="220"/>
              <w:bottom w:type="dxa" w:w="160"/>
              <w:right w:type="dxa" w:w="220"/>
            </w:tcMar>
          </w:tcPr>
          <w:p>
            <w:pPr>
              <w:spacing w:after="100"/>
            </w:pPr>
            <w:r>
              <w:rPr>
                <w:rFonts w:ascii="微軟正黑體" w:cs="微軟正黑體" w:eastAsia="微軟正黑體" w:hAnsi="微軟正黑體"/>
                <w:b/>
                <w:bCs/>
                <w:color w:val="2E7D32"/>
                <w:sz w:val="22"/>
                <w:szCs w:val="22"/>
              </w:rPr>
              <w:t xml:space="preserve">組織文化的塑造、維持、變革與我國行政文化特性轉型</w:t>
            </w:r>
          </w:p>
          <w:p>
            <w:pPr>
              <w:spacing w:line="340"/>
              <w:jc w:val="both"/>
            </w:pPr>
            <w:r>
              <w:rPr>
                <w:rFonts w:ascii="微軟正黑體" w:cs="微軟正黑體" w:eastAsia="微軟正黑體" w:hAnsi="微軟正黑體"/>
                <w:sz w:val="21"/>
                <w:szCs w:val="21"/>
              </w:rPr>
              <w:t xml:space="preserve">Schein五大初級機制 → 組織社會化三階段 → Lewin解變再 → 我國傳統行政文化五特性（權關形家保）→ 當代轉型四趨向</w:t>
            </w:r>
          </w:p>
        </w:tc>
      </w:tr>
    </w:tbl>
    <w:p>
      <w:pPr>
        <w:spacing w:after="14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FDECEA" w:sz="2"/>
              <w:left w:val="single" w:color="C0392B" w:sz="24"/>
              <w:bottom w:val="single" w:color="FDECEA" w:sz="2"/>
              <w:right w:val="single" w:color="FDECEA" w:sz="2"/>
            </w:tcBorders>
            <w:shd w:fill="FDECEA" w:val="clear"/>
            <w:tcMar>
              <w:top w:type="dxa" w:w="160"/>
              <w:left w:type="dxa" w:w="220"/>
              <w:bottom w:type="dxa" w:w="160"/>
              <w:right w:type="dxa" w:w="220"/>
            </w:tcMar>
          </w:tcPr>
          <w:p>
            <w:pPr>
              <w:spacing w:after="100"/>
            </w:pPr>
            <w:r>
              <w:rPr>
                <w:rFonts w:ascii="微軟正黑體" w:cs="微軟正黑體" w:eastAsia="微軟正黑體" w:hAnsi="微軟正黑體"/>
                <w:b/>
                <w:bCs/>
                <w:color w:val="C0392B"/>
                <w:sz w:val="22"/>
                <w:szCs w:val="22"/>
              </w:rPr>
              <w:t xml:space="preserve">AI鑲嵌下的組織文化：人機共融、AI倫理與虛擬組織文化</w:t>
            </w:r>
          </w:p>
          <w:p>
            <w:pPr>
              <w:spacing w:line="340"/>
              <w:jc w:val="both"/>
            </w:pPr>
            <w:r>
              <w:rPr>
                <w:rFonts w:ascii="微軟正黑體" w:cs="微軟正黑體" w:eastAsia="微軟正黑體" w:hAnsi="微軟正黑體"/>
                <w:sz w:val="21"/>
                <w:szCs w:val="21"/>
              </w:rPr>
              <w:t xml:space="preserve">三重變異（人AI虛）→ Schein三層次AI重譯 → 三種權力移轉 → 邊界消解 → 四鏈七審 → 行政院AI指引╱PDIS案例╱雙軌文化</w:t>
            </w:r>
          </w:p>
        </w:tc>
      </w:tr>
    </w:tbl>
    <w:p>
      <w:pPr>
        <w:spacing w:after="18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DCE6F5" w:sz="2"/>
              <w:left w:val="single" w:color="1F4E79" w:sz="24"/>
              <w:bottom w:val="single" w:color="DCE6F5" w:sz="2"/>
              <w:right w:val="single" w:color="DCE6F5" w:sz="2"/>
            </w:tcBorders>
            <w:shd w:fill="DCE6F5" w:val="clear"/>
            <w:tcMar>
              <w:top w:type="dxa" w:w="160"/>
              <w:left w:type="dxa" w:w="220"/>
              <w:bottom w:type="dxa" w:w="160"/>
              <w:right w:type="dxa" w:w="220"/>
            </w:tcMar>
          </w:tcPr>
          <w:p>
            <w:pPr>
              <w:spacing w:after="100"/>
            </w:pPr>
            <w:r>
              <w:rPr>
                <w:rFonts w:ascii="微軟正黑體" w:cs="微軟正黑體" w:eastAsia="微軟正黑體" w:hAnsi="微軟正黑體"/>
                <w:b/>
                <w:bCs/>
                <w:color w:val="1F4E79"/>
                <w:sz w:val="22"/>
                <w:szCs w:val="22"/>
              </w:rPr>
              <w:t xml:space="preserve">申論核心句（可直接用於破題或結論）</w:t>
            </w:r>
          </w:p>
          <w:p>
            <w:pPr>
              <w:spacing w:line="340"/>
              <w:jc w:val="both"/>
            </w:pPr>
            <w:r>
              <w:rPr>
                <w:rFonts w:ascii="微軟正黑體" w:cs="微軟正黑體" w:eastAsia="微軟正黑體" w:hAnsi="微軟正黑體"/>
                <w:sz w:val="21"/>
                <w:szCs w:val="21"/>
              </w:rPr>
              <w:t xml:space="preserve">組織的骨骼可以連夜重組，組織的靈魂卻需要一天一天涵養——AI能加速前者，卻無法替代後者；當規定只告訴同仁不能做什麼，卻沒告訴他們可以怎麼做，規定與現實之間的落差，終究會被基層用自己的方式填補。</w:t>
            </w:r>
          </w:p>
        </w:tc>
      </w:tr>
    </w:tbl>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648" w:hanging="288"/>
      </w:pPr>
    </w:lvl>
    <w:lvl w:ilvl="1" w15:tentative="1">
      <w:start w:val="1"/>
      <w:numFmt w:val="bullet"/>
      <w:lvlText w:val="◦"/>
      <w:lvlJc w:val="left"/>
      <w:pPr>
        <w:ind w:left="1080" w:hanging="288"/>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微軟正黑體" w:cs="微軟正黑體" w:eastAsia="微軟正黑體" w:hAnsi="微軟正黑體"/>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2026-09-03T12:41:56.053Z</dcterms:created>
  <dcterms:modified xsi:type="dcterms:W3CDTF">2026-09-03T12:41:56.053Z</dcterms:modified>
</cp:coreProperties>
</file>

<file path=docProps/custom.xml><?xml version="1.0" encoding="utf-8"?>
<Properties xmlns="http://schemas.openxmlformats.org/officeDocument/2006/custom-properties" xmlns:vt="http://schemas.openxmlformats.org/officeDocument/2006/docPropsVTypes"/>
</file>