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0"/>
          <w:szCs w:val="40"/>
        </w:rPr>
        <w:t xml:space="preserve">國家考試行政學：從行政學理論到申論實戰</w:t>
      </w:r>
    </w:p>
    <w:p>
      <w:pPr>
        <w:spacing w:after="60"/>
        <w:jc w:val="center"/>
      </w:pPr>
      <w:r>
        <w:rPr>
          <w:rFonts w:ascii="微軟正黑體" w:cs="微軟正黑體" w:eastAsia="微軟正黑體" w:hAnsi="微軟正黑體"/>
          <w:b/>
          <w:bCs/>
          <w:color w:val="444444"/>
          <w:sz w:val="28"/>
          <w:szCs w:val="28"/>
        </w:rPr>
        <w:t xml:space="preserve">第十七章　組織設計：古典原理與AI時代的人機共構</w:t>
      </w:r>
    </w:p>
    <w:p>
      <w:pPr>
        <w:spacing w:after="400"/>
        <w:jc w:val="center"/>
      </w:pPr>
      <w:r>
        <w:rPr>
          <w:rFonts w:ascii="微軟正黑體" w:cs="微軟正黑體" w:eastAsia="微軟正黑體" w:hAnsi="微軟正黑體"/>
          <w:i/>
          <w:iCs/>
          <w:color w:val="777777"/>
          <w:sz w:val="22"/>
          <w:szCs w:val="22"/>
        </w:rPr>
        <w:t xml:space="preserve">適用：高考三級／普考　一般行政類科　行政學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本章定位</w:t>
            </w:r>
          </w:p>
          <w:p>
            <w:pPr>
              <w:spacing w:line="340"/>
              <w:jc w:val="both"/>
            </w:pPr>
            <w:r>
              <w:rPr>
                <w:rFonts w:ascii="微軟正黑體" w:cs="微軟正黑體" w:eastAsia="微軟正黑體" w:hAnsi="微軟正黑體"/>
                <w:sz w:val="21"/>
                <w:szCs w:val="21"/>
              </w:rPr>
              <w:t xml:space="preserve">本章對應大學教科書《行政學》第十七章「組織設計：古典原理與AI時代的人機共構」，內容取材自該章八節母體教材（組織設計的意涵與本質、組織設計的基本原則與影響因素、組織分化的雙軸：水平分化與垂直分化、控制幅度與組織形構、組織設計的基本類型、集權分權與整合機制、AI時代組織設計的新趨勢、AI治理專節）及AI鑲嵌後之權力位移專節，依國考「考點化、模組化、背誦＋應用」邏輯重新壓縮改寫為四節：第一節整合原第一、二、三節（組織設計意涵、古典原則與權變因素、水平垂直分化雙軸）；第二節整合原第四、五節（控制幅度、高架式╱扁平式組織形構與五種基本設計類型、機械式╱有機式對照）；第三節整合原第六節前段與第七節前段（集權分權、整合機制與平台化生態化組織）；第四節整合原第七節後段與第八節AI治理專節（AI中台、數位孿生組織、演算法控制幅度、HITL╱HOTL╱HIC人機共構），為本章AI內容之集中呈現處。本語料庫（107-111年）中，本章僅查得1題與組織設計水平垂直分化相關之申論真題：108年-外交「新南向政策下之水平分化與垂直分化組織調整」，經查證其類科非屬一般行政類科，不列入本章完整解析；惟2026年9月新查得112-115年考選部公告試題後，題目二已改列115年身心障礙人員三等考試真題（矩陣型結構），題目三已改列113年高考二級「行政學研究」真題（AI趨勢下之政府協調連繫機制變革，為全書首見AI治理相關真題之一），均附「考題出處」標示；題目一仍依108年-外交真題所涉「水平分化與垂直分化」核心理論架構另行改寫之模擬命題，已於考題出處明確標示，避免與真實歷屆試題混淆。自第八章起依格式定版說明，僅第一題維持三種完整答案版本，第二、三題改為標準版參考答案＋【高分加分點】；AI鑲嵌內容集中於第四節與C級綜合題。</w:t>
            </w:r>
          </w:p>
        </w:tc>
      </w:tr>
    </w:tbl>
    <w:p>
      <w:pPr>
        <w:spacing w:after="200"/>
      </w:pPr>
    </w:p>
    <w:p>
      <w:pPr>
        <w:spacing w:after="180" w:before="360"/>
      </w:pPr>
      <w:r>
        <w:rPr>
          <w:rFonts w:ascii="微軟正黑體" w:cs="微軟正黑體" w:eastAsia="微軟正黑體" w:hAnsi="微軟正黑體"/>
          <w:b/>
          <w:bCs/>
          <w:color w:val="1F4E79"/>
          <w:sz w:val="26"/>
          <w:szCs w:val="26"/>
        </w:rPr>
        <w:t xml:space="preserve">第一節　組織設計的意涵、古典原則與分化雙軸</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組織設計（Organizational Design）係指管理者根據組織目標、策略、環境與技術，系統性地進行工作分工（differentiation）與協調整合（integration）之歷程，核心在於回答：如何分、如何合、何人決策、以何種機制連結。若組織結構（Structure）為靜態骨骼，呈現權責劃分與層級關係，組織設計即為形塑骨骼之動態工程，涵蓋正式化、集權化、複雜化程度與連結機制之選擇。Robbins指出組織設計涵蓋複雜性、正式化與集權化三項決策組合；Mintzberg則提出五種結構構型（簡易結構、機械科層、專業科層、事業部與無定型組織）。在公部門，組織設計尚須考量法定職掌、民主課責與公共性價值，具體化為組織法規、編制表與組織圖，惟其精神不在圖形本身，而在分工背後之公共任務邏輯。</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古典學派提出若干設計通則：專業分工原則（依性質或技能分設部門以提升效率，惟過度分化易生本位主義）、指揮統一與層級節制原則（每位部屬僅受一位上級指揮，Fayol稱之為統一指揮，Gulick強調層級節制為整合手段）、權責相符原則（有權必有責，授權同時授予相應資源與課責）、控制幅度原則（主管直接監督人數需適中）、授權與分權原則（透過分層負責，在法令授權範圍內授權執行）、協調原則（分化之後必須整合，機制包括直接監督、標準化、相互調整與資訊系統）、彈性與權變原則（無一體適用之最佳設計，需配合環境不確定性與任務特性調整，Morgan全像圖組織即強調既分化又整合）。</w:t>
      </w:r>
    </w:p>
    <w:p>
      <w:pPr>
        <w:pStyle w:val="ListParagraph"/>
        <w:numPr>
          <w:ilvl w:val="0"/>
          <w:numId w:val="2"/>
        </w:numPr>
        <w:spacing w:after="120" w:line="340"/>
      </w:pPr>
      <w:r>
        <w:rPr>
          <w:rFonts w:ascii="微軟正黑體" w:cs="微軟正黑體" w:eastAsia="微軟正黑體" w:hAnsi="微軟正黑體"/>
          <w:sz w:val="22"/>
          <w:szCs w:val="22"/>
        </w:rPr>
        <w:t xml:space="preserve">Lawrence與Lorsch指出，組織需同時達成高度分化與高度整合，影響設計選擇之權變因素包括：環境不確定性（環境愈動態複雜，愈需有機式、網絡化設計）、組織策略（創新導向策略傾向分權與矩陣，成本控制策略傾向集權與功能式）、組織規模與生命週期（規模擴大易導致層級增多，需透過事業部或分權化紓解）、技術特性（Perrow與Thompson指出技術之例行性與相依性影響協調模式，高相依性工作需團隊式整合）、權力與政治（組織設計亦是權力分配，部會本位、專業社群與預算競爭皆影響設計選擇）。</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200"/>
        <w:gridCol w:w="1800"/>
        <w:gridCol w:w="1400"/>
        <w:gridCol w:w="1400"/>
        <w:gridCol w:w="3226"/>
      </w:tblGrid>
      <w:tr>
        <w:trPr>
          <w:tblHeader/>
        </w:trPr>
        <w:tc>
          <w:tcPr>
            <w:tcW w:type="dxa" w:w="1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分化基礎</w:t>
            </w:r>
          </w:p>
        </w:tc>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意涵</w:t>
            </w:r>
          </w:p>
        </w:tc>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優點</w:t>
            </w:r>
          </w:p>
        </w:tc>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缺點</w:t>
            </w:r>
          </w:p>
        </w:tc>
        <w:tc>
          <w:tcPr>
            <w:tcW w:type="dxa" w:w="32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政府例示</w:t>
            </w:r>
          </w:p>
        </w:tc>
      </w:tr>
      <w:tr>
        <w:tc>
          <w:tcPr>
            <w:tcW w:type="dxa" w:w="1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依目的╱功能（Purpose）</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將相同性質或功能的工作置於同一單位</w:t>
            </w:r>
          </w:p>
        </w:tc>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專業化、事權統一、經濟規模</w:t>
            </w:r>
          </w:p>
        </w:tc>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本位主義、協調困難、難培養通才</w:t>
            </w:r>
          </w:p>
        </w:tc>
        <w:tc>
          <w:tcPr>
            <w:tcW w:type="dxa" w:w="3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人事總處、主計總處、財政部賦稅署</w:t>
            </w:r>
          </w:p>
        </w:tc>
      </w:tr>
      <w:tr>
        <w:tc>
          <w:tcPr>
            <w:tcW w:type="dxa" w:w="1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依過程╱程序（Process）</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按工作流程、技術或設備劃分</w:t>
            </w:r>
          </w:p>
        </w:tc>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技術專精、流程順暢</w:t>
            </w:r>
          </w:p>
        </w:tc>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目標易與整體脫節、顧客需跨多單位</w:t>
            </w:r>
          </w:p>
        </w:tc>
        <w:tc>
          <w:tcPr>
            <w:tcW w:type="dxa" w:w="3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戶政、地政、公文收發、資訊處</w:t>
            </w:r>
          </w:p>
        </w:tc>
      </w:tr>
      <w:tr>
        <w:tc>
          <w:tcPr>
            <w:tcW w:type="dxa" w:w="1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依地點（Place）</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按地理區域劃分，利於就地服務</w:t>
            </w:r>
          </w:p>
        </w:tc>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因地制宜、回應迅速、節省運輸成本</w:t>
            </w:r>
          </w:p>
        </w:tc>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易形成地方割據、重複投資、標準不一</w:t>
            </w:r>
          </w:p>
        </w:tc>
        <w:tc>
          <w:tcPr>
            <w:tcW w:type="dxa" w:w="3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各區公所、警察分局、地方稅務局</w:t>
            </w:r>
          </w:p>
        </w:tc>
      </w:tr>
      <w:tr>
        <w:tc>
          <w:tcPr>
            <w:tcW w:type="dxa" w:w="1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依服務對象（Person╱Client）</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按服務人口或事務特性設單位</w:t>
            </w:r>
          </w:p>
        </w:tc>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聚焦顧客需求、專業回應特定群體</w:t>
            </w:r>
          </w:p>
        </w:tc>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資源重疊、可能標籤化、整合需求高</w:t>
            </w:r>
          </w:p>
        </w:tc>
        <w:tc>
          <w:tcPr>
            <w:tcW w:type="dxa" w:w="3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原民會、客委會、兒少婦女單位、退輔會</w:t>
            </w:r>
          </w:p>
        </w:tc>
      </w:tr>
    </w:tbl>
    <w:p>
      <w:pPr>
        <w:spacing w:after="280" w:before="120"/>
        <w:jc w:val="center"/>
      </w:pPr>
      <w:r>
        <w:rPr>
          <w:rFonts w:ascii="微軟正黑體" w:cs="微軟正黑體" w:eastAsia="微軟正黑體" w:hAnsi="微軟正黑體"/>
          <w:i/>
          <w:iCs/>
          <w:color w:val="555555"/>
          <w:sz w:val="18"/>
          <w:szCs w:val="18"/>
        </w:rPr>
        <w:t xml:space="preserve">表17-A　Gulick 4P水平分化基礎與公共部門例示</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水平分化（部門化）與垂直分化構成組織分化之雙軸：水平分化即部門化，按工作性質將組織水平切割為若干平行單位，Gulick提出著名之4P原則；垂直分化則依權力、責任與監督幅度形成指揮層級，目的在建立層級節制體系與課責線，判斷標準包括個人對組織活動所具權力大小、責任程度，以及監督部屬數目（即控制幅度）——至於組織各單位之工作性質，屬水平分化之判準，而非垂直分化，此為國考常考之辨析重點。過度垂直分化會增加溝通成本、扭曲資訊與延遲回應，數位化後各國普遍推動層級扁平化與授權以降低層級障礙。</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分化設計</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水平分化（Gulick 4P）</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提供部門化之系統性判準，使組織依目的過程地點對象四種邏輯清晰分工，兼顧專業化與因地因人制宜</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四種基礎各有本位主義、協調困難、割據重複等限制，實務上常須混合運用而非擇一而終</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垂直分化（層級節制）</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建立清晰之權責層級與課責線，確保命令逐層下達並可追溯</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過度垂直分化增加溝通成本、扭曲資訊、延遲回應，為當代扁平化改革之主要誘因</w:t>
            </w:r>
          </w:p>
        </w:tc>
      </w:tr>
    </w:tbl>
    <w:p>
      <w:pPr>
        <w:spacing w:after="280" w:before="120"/>
        <w:jc w:val="center"/>
      </w:pPr>
      <w:r>
        <w:rPr>
          <w:rFonts w:ascii="微軟正黑體" w:cs="微軟正黑體" w:eastAsia="微軟正黑體" w:hAnsi="微軟正黑體"/>
          <w:i/>
          <w:iCs/>
          <w:color w:val="555555"/>
          <w:sz w:val="18"/>
          <w:szCs w:val="18"/>
        </w:rPr>
        <w:t xml:space="preserve">表17-B　水平分化與垂直分化之貢獻與限制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Morgan所提之全像圖（Holographic）組織，借用大腦全像儲存之隱喻，主張組織應將整體願景植入每個部分，透過五大原理克服官僚分割：將整體植入部分（以願景、文化與資訊系統使成員共享組織記憶）、重疊與冗餘（適度功能重疊以保留創新餘裕）、必要多樣性（內部多樣性需與環境複雜度等價）、適度規範（過度控制扼殺自我組織，過度放任導致混亂）、學習如何學習（涵蓋單圈到雙圈學習）。此一概念在我國「單一窗口」「一站式服務」中已見雛形，在AI時代則演化為數位孿生組織與AI中台之設計思想，本章第四節將深入闡述。</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行政院兼具功能制與事業部制，並透過任務編組呈現矩陣特徵；水平分化上，人事總處、主計總處依「目的╱功能」設置，戶政地政依「過程╱程序」設置，各區公所警察分局依「地點」設置，原民會客委會依「服務對象」設置，四種基礎常並存於同一層級政府組織之中，體現Gulick 4P並非互斥選項而是並用邏輯。</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①組織設計古典原則：專業分工／指揮統一層級節制／權責相符／控制幅度／授權分權／協調／彈性權變</w:t>
            </w:r>
          </w:p>
          <w:p>
            <w:pPr>
              <w:spacing w:after="80" w:line="320"/>
            </w:pPr>
            <w:r>
              <w:rPr>
                <w:rFonts w:ascii="微軟正黑體" w:cs="微軟正黑體" w:eastAsia="微軟正黑體" w:hAnsi="微軟正黑體"/>
                <w:sz w:val="21"/>
                <w:szCs w:val="21"/>
              </w:rPr>
              <w:t xml:space="preserve">•　②Gulick 4P原則：目的（Purpose）／過程（Process）／地點（Place）／對象（Person）及其政府例示</w:t>
            </w:r>
          </w:p>
          <w:p>
            <w:pPr>
              <w:spacing w:after="80" w:line="320"/>
            </w:pPr>
            <w:r>
              <w:rPr>
                <w:rFonts w:ascii="微軟正黑體" w:cs="微軟正黑體" w:eastAsia="微軟正黑體" w:hAnsi="微軟正黑體"/>
                <w:sz w:val="21"/>
                <w:szCs w:val="21"/>
              </w:rPr>
              <w:t xml:space="preserve">•　③水平分化（部門化）vs垂直分化（層級化）之判準區辨：工作性質屬水平分化，權力責任監督幅度屬垂直分化</w:t>
            </w:r>
          </w:p>
          <w:p>
            <w:pPr>
              <w:spacing w:after="80" w:line="320"/>
            </w:pPr>
            <w:r>
              <w:rPr>
                <w:rFonts w:ascii="微軟正黑體" w:cs="微軟正黑體" w:eastAsia="微軟正黑體" w:hAnsi="微軟正黑體"/>
                <w:sz w:val="21"/>
                <w:szCs w:val="21"/>
              </w:rPr>
              <w:t xml:space="preserve">•　④Lawrence &amp; Lorsch權變因素：環境不確定性／組織策略／規模生命週期／技術特性／權力政治</w:t>
            </w:r>
          </w:p>
          <w:p>
            <w:pPr>
              <w:spacing w:after="0" w:line="320"/>
            </w:pPr>
            <w:r>
              <w:rPr>
                <w:rFonts w:ascii="微軟正黑體" w:cs="微軟正黑體" w:eastAsia="微軟正黑體" w:hAnsi="微軟正黑體"/>
                <w:sz w:val="21"/>
                <w:szCs w:val="21"/>
              </w:rPr>
              <w:t xml:space="preserve">•　⑤Morgan全像圖組織五大原理：整體植入部分／重疊冗餘／必要多樣性／適度規範／學習如何學習</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Gulick4P口訣：目（的）、過（程）、地（點）、對（象）——「目過地對」四字訣</w:t>
            </w:r>
          </w:p>
          <w:p>
            <w:pPr>
              <w:spacing w:after="80" w:line="320"/>
            </w:pPr>
            <w:r>
              <w:rPr>
                <w:rFonts w:ascii="微軟正黑體" w:cs="微軟正黑體" w:eastAsia="微軟正黑體" w:hAnsi="微軟正黑體"/>
                <w:sz w:val="21"/>
                <w:szCs w:val="21"/>
              </w:rPr>
              <w:t xml:space="preserve">•　古典原則口訣：專（業分工）、指（揮統一）、權（責相符）、控（制幅度）、授（權分權）、協（調）、彈（性權變）——「專指權控授協彈」七字訣</w:t>
            </w:r>
          </w:p>
          <w:p>
            <w:pPr>
              <w:spacing w:after="0" w:line="320"/>
            </w:pPr>
            <w:r>
              <w:rPr>
                <w:rFonts w:ascii="微軟正黑體" w:cs="微軟正黑體" w:eastAsia="微軟正黑體" w:hAnsi="微軟正黑體"/>
                <w:sz w:val="21"/>
                <w:szCs w:val="21"/>
              </w:rPr>
              <w:t xml:space="preserve">•　水平vs垂直一句話記憶：水平分化決定「誰跟誰同一組」，垂直分化決定「誰聽誰的」</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水平分化」（按工作性質將組織切割為平行單位，判準為「工作性質」，如目的過程地點對象）與「垂直分化」（依權力責任監督幅度形成指揮層級，判準為「權力責任監督幅度」）常被考生混淆——本章明確指出：組織各單位之工作性質屬水平分化之判斷基準，而個人對組織活動所具權力大小、責任程度及監督部屬數目（控制幅度）則屬垂直分化之判斷基準，兩者判準不可混用，此為108年外交特考真題之核心考點。</w:t>
            </w:r>
          </w:p>
          <w:p>
            <w:pPr>
              <w:spacing w:after="0" w:line="320"/>
            </w:pPr>
            <w:r>
              <w:rPr>
                <w:rFonts w:ascii="微軟正黑體" w:cs="微軟正黑體" w:eastAsia="微軟正黑體" w:hAnsi="微軟正黑體"/>
                <w:sz w:val="21"/>
                <w:szCs w:val="21"/>
              </w:rPr>
              <w:t xml:space="preserve">•　「專業分工原則」（依性質技能分設部門以提升效率）與「協調原則」（分化後之整合機制）常被考生視為對立而非互補——本章明確指出，古典原則中專業分工帶來分化效率，協調原則彌補分化後之整合成本，兩者是「先分後合」的一體兩面，而非互斥選項。</w:t>
            </w:r>
          </w:p>
        </w:tc>
      </w:tr>
    </w:tbl>
    <w:p>
      <w:pPr>
        <w:spacing w:after="260"/>
      </w:pPr>
    </w:p>
    <w:p>
      <w:pPr>
        <w:spacing w:after="180" w:before="360"/>
      </w:pPr>
      <w:r>
        <w:rPr>
          <w:rFonts w:ascii="微軟正黑體" w:cs="微軟正黑體" w:eastAsia="微軟正黑體" w:hAnsi="微軟正黑體"/>
          <w:b/>
          <w:bCs/>
          <w:color w:val="1F4E79"/>
          <w:sz w:val="26"/>
          <w:szCs w:val="26"/>
        </w:rPr>
        <w:t xml:space="preserve">第二節　控制幅度、組織形構與五種基本設計類型</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控制幅度（Span of Control）指一位主管直接監督與指揮之部屬人數，為垂直分化程度之具體呈現；控制幅度之大小進一步決定組織呈現高架式（層級多、控制幅度窄）或扁平式（層級少、控制幅度寬）之形構。</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Graicunas曾以數學公式估算上下關係與交叉關係總數，指出監督人數與關係複雜度呈指數成長，惟後續研究認為關係數並非機械決定，而受任務特性影響。控制幅度之決定因素有六：監督所需時間（耗時多宜小、耗時少宜大）、工作複雜性與重要性（愈複雜風險高宜小、愈單純風險低宜大）、工作反覆性╱例行性（低反覆需判斷宜小、高反覆標準化高宜大）、部屬能力與成熟度（能力弱需訓練宜小、能力強自主高宜大）、權責劃分明確度（模糊需協商宜小、明確授權清楚宜大）、幕僚襄助程度（幕僚支援弱宜小、幕僚得力資訊系統支援強宜大）。傳統認為理想幅度為5至7人，惟實務上應權變判斷，警察審計等高度專業判斷工作幅度宜小，稅務建檔戶政櫃檯等例行性高者幅度可大。</w:t>
      </w:r>
    </w:p>
    <w:p>
      <w:pPr>
        <w:pStyle w:val="ListParagraph"/>
        <w:numPr>
          <w:ilvl w:val="0"/>
          <w:numId w:val="2"/>
        </w:numPr>
        <w:spacing w:after="120" w:line="340"/>
      </w:pPr>
      <w:r>
        <w:rPr>
          <w:rFonts w:ascii="微軟正黑體" w:cs="微軟正黑體" w:eastAsia="微軟正黑體" w:hAnsi="微軟正黑體"/>
          <w:sz w:val="22"/>
          <w:szCs w:val="22"/>
        </w:rPr>
        <w:t xml:space="preserve">綜合複雜性、正式化與集權化，公共組織常見五種設計類型，其選擇並非互斥，常為混合：功能式（依專業功能劃分，如人事主計政風資訊，優點專業分工經濟規模職涯清晰，缺點本位主義協調困難）、事業部制（依產品地區顧客或計畫劃分為半自主單位，優點聚焦成果易培養通才領導彈性高，缺點資源重疊總部控制成本高）、矩陣式（同時具備功能與專案雙重指揮鏈，優點彈性運用人才兼顧專業與任務導向，缺點雙重權威衝突角色模糊）、網絡組織（核心組織專注核心能耐，透過外包契約聯盟連結外部夥伴）、虛擬組織（更依賴資通訊科技，成員地域分散跨組織跨文化透過資訊平台即時協作）。</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面向</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高架式組織（Tall）</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扁平式組織（Flat）</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控制幅度</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窄（小）</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寬（大）</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層級數</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多</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少</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溝通</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縱向長、易扭曲、速度慢</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橫向多、速度快、但可能失控</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監督密度</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緊密監督</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授權監督</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決策速度</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慢、層層上陳</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快、就地決策</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適用情境</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環境穩定、風險高、需高度課責</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環境動態、需創新、人員成熟度高</w:t>
            </w:r>
          </w:p>
        </w:tc>
      </w:tr>
    </w:tbl>
    <w:p>
      <w:pPr>
        <w:spacing w:after="280" w:before="120"/>
        <w:jc w:val="center"/>
      </w:pPr>
      <w:r>
        <w:rPr>
          <w:rFonts w:ascii="微軟正黑體" w:cs="微軟正黑體" w:eastAsia="微軟正黑體" w:hAnsi="微軟正黑體"/>
          <w:i/>
          <w:iCs/>
          <w:color w:val="555555"/>
          <w:sz w:val="18"/>
          <w:szCs w:val="18"/>
        </w:rPr>
        <w:t xml:space="preserve">表17-C　高架式與扁平式組織比較</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五種基本設計類型與機械式╱有機式之對照，構成理解公共組織結構選擇之核心分析框架：機械式組織（環境穩定、正式化高、集權、控制幅度窄，適用稅務稽徵監理軍事）與有機式組織（環境動態、正式化低、分權、控制幅度寬，適用研發創新實驗室數位服務）代表兩種理念型，Burns與Stalker指出有機式組織管理與生產人員比例彈性、跨單位互動頻繁、知識權力分散，利於創新；惟公共部門須在依法行政與彈性創新間取得平衡，純有機可能損及公平與課責，故常採「雙元組織」：日常作業採機械式，創新與專案採有機式。</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設計類型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功能式與事業部制</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功能式專業分工經濟規模，事業部制聚焦成果易培養通才領導，兩者互補覆蓋不同治理需求</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功能式易生本位主義協調困難，事業部制資源重疊總部控制成本高，實務須權衡選用</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矩陣式與網絡虛擬組織</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矩陣式彈性運用人才兼顧專業與任務導向，網絡虛擬組織借重外部夥伴與資通訊科技提升敏捷度</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矩陣式雙重權威衝突角色模糊，網絡虛擬組織課責機制須從層級控制轉為關係治理與數據治理，制度配套要求高</w:t>
            </w:r>
          </w:p>
        </w:tc>
      </w:tr>
    </w:tbl>
    <w:p>
      <w:pPr>
        <w:spacing w:after="280" w:before="120"/>
        <w:jc w:val="center"/>
      </w:pPr>
      <w:r>
        <w:rPr>
          <w:rFonts w:ascii="微軟正黑體" w:cs="微軟正黑體" w:eastAsia="微軟正黑體" w:hAnsi="微軟正黑體"/>
          <w:i/>
          <w:iCs/>
          <w:color w:val="555555"/>
          <w:sz w:val="18"/>
          <w:szCs w:val="18"/>
        </w:rPr>
        <w:t xml:space="preserve">表17-D　基本設計類型之貢獻與限制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1990年代以降，各國政府為因應財政壓力與顧客導向，普遍推動組織扁平化與去層級化，惟扁平化之成功取決於資訊科技與人員素質；AI之導入更使控制幅度之傳統上限受到根本挑戰——演算法可協助主管監督大量例行性作業，此一趨勢將於本章第四節「演算法控制幅度」深入闡述。</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交通部下設高速公路局、鐵道局，係按重大公共建設或運具劃分之事業部制實例；中央流行疫情指揮中心整合衛福部疾管署、地方衛生局、警政教育交通等多個功能部門，係矩陣式組織在公部門之具體實例，其成員同時向指揮官與原屬機關雙重報告，充分體現矩陣組織之雙重權威特徵。</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①控制幅度六項決定因素：監督所需時間／工作複雜性重要性／工作反覆性例行性／部屬能力成熟度／權責劃分明確度／幕僚襄助程度</w:t>
            </w:r>
          </w:p>
          <w:p>
            <w:pPr>
              <w:spacing w:after="80" w:line="320"/>
            </w:pPr>
            <w:r>
              <w:rPr>
                <w:rFonts w:ascii="微軟正黑體" w:cs="微軟正黑體" w:eastAsia="微軟正黑體" w:hAnsi="微軟正黑體"/>
                <w:sz w:val="21"/>
                <w:szCs w:val="21"/>
              </w:rPr>
              <w:t xml:space="preserve">•　②高架式vs扁平式組織六面向比較：控制幅度／層級數／溝通／監督密度／決策速度／適用情境</w:t>
            </w:r>
          </w:p>
          <w:p>
            <w:pPr>
              <w:spacing w:after="80" w:line="320"/>
            </w:pPr>
            <w:r>
              <w:rPr>
                <w:rFonts w:ascii="微軟正黑體" w:cs="微軟正黑體" w:eastAsia="微軟正黑體" w:hAnsi="微軟正黑體"/>
                <w:sz w:val="21"/>
                <w:szCs w:val="21"/>
              </w:rPr>
              <w:t xml:space="preserve">•　③五種基本設計類型：功能式／事業部制／矩陣式／網絡組織／虛擬組織，及其優缺點與適用情境</w:t>
            </w:r>
          </w:p>
          <w:p>
            <w:pPr>
              <w:spacing w:after="0" w:line="320"/>
            </w:pPr>
            <w:r>
              <w:rPr>
                <w:rFonts w:ascii="微軟正黑體" w:cs="微軟正黑體" w:eastAsia="微軟正黑體" w:hAnsi="微軟正黑體"/>
                <w:sz w:val="21"/>
                <w:szCs w:val="21"/>
              </w:rPr>
              <w:t xml:space="preserve">•　④機械式vs有機式組織對照，及「雙元組織」概念</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控制幅度宜小六情境記憶：耗時多、複雜高、低反覆、能力弱、責劃模糊、幕僚弱——皆指向「需要人盯」</w:t>
            </w:r>
          </w:p>
          <w:p>
            <w:pPr>
              <w:spacing w:after="80" w:line="320"/>
            </w:pPr>
            <w:r>
              <w:rPr>
                <w:rFonts w:ascii="微軟正黑體" w:cs="微軟正黑體" w:eastAsia="微軟正黑體" w:hAnsi="微軟正黑體"/>
                <w:sz w:val="21"/>
                <w:szCs w:val="21"/>
              </w:rPr>
              <w:t xml:space="preserve">•　五種類型口訣：功（能式）、事（業部制）、矩（陣式）、網（絡組織）、虛（擬組織）——「功事矩網虛」五字訣</w:t>
            </w:r>
          </w:p>
          <w:p>
            <w:pPr>
              <w:spacing w:after="0" w:line="320"/>
            </w:pPr>
            <w:r>
              <w:rPr>
                <w:rFonts w:ascii="微軟正黑體" w:cs="微軟正黑體" w:eastAsia="微軟正黑體" w:hAnsi="微軟正黑體"/>
                <w:sz w:val="21"/>
                <w:szCs w:val="21"/>
              </w:rPr>
              <w:t xml:space="preserve">•　雙元組織一句話記憶：日常照規矩來（機械式），創新放手去做（有機式）</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事業部制」（依產品地區顧客或計畫劃分為半自主單位，各單位對成果負責，屬長期性正式結構）與「矩陣式組織」（同時具備功能與專案雙重指揮鏈，成員雙重報告，多用於專案性任務）常被考生混淆——判準在於「是否具雙重報告關係」：事業部制成員僅隸屬單一事業部，矩陣式組織成員則同時向功能主管與專案經理雙重報告，兩者結構邏輯本質不同。</w:t>
            </w:r>
          </w:p>
          <w:p>
            <w:pPr>
              <w:spacing w:after="0" w:line="320"/>
            </w:pPr>
            <w:r>
              <w:rPr>
                <w:rFonts w:ascii="微軟正黑體" w:cs="微軟正黑體" w:eastAsia="微軟正黑體" w:hAnsi="微軟正黑體"/>
                <w:sz w:val="21"/>
                <w:szCs w:val="21"/>
              </w:rPr>
              <w:t xml:space="preserve">•　「網絡組織」（核心組織專注核心能耐，透過外包契約聯盟連結外部夥伴，強調契約管理）與「虛擬組織」（更依賴資通訊科技，成員地域分散跨組織跨文化透過資訊平台即時協作）常被考生視為同義詞——網絡組織之核心在「組織間之契約與信任關係」，虛擬組織之核心在「資通訊科技支撐之跨地協作型態」，兩者可能並存但概念側重不同。</w:t>
            </w:r>
          </w:p>
        </w:tc>
      </w:tr>
    </w:tbl>
    <w:p>
      <w:pPr>
        <w:spacing w:after="260"/>
      </w:pPr>
    </w:p>
    <w:p>
      <w:pPr>
        <w:spacing w:after="180" w:before="360"/>
      </w:pPr>
      <w:r>
        <w:rPr>
          <w:rFonts w:ascii="微軟正黑體" w:cs="微軟正黑體" w:eastAsia="微軟正黑體" w:hAnsi="微軟正黑體"/>
          <w:b/>
          <w:bCs/>
          <w:color w:val="1F4E79"/>
          <w:sz w:val="26"/>
          <w:szCs w:val="26"/>
        </w:rPr>
        <w:t xml:space="preserve">第三節　集權、分權與整合機制、平台化生態化組織</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分化之後必須整合，集權與分權則是決定「誰來決策」之核心制度安排；當代政府因應數位治理需求，進一步發展出平台化與生態化組織，將整合機制從傳統層級監督擴充至共用數位平台與生態協作。</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集權（Centralization）指決策權集中於高層，分權（Decentralization）則指決策權分散至中基層。集權優點為政策一致、資源統整、強化課責，缺點為回應慢、壓抑創新、分層負責落實困難；分權優點為利於就地解決、培養人才、提升士氣，缺點為可能產生標準不一與協調成本。決定集權或分權之情境因素包括：決策對組織未來之影響性（影響愈大愈宜集權）、可逆轉性（可逆性低宜集權）、對其他功能之影響性（牽連廣宜集權）、事件之稀有性與非程序化程度（愈稀有愈非例行愈宜高層決策），此即Vroom-Yetton模型之啟示。</w:t>
      </w:r>
    </w:p>
    <w:p>
      <w:pPr>
        <w:pStyle w:val="ListParagraph"/>
        <w:numPr>
          <w:ilvl w:val="0"/>
          <w:numId w:val="2"/>
        </w:numPr>
        <w:spacing w:after="120" w:line="340"/>
      </w:pPr>
      <w:r>
        <w:rPr>
          <w:rFonts w:ascii="微軟正黑體" w:cs="微軟正黑體" w:eastAsia="微軟正黑體" w:hAnsi="微軟正黑體"/>
          <w:sz w:val="22"/>
          <w:szCs w:val="22"/>
        </w:rPr>
        <w:t xml:space="preserve">Mintzberg彙整分化後之整合機制：直接監督、標準化（流程、結果、技能）、相互調整，輔以聯絡員、任務小組、整合管理者與矩陣等橫向連結，整合需搭配資訊系統與預算配置方能落實。當代政府進一步發展平台化組織：以共用之數位平台（身分認證、資料交換、支付、金鑰管理）為底層，前台為接觸民眾之輕量服務，後台為重資產之資料庫與管制，中台為可共用之業務能力，政府從層級提供者轉為平台治理者。</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3213"/>
        <w:gridCol w:w="3213"/>
      </w:tblGrid>
      <w:tr>
        <w:trPr>
          <w:tblHeader/>
        </w:trPr>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情境因素</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宜集權</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宜分權</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決策對組織未來之影響性</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影響愈大愈宜集權</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影響較小可分權</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決策之可逆轉性</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可逆性低宜集權</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可逆性高可分權</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對其他功能之影響性</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牽連愈廣愈宜集權</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影響局部可分權</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事件之稀有性與非程序化程度</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愈稀有愈非例行愈宜高層決策</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愈例行愈標準化愈可分權</w:t>
            </w:r>
          </w:p>
        </w:tc>
      </w:tr>
    </w:tbl>
    <w:p>
      <w:pPr>
        <w:spacing w:after="280" w:before="120"/>
        <w:jc w:val="center"/>
      </w:pPr>
      <w:r>
        <w:rPr>
          <w:rFonts w:ascii="微軟正黑體" w:cs="微軟正黑體" w:eastAsia="微軟正黑體" w:hAnsi="微軟正黑體"/>
          <w:i/>
          <w:iCs/>
          <w:color w:val="555555"/>
          <w:sz w:val="18"/>
          <w:szCs w:val="18"/>
        </w:rPr>
        <w:t xml:space="preserve">表17-E　集權與分權之情境因素（Vroom-Yetton啟示）</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組織圖雖有助釐清正式關係，卻無法呈現非正式網絡與數據流；智慧政府應同時繪製權責組織圖、流程圖與數據流圖，方能掌握實際運作。此一命題在平台化組織中尤為關鍵——我國數位發展部推動之「政府資料開放平台」「MyData平台」，即體現「各機關不再自建煙囪，而是呼叫中台能力」之當代整合邏輯，此設計降低重複投資、加速服務上線，並促成跨域資料整合，為集權分權光譜之外，第三種整合路徑（共用能力而非層級指揮）之具體實踐。</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機制</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集權分權之權變判斷（Vroom-Yetton啟示）</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提供決策權歸屬之系統性判準，避免「一律集權」或「一律分權」之僵化思維</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四項情境因素之判斷在實務上仍具主觀性，不同層級行為者對同一決策之「影響性」「稀有性」判斷可能不一致</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平台化組織與共用中台</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降低各機關重複投資、加速服務上線、促成跨域資料整合，為傳統集權分權二元之外提供第三種整合路徑</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中台團隊之技術決策易與各機關之法定職權產生權威歸屬模糊，中台故障或資安事件之責任亦可能波及多個機關</w:t>
            </w:r>
          </w:p>
        </w:tc>
      </w:tr>
    </w:tbl>
    <w:p>
      <w:pPr>
        <w:spacing w:after="280" w:before="120"/>
        <w:jc w:val="center"/>
      </w:pPr>
      <w:r>
        <w:rPr>
          <w:rFonts w:ascii="微軟正黑體" w:cs="微軟正黑體" w:eastAsia="微軟正黑體" w:hAnsi="微軟正黑體"/>
          <w:i/>
          <w:iCs/>
          <w:color w:val="555555"/>
          <w:sz w:val="18"/>
          <w:szCs w:val="18"/>
        </w:rPr>
        <w:t xml:space="preserve">表17-F　集權分權與平台化整合機制之貢獻與限制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台灣推動地方分權、行政法人與地方創生，皆為分權化策略之具體實踐（詳見第十六章）；而數位發展部之「政府資料開放平台」，則示範集權分權光譜之外，透過共用中台達成「集中建設、分散使用」之新整合模式——技術層面適度集中（中台統一建設與維運），應用層面則保留各機關因地制宜之彈性（前台輕量客製化服務）。</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單一窗口」「一站式服務」即為分化後整合機制之實務體現，透過標準化流程與聯絡窗口降低民眾跨機關往返成本；數位發展部之MyData平台則進一步以數據治理取代層級治理，民眾一次同意，多機關共用資料，展現整合機制從「人力協調」走向「數據治理」之當代轉型。</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①集權分權之定義、優缺點比較</w:t>
            </w:r>
          </w:p>
          <w:p>
            <w:pPr>
              <w:spacing w:after="80" w:line="320"/>
            </w:pPr>
            <w:r>
              <w:rPr>
                <w:rFonts w:ascii="微軟正黑體" w:cs="微軟正黑體" w:eastAsia="微軟正黑體" w:hAnsi="微軟正黑體"/>
                <w:sz w:val="21"/>
                <w:szCs w:val="21"/>
              </w:rPr>
              <w:t xml:space="preserve">•　②集權分權情境因素（Vroom-Yetton啟示）：影響性／可逆性／牽連性／稀有性</w:t>
            </w:r>
          </w:p>
          <w:p>
            <w:pPr>
              <w:spacing w:after="80" w:line="320"/>
            </w:pPr>
            <w:r>
              <w:rPr>
                <w:rFonts w:ascii="微軟正黑體" w:cs="微軟正黑體" w:eastAsia="微軟正黑體" w:hAnsi="微軟正黑體"/>
                <w:sz w:val="21"/>
                <w:szCs w:val="21"/>
              </w:rPr>
              <w:t xml:space="preserve">•　③Mintzberg整合機制：直接監督／標準化（流程結果技能）／相互調整</w:t>
            </w:r>
          </w:p>
          <w:p>
            <w:pPr>
              <w:spacing w:after="0" w:line="320"/>
            </w:pPr>
            <w:r>
              <w:rPr>
                <w:rFonts w:ascii="微軟正黑體" w:cs="微軟正黑體" w:eastAsia="微軟正黑體" w:hAnsi="微軟正黑體"/>
                <w:sz w:val="21"/>
                <w:szCs w:val="21"/>
              </w:rPr>
              <w:t xml:space="preserve">•　④平台化組織：前台／中台／後台三層架構；政府從層級提供者轉為平台治理者</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集權分權情境因素口訣：影（響性）、逆（轉性）、牽（連性）、稀（有性）——「影逆牽稀」四字訣，皆指向「愈重大愈宜集權」</w:t>
            </w:r>
          </w:p>
          <w:p>
            <w:pPr>
              <w:spacing w:after="80" w:line="320"/>
            </w:pPr>
            <w:r>
              <w:rPr>
                <w:rFonts w:ascii="微軟正黑體" w:cs="微軟正黑體" w:eastAsia="微軟正黑體" w:hAnsi="微軟正黑體"/>
                <w:sz w:val="21"/>
                <w:szCs w:val="21"/>
              </w:rPr>
              <w:t xml:space="preserve">•　整合機制口訣：直（接監督）、標（準化）、相（互調整）——「直標相」三字訣</w:t>
            </w:r>
          </w:p>
          <w:p>
            <w:pPr>
              <w:spacing w:after="0" w:line="320"/>
            </w:pPr>
            <w:r>
              <w:rPr>
                <w:rFonts w:ascii="微軟正黑體" w:cs="微軟正黑體" w:eastAsia="微軟正黑體" w:hAnsi="微軟正黑體"/>
                <w:sz w:val="21"/>
                <w:szCs w:val="21"/>
              </w:rPr>
              <w:t xml:space="preserve">•　平台化一句話記憶：前台服務民眾，中台共用能力，後台管資料——三層各司其職</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集權分權」（決策權歸屬之制度安排，屬層級指揮邏輯）與「平台化組織之中台設計」（技術能力集中建設、應用彈性分散使用，屬能力共享邏輯）常被考生視為同一組光譜之兩端——兩者並非同一維度：集權分權處理「誰有權決定」，中台設計處理「誰來提供共用能力、誰來使用」，一機關可能在決策權上高度分權，同時在技術能力上高度依賴集中中台，兩者可並存而非互斥。</w:t>
            </w:r>
          </w:p>
          <w:p>
            <w:pPr>
              <w:spacing w:after="0" w:line="320"/>
            </w:pPr>
            <w:r>
              <w:rPr>
                <w:rFonts w:ascii="微軟正黑體" w:cs="微軟正黑體" w:eastAsia="微軟正黑體" w:hAnsi="微軟正黑體"/>
                <w:sz w:val="21"/>
                <w:szCs w:val="21"/>
              </w:rPr>
              <w:t xml:space="preserve">•　「標準化」（Mintzberg整合機制之一，透過流程結果或技能之統一規範達成協調，事前設計）與「直接監督」（透過層級指揮即時協調，事中介入）常被考生混為一談——標準化係透過「預先設計好的規則」達成協調，直接監督則係透過「主管的即時指揮」達成協調，兩者介入時點與邏輯不同。</w:t>
            </w:r>
          </w:p>
        </w:tc>
      </w:tr>
    </w:tbl>
    <w:p>
      <w:pPr>
        <w:spacing w:after="260"/>
      </w:pPr>
    </w:p>
    <w:p>
      <w:pPr>
        <w:spacing w:after="180" w:before="360"/>
      </w:pPr>
      <w:r>
        <w:rPr>
          <w:rFonts w:ascii="微軟正黑體" w:cs="微軟正黑體" w:eastAsia="微軟正黑體" w:hAnsi="微軟正黑體"/>
          <w:b/>
          <w:bCs/>
          <w:color w:val="1F4E79"/>
          <w:sz w:val="26"/>
          <w:szCs w:val="26"/>
        </w:rPr>
        <w:t xml:space="preserve">第四節　AI鑲嵌下的組織設計：演算法控制幅度與人機共構</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AI浪潮使組織設計從「以人為中心之科層」轉向「人機協作之平台生態」，傳統以職位為單位之設計，需擴充以「數據、演算法、運算力」與「人類判斷」為共同構件之設計；AI中台（AI Middle Platform）指將分散於各局處之數據、標註、模型、API與算力，集中為可共用之智慧能力中樞，包括數據中台、算法中台與業務中台三層。</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數位孿生組織（Digital Twin Organization, DTO）以數位模型即時映射實體組織之人員、流程、負載與績效，透過模擬不同組織設計（例如調整分局轄區、櫃台人力）對服務等待時間之影響，進行無風險之組織實驗，國際上如新加坡GovTech之平台化與數位孿生實踐，台灣部分縣市亦開始試行交通與災防DTO。</w:t>
      </w:r>
    </w:p>
    <w:p>
      <w:pPr>
        <w:pStyle w:val="ListParagraph"/>
        <w:numPr>
          <w:ilvl w:val="0"/>
          <w:numId w:val="2"/>
        </w:numPr>
        <w:spacing w:after="120" w:line="340"/>
      </w:pPr>
      <w:r>
        <w:rPr>
          <w:rFonts w:ascii="微軟正黑體" w:cs="微軟正黑體" w:eastAsia="微軟正黑體" w:hAnsi="微軟正黑體"/>
          <w:sz w:val="22"/>
          <w:szCs w:val="22"/>
        </w:rPr>
        <w:t xml:space="preserve">AI使控制幅度之限制從人類認知轉為演算法可處理量。演算法管理（Algorithmic Management）指以規則引擎與機器學習自動分配任務、監督進度與評估績效，使一位主管監督數十位第一線客服或稽查員成為可能，惟擴張之幅度必須搭配人機協作原則，形成HITL╱HOTL╱HIC三分法：人在迴路（HITL, Human-in-the-Loop）用於高風險決策（如社會福利資格審查），人類作最終判斷；人在迴路上（HOTL, Human-on-the-Loop）用於中風險自動化，AI自動執行但人類隨時可介入；人機共構（HIC, Human-in-Command）強調人類掌握目標與價值設定，AI僅為工具。此三分法重塑組織層級與課責鏈，使控制從「管人」轉為「管數據、管模型、管例外」。</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3200"/>
        <w:gridCol w:w="2200"/>
        <w:gridCol w:w="2226"/>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類型</w:t>
            </w:r>
          </w:p>
        </w:tc>
        <w:tc>
          <w:tcPr>
            <w:tcW w:type="dxa" w:w="3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適用風險情境</w:t>
            </w:r>
          </w:p>
        </w:tc>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AI角色</w:t>
            </w:r>
          </w:p>
        </w:tc>
        <w:tc>
          <w:tcPr>
            <w:tcW w:type="dxa" w:w="22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人類角色</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HITL 人在迴路</w:t>
            </w:r>
          </w:p>
        </w:tc>
        <w:tc>
          <w:tcPr>
            <w:tcW w:type="dxa" w:w="3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高風險、低容錯，如兒虐風險與社福資格審查</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提出建議、標示風險等級</w:t>
            </w:r>
          </w:p>
        </w:tc>
        <w:tc>
          <w:tcPr>
            <w:tcW w:type="dxa" w:w="2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作最終決定，AI僅供參考不得逕行執行</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HOTL 人在迴路上</w:t>
            </w:r>
          </w:p>
        </w:tc>
        <w:tc>
          <w:tcPr>
            <w:tcW w:type="dxa" w:w="3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中風險、大規模例行性，如AI客服自動回應</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自動執行例行任務</w:t>
            </w:r>
          </w:p>
        </w:tc>
        <w:tc>
          <w:tcPr>
            <w:tcW w:type="dxa" w:w="2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透過儀表板監控異常，隨時可介入或喊停</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HIC 人機共構</w:t>
            </w:r>
          </w:p>
        </w:tc>
        <w:tc>
          <w:tcPr>
            <w:tcW w:type="dxa" w:w="3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目標與價值設定層次</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作為執行工具，不涉入目標裁定</w:t>
            </w:r>
          </w:p>
        </w:tc>
        <w:tc>
          <w:tcPr>
            <w:tcW w:type="dxa" w:w="2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掌握任務目標、價值排序與最終責任</w:t>
            </w:r>
          </w:p>
        </w:tc>
      </w:tr>
    </w:tbl>
    <w:p>
      <w:pPr>
        <w:spacing w:after="280" w:before="120"/>
        <w:jc w:val="center"/>
      </w:pPr>
      <w:r>
        <w:rPr>
          <w:rFonts w:ascii="微軟正黑體" w:cs="微軟正黑體" w:eastAsia="微軟正黑體" w:hAnsi="微軟正黑體"/>
          <w:i/>
          <w:iCs/>
          <w:color w:val="555555"/>
          <w:sz w:val="18"/>
          <w:szCs w:val="18"/>
        </w:rPr>
        <w:t xml:space="preserve">表17-G　HITL／HOTL／HIC人機共構風險分級對照</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本專節聚焦治理挑戰：當AI代理人能自主執行查核、回應與派案時，傳統科層、平台與AI代理人網絡三種設計如何抉擇？控制幅度是否失效？科層擅長穩定法治與課責，但層級多導致遲緩；平台設計以共用中台支撐前台敏捷，強調API治理與生態協作；AI代理人網絡則由語意理解、法規檢索、風險評估等多個專責代理人與人類組成任務網絡，自主分工。三者為演進關係：例行服務由代理人網絡承接，跨域整合由平台中台支援，重大價值判斷仍保留於科層。AI鑲嵌治理過程中存在三種權力移轉：情境建構權（P1）延伸——AI中台之數據標註與模型訓練規則，實質決定了前台AI代理人「看得到什麼」「判得出什麼」，誰有權設計中台之分類邏輯，便掌握了整個平台化組織之情境建構權；行政裁量權（P2）移轉——演算法控制幅度使一位主管得以監督數十個人機混合節點，原本分散於各線承辦人員之裁量，部分被規則引擎與機器學習模型之預設參數所取代，HOTL情境下人類雖保有「隨時介入」之權力，但若例外案件觸發頻率過低，人類介入之實質裁量能力恐隨時間弱化；公權力影響力（P3）擴散——AI代理人網絡若承接愈來愈多例行服務，設計語意分流邏輯與知識庫內容之技術團隊，便對「民眾陳情如何被分類、被導向哪個機關」擁有等同於第一線公務員之實質影響力，卻未必受到相同之考績與課責機制拘束。三種結構性效應中，本章以權威重構最為核心：當控制幅度從「監督5至7位部屬」擴張為「監督50個以上人機混合節點」，傳統以人數與層級界定之權威結構，便需要新的儀表板、例外管理機制與可解釋性設計，方能維持「正式權威隨裁量位移而同步移動」之基本要求。</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AI中台與數位孿生組織</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降低各局處重複訓練低品質模型之風險，提升模型品質與集體學習，數位孿生組織提供無風險組織實驗場域</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中台團隊之技術決策易與各機關法定職權產生權威歸屬模糊，數位孿生模擬結果之信度亦須審慎驗證，避免過度依賴模擬決策</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HITL╱HOTL╱HIC人機共構三分法</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提供風險導向之人機分工操作性框架，使控制幅度擴張同時兼顧高風險決策之人類最終把關</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HOTL情境下人類介入之實質裁量能力可能隨例外觸發頻率過低而逐漸弱化，風險分級本身之判定標準亦須持續檢討更新</w:t>
            </w:r>
          </w:p>
        </w:tc>
      </w:tr>
    </w:tbl>
    <w:p>
      <w:pPr>
        <w:spacing w:after="280" w:before="120"/>
        <w:jc w:val="center"/>
      </w:pPr>
      <w:r>
        <w:rPr>
          <w:rFonts w:ascii="微軟正黑體" w:cs="微軟正黑體" w:eastAsia="微軟正黑體" w:hAnsi="微軟正黑體"/>
          <w:i/>
          <w:iCs/>
          <w:color w:val="555555"/>
          <w:sz w:val="18"/>
          <w:szCs w:val="18"/>
        </w:rPr>
        <w:t xml:space="preserve">表17-H　AI組織設計架構之貢獻與限制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Dunleavy與Margetts提出第三波數位時代治理（DEG 3.0），指出政府從電子化轉向數據密集與AI鑲嵌，組織設計從內部資訊化轉向外部生態化，從流程自動化轉向智慧化，從煙囪轉向平台中台化；機械式規則可編碼為規則引擎，但過度編碼易僵化，有機式強調相互調整，與生成式AI快速試誤契合；矩陣之雙重權威演化為人類主管與AI中台雙重報告，網絡與虛擬組織則因AI降低交易成本而更可行，GovTech組織即為代表。</w:t>
      </w:r>
    </w:p>
    <w:p>
      <w:pPr>
        <w:spacing w:after="140" w:before="260"/>
      </w:pPr>
      <w:r>
        <w:rPr>
          <w:rFonts w:ascii="微軟正黑體" w:cs="微軟正黑體" w:eastAsia="微軟正黑體" w:hAnsi="微軟正黑體"/>
          <w:b/>
          <w:bCs/>
          <w:color w:val="2E5C8A"/>
          <w:sz w:val="23"/>
          <w:szCs w:val="23"/>
        </w:rPr>
        <w:t xml:space="preserve">七、臺灣行政實務</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4826"/>
        <w:gridCol w:w="2600"/>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48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本章對應內容</w:t>
            </w:r>
          </w:p>
        </w:tc>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情境建構鏈</w:t>
            </w:r>
          </w:p>
        </w:tc>
        <w:tc>
          <w:tcPr>
            <w:tcW w:type="dxa" w:w="4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AI中台之數據標註規則與分類邏輯，決定前台AI代理人可處理與不可處理之案件範圍</w:t>
            </w:r>
          </w:p>
        </w:tc>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組織能力審計、資料代表性審計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權威鏈</w:t>
            </w:r>
          </w:p>
        </w:tc>
        <w:tc>
          <w:tcPr>
            <w:tcW w:type="dxa" w:w="4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演算法控制幅度擴張後，正式權威是否隨裁量位移同步調整，或停留於舊有之人數層級假定</w:t>
            </w:r>
          </w:p>
        </w:tc>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裁量邊界審計、組織能力審計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理由鏈</w:t>
            </w:r>
          </w:p>
        </w:tc>
        <w:tc>
          <w:tcPr>
            <w:tcW w:type="dxa" w:w="4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HOTL情境下，AI自動執行之案件，其判斷邏輯是否可供人類主管於儀表板上即時檢視與理解</w:t>
            </w:r>
          </w:p>
        </w:tc>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理由說明審計、裁量邊界審計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責任鏈</w:t>
            </w:r>
          </w:p>
        </w:tc>
        <w:tc>
          <w:tcPr>
            <w:tcW w:type="dxa" w:w="4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當人機混合節點之例外案件因人類介入延遲或疏漏而生錯誤，責任應歸屬人類主管或系統設計者</w:t>
            </w:r>
          </w:p>
        </w:tc>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責任歸屬審計、民主課責審計</w:t>
            </w:r>
          </w:p>
        </w:tc>
      </w:tr>
    </w:tbl>
    <w:p>
      <w:pPr>
        <w:spacing w:after="280" w:before="120"/>
        <w:jc w:val="center"/>
      </w:pPr>
      <w:r>
        <w:rPr>
          <w:rFonts w:ascii="微軟正黑體" w:cs="微軟正黑體" w:eastAsia="微軟正黑體" w:hAnsi="微軟正黑體"/>
          <w:i/>
          <w:iCs/>
          <w:color w:val="555555"/>
          <w:sz w:val="18"/>
          <w:szCs w:val="18"/>
        </w:rPr>
        <w:t xml:space="preserve">表17-I　組織設計階段四鏈七審應用</w:t>
      </w:r>
    </w:p>
    <w:p>
      <w:pPr>
        <w:spacing w:after="200" w:line="360"/>
        <w:ind w:firstLine="431"/>
        <w:jc w:val="both"/>
      </w:pPr>
      <w:r>
        <w:rPr>
          <w:rFonts w:ascii="微軟正黑體" w:cs="微軟正黑體" w:eastAsia="微軟正黑體" w:hAnsi="微軟正黑體"/>
          <w:sz w:val="22"/>
          <w:szCs w:val="22"/>
        </w:rPr>
        <w:t xml:space="preserve">台北市1999導入AI語意分流與知識庫推薦系統後，組織型態由傳統金字塔式接線中心，轉化為「前台輕量人類客服、中台AI語意理解、後台局處專家網絡」之三層架構，原接線員轉型為二線複雜案件處理與知識工程師；新北市與桃園市則進一步設置矩陣式智慧客服推動辦公室，整合資訊單位、研考單位與各業務局處人力，成員同時向智慧客服辦公室與原屬功能部門雙重報告，並以HOTL儀表板監控AI自動回覆之品質與異常案件。新加坡政府科技局（GovTech）則以「開放政府產品」團隊扮演中台角色，將身分驗證、資料交換、支付等共用能力集中提供，前台各部會服務得以輕量、快速上線，展現「政府即平台」（Government as a Platform）之代表性實踐。此三案例共同顯示，AI增強組織設計之本質並非以AI取代人力，而是將人力從高重複性之基礎作業，重新配置至AI難以勝任之複雜判斷、知識治理與例外管理任務。</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①AI中台三層：數據中台／算法中台／業務中台；數位孿生組織（DTO）之定義</w:t>
            </w:r>
          </w:p>
          <w:p>
            <w:pPr>
              <w:spacing w:after="80" w:line="320"/>
            </w:pPr>
            <w:r>
              <w:rPr>
                <w:rFonts w:ascii="微軟正黑體" w:cs="微軟正黑體" w:eastAsia="微軟正黑體" w:hAnsi="微軟正黑體"/>
                <w:sz w:val="21"/>
                <w:szCs w:val="21"/>
              </w:rPr>
              <w:t xml:space="preserve">•　②演算法控制幅度：控制幅度上限從人類認知轉為演算法可處理量</w:t>
            </w:r>
          </w:p>
          <w:p>
            <w:pPr>
              <w:spacing w:after="80" w:line="320"/>
            </w:pPr>
            <w:r>
              <w:rPr>
                <w:rFonts w:ascii="微軟正黑體" w:cs="微軟正黑體" w:eastAsia="微軟正黑體" w:hAnsi="微軟正黑體"/>
                <w:sz w:val="21"/>
                <w:szCs w:val="21"/>
              </w:rPr>
              <w:t xml:space="preserve">•　③HITL/HOTL/HIC三分法：適用風險情境、AI角色、人類角色</w:t>
            </w:r>
          </w:p>
          <w:p>
            <w:pPr>
              <w:spacing w:after="80" w:line="320"/>
            </w:pPr>
            <w:r>
              <w:rPr>
                <w:rFonts w:ascii="微軟正黑體" w:cs="微軟正黑體" w:eastAsia="微軟正黑體" w:hAnsi="微軟正黑體"/>
                <w:sz w:val="21"/>
                <w:szCs w:val="21"/>
              </w:rPr>
              <w:t xml:space="preserve">•　④三種權力移轉：P1情境建構權（中台分類邏輯設計權）／P2行政裁量權（預設參數取代承辦人員裁量）／P3公權力影響力（語意分流邏輯設計團隊之實質影響力）</w:t>
            </w:r>
          </w:p>
          <w:p>
            <w:pPr>
              <w:spacing w:after="80" w:line="320"/>
            </w:pPr>
            <w:r>
              <w:rPr>
                <w:rFonts w:ascii="微軟正黑體" w:cs="微軟正黑體" w:eastAsia="微軟正黑體" w:hAnsi="微軟正黑體"/>
                <w:sz w:val="21"/>
                <w:szCs w:val="21"/>
              </w:rPr>
              <w:t xml:space="preserve">•　⑤權威重構：控制幅度從監督5-7人擴張為監督50+人機混合節點，權威結構須搭配儀表板與例外管理機制</w:t>
            </w:r>
          </w:p>
          <w:p>
            <w:pPr>
              <w:spacing w:after="0" w:line="320"/>
            </w:pPr>
            <w:r>
              <w:rPr>
                <w:rFonts w:ascii="微軟正黑體" w:cs="微軟正黑體" w:eastAsia="微軟正黑體" w:hAnsi="微軟正黑體"/>
                <w:sz w:val="21"/>
                <w:szCs w:val="21"/>
              </w:rPr>
              <w:t xml:space="preserve">•　⑥四鏈七審於AI中台、演算法控制幅度、台北市1999、新加坡GovTech之應用</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AI中台三層口訣：數（據中台）、算（法中台）、業（務中台）——「數算業」三字訣</w:t>
            </w:r>
          </w:p>
          <w:p>
            <w:pPr>
              <w:spacing w:after="80" w:line="320"/>
            </w:pPr>
            <w:r>
              <w:rPr>
                <w:rFonts w:ascii="微軟正黑體" w:cs="微軟正黑體" w:eastAsia="微軟正黑體" w:hAnsi="微軟正黑體"/>
                <w:sz w:val="21"/>
                <w:szCs w:val="21"/>
              </w:rPr>
              <w:t xml:space="preserve">•　HITL/HOTL/HIC記憶：迴路裡（AI建議人決定）、迴路上（AI自動人監控）、共構（人定目標AI執行）——風險由高到低對應人類介入程度由深到淺</w:t>
            </w:r>
          </w:p>
          <w:p>
            <w:pPr>
              <w:spacing w:after="0" w:line="320"/>
            </w:pPr>
            <w:r>
              <w:rPr>
                <w:rFonts w:ascii="微軟正黑體" w:cs="微軟正黑體" w:eastAsia="微軟正黑體" w:hAnsi="微軟正黑體"/>
                <w:sz w:val="21"/>
                <w:szCs w:val="21"/>
              </w:rPr>
              <w:t xml:space="preserve">•　權威重構一句話記憶：從盯5-7個人，到盯50個人機混合節點——控制幅度沒有消失，只是換了演算法來幫忙</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HITL（人在迴路）」（AI僅提出建議，人類作最終決定，AI不得逕行執行，適用高風險低容錯情境）與「HOTL（人在迴路上）」（AI自動執行例行任務，人類透過儀表板監控異常並隨時可介入，適用中風險大規模情境）常被考生混淆——判準在於「AI是否已經執行」：HITL是「AI先建議、人先決定、再執行」，HOTL是「AI先執行、人事後監控、必要時喊停」，兩者人類介入之時點前後不同，此一區辨為國考熱門考點。</w:t>
            </w:r>
          </w:p>
          <w:p>
            <w:pPr>
              <w:spacing w:after="0" w:line="320"/>
            </w:pPr>
            <w:r>
              <w:rPr>
                <w:rFonts w:ascii="微軟正黑體" w:cs="微軟正黑體" w:eastAsia="微軟正黑體" w:hAnsi="微軟正黑體"/>
                <w:sz w:val="21"/>
                <w:szCs w:val="21"/>
              </w:rPr>
              <w:t xml:space="preserve">•　「AI中台」（將分散於各局處之數據模型API與算力集中為可共用之智慧能力中樞，屬技術基礎設施層次）與「數位孿生組織」（以數位模型即時映射實體組織之人員流程負載與績效，用以進行無風險組織實驗，屬組織模擬層次）常被考生視為同一概念——AI中台解決的是「如何避免各局處重複造輪子、共用智慧能力」，數位孿生組織解決的是「如何在不動用真實資源的情況下，模擬測試不同組織設計方案」，兩者可協同運作但功能定位不同。</w:t>
            </w:r>
          </w:p>
        </w:tc>
      </w:tr>
    </w:tbl>
    <w:p>
      <w:pPr>
        <w:spacing w:after="260"/>
      </w:pPr>
    </w:p>
    <w:p>
      <w:pPr>
        <w:spacing w:after="200" w:before="400"/>
      </w:pPr>
      <w:r>
        <w:rPr>
          <w:rFonts w:ascii="微軟正黑體" w:cs="微軟正黑體" w:eastAsia="微軟正黑體" w:hAnsi="微軟正黑體"/>
          <w:b/>
          <w:bCs/>
          <w:sz w:val="32"/>
          <w:szCs w:val="32"/>
        </w:rPr>
        <w:t xml:space="preserve">【申論解題】</w:t>
      </w:r>
    </w:p>
    <w:p>
      <w:pPr>
        <w:spacing w:after="200" w:line="360"/>
        <w:ind w:firstLine="431"/>
        <w:jc w:val="both"/>
      </w:pPr>
      <w:r>
        <w:rPr>
          <w:rFonts w:ascii="微軟正黑體" w:cs="微軟正黑體" w:eastAsia="微軟正黑體" w:hAnsi="微軟正黑體"/>
          <w:sz w:val="22"/>
          <w:szCs w:val="22"/>
        </w:rPr>
        <w:t xml:space="preserve">本章語料庫（107-111年）僅查得1題與組織設計水平垂直分化相關之申論真題：108年-外交「新南向政策下之水平分化與垂直分化組織調整」，經查證其類科非屬一般行政類科，不列入本章完整解析；惟2026年9月新查得112-115年考選部公告試題後，題目二改列115年身心障礙人員三等考試真題（矩陣型結構），題目三改列113年高考二級「行政學研究」真題（AI趨勢下之政府協調連繫機制變革），均附「考題出處」標示。題目一仍依108年-外交真題所涉「水平分化與垂直分化」核心理論架構另行改寫之模擬命題，附「考題出處（重要說明）」標示。依全書格式定版說明，僅題目一（A級）提供基本得分版、標準版、高分版三種完整答案；題目二（B級）與題目三（C級）改為提供【參考答案·標準版】單一版本，並於【得分關鍵】【常見失分】之後新增【高分加分點】。</w:t>
      </w:r>
    </w:p>
    <w:p>
      <w:pPr>
        <w:spacing w:after="180" w:before="360"/>
      </w:pPr>
      <w:r>
        <w:rPr>
          <w:rFonts w:ascii="微軟正黑體" w:cs="微軟正黑體" w:eastAsia="微軟正黑體" w:hAnsi="微軟正黑體"/>
          <w:b/>
          <w:bCs/>
          <w:color w:val="1F4E79"/>
          <w:sz w:val="26"/>
          <w:szCs w:val="26"/>
        </w:rPr>
        <w:t xml:space="preserve">題目一（A級基本題·模擬命題）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並非歷屆試題。本語料庫（107-111年）中，本章查得1題（108年-外交「新南向政策組織分工調整」）與水平垂直分化直接相關之申論真題，惟經查證其類科（外交）非屬一般行政類科，不列入本章完整解析。本題系參考該題所涉「水平分化與垂直分化」核心理論架構，另行設計之一般行政情境模擬命題，並於此明確標示，避免與真實歷屆試題混淆。</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「某直轄市政府為提升為民服務效能與因應數位轉型需求，擬檢討所屬一級機關之組織分工。請從行政組織設計之『水平分化』（horizontal differentiation）與『垂直分化』（vertical differentiation）兩構面，分析可以採行之變革作法，以及需要連帶考量之配套作為。（25分）」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概念應用＋變革方案設計題」，考生須先釐清水平垂直分化之定義與判準，再分別就兩構面提出具體變革作法，並說明配套措施——若混淆水平垂直分化之判準（如將「工作性質」誤列為垂直分化考量），或未提出配套作為，均屬論述不完整。</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水平分化（Gulick 4P） ＋ 垂直分化（層級節制、控制幅度） ＋ 變革作法與配套作為。</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一、前言：分工之後，如何整合？</w:t>
      </w:r>
    </w:p>
    <w:p>
      <w:pPr>
        <w:pStyle w:val="ListParagraph"/>
        <w:numPr>
          <w:ilvl w:val="0"/>
          <w:numId w:val="2"/>
        </w:numPr>
        <w:spacing w:after="120" w:line="340"/>
      </w:pPr>
      <w:r>
        <w:rPr>
          <w:rFonts w:ascii="微軟正黑體" w:cs="微軟正黑體" w:eastAsia="微軟正黑體" w:hAnsi="微軟正黑體"/>
          <w:sz w:val="22"/>
          <w:szCs w:val="22"/>
        </w:rPr>
        <w:t xml:space="preserve">二、水平分化面向之變革作法</w:t>
      </w:r>
    </w:p>
    <w:p>
      <w:pPr>
        <w:pStyle w:val="ListParagraph"/>
        <w:numPr>
          <w:ilvl w:val="0"/>
          <w:numId w:val="2"/>
        </w:numPr>
        <w:spacing w:after="120" w:line="340"/>
      </w:pPr>
      <w:r>
        <w:rPr>
          <w:rFonts w:ascii="微軟正黑體" w:cs="微軟正黑體" w:eastAsia="微軟正黑體" w:hAnsi="微軟正黑體"/>
          <w:sz w:val="22"/>
          <w:szCs w:val="22"/>
        </w:rPr>
        <w:t xml:space="preserve">三、垂直分化面向之變革作法</w:t>
      </w:r>
    </w:p>
    <w:p>
      <w:pPr>
        <w:pStyle w:val="ListParagraph"/>
        <w:numPr>
          <w:ilvl w:val="0"/>
          <w:numId w:val="2"/>
        </w:numPr>
        <w:spacing w:after="120" w:line="340"/>
      </w:pPr>
      <w:r>
        <w:rPr>
          <w:rFonts w:ascii="微軟正黑體" w:cs="微軟正黑體" w:eastAsia="微軟正黑體" w:hAnsi="微軟正黑體"/>
          <w:sz w:val="22"/>
          <w:szCs w:val="22"/>
        </w:rPr>
        <w:t xml:space="preserve">四、配套作為</w:t>
      </w:r>
    </w:p>
    <w:p>
      <w:pPr>
        <w:pStyle w:val="ListParagraph"/>
        <w:numPr>
          <w:ilvl w:val="0"/>
          <w:numId w:val="2"/>
        </w:numPr>
        <w:spacing w:after="120" w:line="340"/>
      </w:pPr>
      <w:r>
        <w:rPr>
          <w:rFonts w:ascii="微軟正黑體" w:cs="微軟正黑體" w:eastAsia="微軟正黑體" w:hAnsi="微軟正黑體"/>
          <w:sz w:val="22"/>
          <w:szCs w:val="22"/>
        </w:rPr>
        <w:t xml:space="preserve">五、結論</w:t>
      </w:r>
    </w:p>
    <w:p>
      <w:pPr>
        <w:spacing w:after="100" w:before="160"/>
      </w:pPr>
      <w:r>
        <w:rPr>
          <w:rFonts w:ascii="微軟正黑體" w:cs="微軟正黑體" w:eastAsia="微軟正黑體" w:hAnsi="微軟正黑體"/>
          <w:b/>
          <w:bCs/>
          <w:color w:val="444444"/>
          <w:sz w:val="21"/>
          <w:szCs w:val="21"/>
        </w:rPr>
        <w:t xml:space="preserve">【參考答案·基本得分版】（約500-700字，考場時間不夠時至少拿到基本分）</w:t>
      </w:r>
    </w:p>
    <w:p>
      <w:pPr>
        <w:spacing w:after="200" w:line="360"/>
        <w:ind w:firstLine="431"/>
        <w:jc w:val="both"/>
      </w:pPr>
      <w:r>
        <w:rPr>
          <w:rFonts w:ascii="微軟正黑體" w:cs="微軟正黑體" w:eastAsia="微軟正黑體" w:hAnsi="微軟正黑體"/>
          <w:sz w:val="22"/>
          <w:szCs w:val="22"/>
        </w:rPr>
        <w:t xml:space="preserve">水平分化即部門化，按工作性質將組織水平切割為若干平行單位，Gulick提出4P原則：依目的、依過程、依地點、依服務對象四種分工基礎。垂直分化則依權力、責任與監督幅度形成指揮層級，建立層級節制體系與課責線；判斷標準為個人所具權力大小、責任程度與監督部屬數目（控制幅度），至於工作性質本身屬水平分化之判準，而非垂直分化。</w:t>
      </w:r>
    </w:p>
    <w:p>
      <w:pPr>
        <w:spacing w:after="200" w:line="360"/>
        <w:ind w:firstLine="431"/>
        <w:jc w:val="both"/>
      </w:pPr>
      <w:r>
        <w:rPr>
          <w:rFonts w:ascii="微軟正黑體" w:cs="微軟正黑體" w:eastAsia="微軟正黑體" w:hAnsi="微軟正黑體"/>
          <w:sz w:val="22"/>
          <w:szCs w:val="22"/>
        </w:rPr>
        <w:t xml:space="preserve">水平分化面向之變革作法，可檢討現行分部化基礎是否符合當前服務需求，例如將分散於不同過程別單位之數位服務整合為單一窗口，或依服務對象增設因應新興需求之專責單位。垂直分化面向之變革作法，可透過組織扁平化減少層級，擴大基層控制幅度並授權決策，以加速回應速度。配套作為則包括建立標準化作業流程、強化資訊系統支援與跨單位協調機制，確保分化後仍能有效整合，避免各自為政。</w:t>
      </w:r>
    </w:p>
    <w:p>
      <w:pPr>
        <w:spacing w:after="100" w:before="160"/>
      </w:pPr>
      <w:r>
        <w:rPr>
          <w:rFonts w:ascii="微軟正黑體" w:cs="微軟正黑體" w:eastAsia="微軟正黑體" w:hAnsi="微軟正黑體"/>
          <w:b/>
          <w:bCs/>
          <w:color w:val="444444"/>
          <w:sz w:val="21"/>
          <w:szCs w:val="21"/>
        </w:rPr>
        <w:t xml:space="preserve">【參考答案·標準版】（約1,150-1,400字，主要示範答案）</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組織變革若只問「該不該調整」，卻不問「從哪個維度調整」，往往流於零碎修補；水平分化與垂直分化正是分析組織變革的兩把系統性尺，缺一不可——前者決定「誰跟誰編在同一組」，後者決定「誰聽誰的、由誰最終拍板」。</w:t>
      </w:r>
    </w:p>
    <w:p>
      <w:pPr>
        <w:spacing w:after="200" w:line="360"/>
        <w:ind w:firstLine="431"/>
        <w:jc w:val="both"/>
      </w:pPr>
      <w:r>
        <w:rPr>
          <w:rFonts w:ascii="微軟正黑體" w:cs="微軟正黑體" w:eastAsia="微軟正黑體" w:hAnsi="微軟正黑體"/>
          <w:sz w:val="22"/>
          <w:szCs w:val="22"/>
        </w:rPr>
        <w:t xml:space="preserve">二、水平分化面向之變革作法</w:t>
      </w:r>
    </w:p>
    <w:p>
      <w:pPr>
        <w:spacing w:after="200" w:line="360"/>
        <w:ind w:firstLine="431"/>
        <w:jc w:val="both"/>
      </w:pPr>
      <w:r>
        <w:rPr>
          <w:rFonts w:ascii="微軟正黑體" w:cs="微軟正黑體" w:eastAsia="微軟正黑體" w:hAnsi="微軟正黑體"/>
          <w:sz w:val="22"/>
          <w:szCs w:val="22"/>
        </w:rPr>
        <w:t xml:space="preserve">水平分化即部門化，按工作性質將組織水平切割為若干平行單位，Gulick提出著名之4P原則：依目的╱功能（Purpose，如人事總處、主計總處）、依過程╱程序（Process，如戶政、地政）、依地點（Place，如各區公所）、依服務對象（Person，如原民會、客委會）。若擬提升為民服務效能，水平分化面向之變革可從兩方面著手：其一，檢討現行以「過程╱程序」為主之分部化邏輯（如資訊、戶政、地政各自為政）是否已不利於民眾之整合式需求，考慮增設以「服務對象」或「目的」為基礎之跨部門單一窗口或整合型服務單位；其二，因應數位轉型需求，可參考本章後段AI中台之設計邏輯，將分散於各局處之數位服務能力整合為共用之數位服務部門，降低重複建置。</w:t>
      </w:r>
    </w:p>
    <w:p>
      <w:pPr>
        <w:spacing w:after="200" w:line="360"/>
        <w:ind w:firstLine="431"/>
        <w:jc w:val="both"/>
      </w:pPr>
      <w:r>
        <w:rPr>
          <w:rFonts w:ascii="微軟正黑體" w:cs="微軟正黑體" w:eastAsia="微軟正黑體" w:hAnsi="微軟正黑體"/>
          <w:sz w:val="22"/>
          <w:szCs w:val="22"/>
        </w:rPr>
        <w:t xml:space="preserve">三、垂直分化面向之變革作法</w:t>
      </w:r>
    </w:p>
    <w:p>
      <w:pPr>
        <w:spacing w:after="200" w:line="360"/>
        <w:ind w:firstLine="431"/>
        <w:jc w:val="both"/>
      </w:pPr>
      <w:r>
        <w:rPr>
          <w:rFonts w:ascii="微軟正黑體" w:cs="微軟正黑體" w:eastAsia="微軟正黑體" w:hAnsi="微軟正黑體"/>
          <w:sz w:val="22"/>
          <w:szCs w:val="22"/>
        </w:rPr>
        <w:t xml:space="preserve">垂直分化依權力、責任與監督幅度形成指揮層級，判斷標準包括個人所具權力大小、責任程度，以及監督部屬數目即控制幅度；工作性質本身則屬水平分化之判準，而非垂直分化，此一區辨為本題作答之關鍵。垂直分化面向之變革可從兩方面著手：其一，檢討現行層級數是否過多，若因過度垂直分化導致溝通成本增加、資訊扭曲、決策延遲，可推動組織扁平化，減少中間層級；其二，配合扁平化之推動，應擴大基層單位主管之控制幅度並同步授權，使基層得以就地決策，加速回應民眾需求之速度。</w:t>
      </w:r>
    </w:p>
    <w:p>
      <w:pPr>
        <w:spacing w:after="200" w:line="360"/>
        <w:ind w:firstLine="431"/>
        <w:jc w:val="both"/>
      </w:pPr>
      <w:r>
        <w:rPr>
          <w:rFonts w:ascii="微軟正黑體" w:cs="微軟正黑體" w:eastAsia="微軟正黑體" w:hAnsi="微軟正黑體"/>
          <w:sz w:val="22"/>
          <w:szCs w:val="22"/>
        </w:rPr>
        <w:t xml:space="preserve">四、配套作為</w:t>
      </w:r>
    </w:p>
    <w:p>
      <w:pPr>
        <w:spacing w:after="200" w:line="360"/>
        <w:ind w:firstLine="431"/>
        <w:jc w:val="both"/>
      </w:pPr>
      <w:r>
        <w:rPr>
          <w:rFonts w:ascii="微軟正黑體" w:cs="微軟正黑體" w:eastAsia="微軟正黑體" w:hAnsi="微軟正黑體"/>
          <w:sz w:val="22"/>
          <w:szCs w:val="22"/>
        </w:rPr>
        <w:t xml:space="preserve">分化之後必須整合，方能避免各自為政。配套作為包括：其一，建立標準化作業流程與服務規範，確保跨單位之服務品質一致；其二，強化資訊系統支援，透過數據流圖與API治理架構，彌補傳統組織圖無法呈現之非正式網絡與數據流；其三，設置跨單位協調機制（如聯絡員、任務小組或整合管理者），處理水平分化後各單位間之協調需求；其四，控制幅度擴大後，應同步強化基層人員之訓練與幕僚支援，避免授權失焦。</w:t>
      </w:r>
    </w:p>
    <w:p>
      <w:pPr>
        <w:spacing w:after="200" w:line="360"/>
        <w:ind w:firstLine="431"/>
        <w:jc w:val="both"/>
      </w:pPr>
      <w:r>
        <w:rPr>
          <w:rFonts w:ascii="微軟正黑體" w:cs="微軟正黑體" w:eastAsia="微軟正黑體" w:hAnsi="微軟正黑體"/>
          <w:sz w:val="22"/>
          <w:szCs w:val="22"/>
        </w:rPr>
        <w:t xml:space="preserve">五、結論</w:t>
      </w:r>
    </w:p>
    <w:p>
      <w:pPr>
        <w:spacing w:after="200" w:line="360"/>
        <w:ind w:firstLine="431"/>
        <w:jc w:val="both"/>
      </w:pPr>
      <w:r>
        <w:rPr>
          <w:rFonts w:ascii="微軟正黑體" w:cs="微軟正黑體" w:eastAsia="微軟正黑體" w:hAnsi="微軟正黑體"/>
          <w:sz w:val="22"/>
          <w:szCs w:val="22"/>
        </w:rPr>
        <w:t xml:space="preserve">水平分化與垂直分化並非各自獨立之組織變革選項，而是同一套系統性變革工程之兩個構面；唯有同時檢視「如何分工」與「如何整合監督」，並搭配標準化流程、資訊系統與協調機制等配套作為，方能確保組織變革真正提升為民服務效能，而非僅止於組織圖之重新繪製。</w:t>
      </w:r>
    </w:p>
    <w:p>
      <w:pPr>
        <w:spacing w:after="100" w:before="160"/>
      </w:pPr>
      <w:r>
        <w:rPr>
          <w:rFonts w:ascii="微軟正黑體" w:cs="微軟正黑體" w:eastAsia="微軟正黑體" w:hAnsi="微軟正黑體"/>
          <w:b/>
          <w:bCs/>
          <w:color w:val="444444"/>
          <w:sz w:val="21"/>
          <w:szCs w:val="21"/>
        </w:rPr>
        <w:t xml:space="preserve">【參考答案·高分版補充】（在標準版基礎上，加入學者、比較、批判、當代案例、AI治理、臺灣實務）</w:t>
      </w:r>
    </w:p>
    <w:p>
      <w:pPr>
        <w:pStyle w:val="ListParagraph"/>
        <w:numPr>
          <w:ilvl w:val="0"/>
          <w:numId w:val="2"/>
        </w:numPr>
        <w:spacing w:after="120" w:line="340"/>
      </w:pPr>
      <w:r>
        <w:rPr>
          <w:rFonts w:ascii="微軟正黑體" w:cs="微軟正黑體" w:eastAsia="微軟正黑體" w:hAnsi="微軟正黑體"/>
          <w:sz w:val="22"/>
          <w:szCs w:val="22"/>
        </w:rPr>
        <w:t xml:space="preserve">補充古典原則視角：可援引專業分工原則、權責相符原則、協調原則等組織設計古典原則，說明變革方案應同時兼顧分工效率與整合成本，展現理論架構之完整性。</w:t>
      </w:r>
    </w:p>
    <w:p>
      <w:pPr>
        <w:pStyle w:val="ListParagraph"/>
        <w:numPr>
          <w:ilvl w:val="0"/>
          <w:numId w:val="2"/>
        </w:numPr>
        <w:spacing w:after="120" w:line="340"/>
      </w:pPr>
      <w:r>
        <w:rPr>
          <w:rFonts w:ascii="微軟正黑體" w:cs="微軟正黑體" w:eastAsia="微軟正黑體" w:hAnsi="微軟正黑體"/>
          <w:sz w:val="22"/>
          <w:szCs w:val="22"/>
        </w:rPr>
        <w:t xml:space="preserve">補充Lawrence &amp; Lorsch權變因素：可補充環境不確定性、組織策略、規模生命週期、技術特性、權力政治五項權變因素，說明該直轄市政府之變革方案應依其自身環境與任務特性權變設計，而非套用單一模板。</w:t>
      </w:r>
    </w:p>
    <w:p>
      <w:pPr>
        <w:pStyle w:val="ListParagraph"/>
        <w:numPr>
          <w:ilvl w:val="0"/>
          <w:numId w:val="2"/>
        </w:numPr>
        <w:spacing w:after="120" w:line="340"/>
      </w:pPr>
      <w:r>
        <w:rPr>
          <w:rFonts w:ascii="微軟正黑體" w:cs="微軟正黑體" w:eastAsia="微軟正黑體" w:hAnsi="微軟正黑體"/>
          <w:sz w:val="22"/>
          <w:szCs w:val="22"/>
        </w:rPr>
        <w:t xml:space="preserve">補充Morgan全像圖組織視角：可援引「將整體植入部分」「學習如何學習」等全像圖組織五大原理，說明整合機制之設計不應止於標準化流程，更應培養各單位對組織整體願景之共享認知。</w:t>
      </w:r>
    </w:p>
    <w:p>
      <w:pPr>
        <w:pStyle w:val="ListParagraph"/>
        <w:numPr>
          <w:ilvl w:val="0"/>
          <w:numId w:val="2"/>
        </w:numPr>
        <w:spacing w:after="120" w:line="340"/>
      </w:pPr>
      <w:r>
        <w:rPr>
          <w:rFonts w:ascii="微軟正黑體" w:cs="微軟正黑體" w:eastAsia="微軟正黑體" w:hAnsi="微軟正黑體"/>
          <w:sz w:val="22"/>
          <w:szCs w:val="22"/>
        </w:rPr>
        <w:t xml:space="preserve">補充AI治理視角：可延伸說明，若該直轄市政府進一步推動AI中台以整合分散之數位服務能力，則須同步考量本章第四節所述權威重構風險——技術團隊對中台分類邏輯之設計權，實質上具有情境建構權之性質，此一延伸展現跨節整合之論述廣度。</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須明確區辨水平分化與垂直分化之判準（工作性質屬水平分化，權力責任監督幅度屬垂直分化），不可混淆。</w:t>
      </w:r>
    </w:p>
    <w:p>
      <w:pPr>
        <w:pStyle w:val="ListParagraph"/>
        <w:numPr>
          <w:ilvl w:val="0"/>
          <w:numId w:val="2"/>
        </w:numPr>
        <w:spacing w:after="120" w:line="340"/>
      </w:pPr>
      <w:r>
        <w:rPr>
          <w:rFonts w:ascii="微軟正黑體" w:cs="微軟正黑體" w:eastAsia="微軟正黑體" w:hAnsi="微軟正黑體"/>
          <w:sz w:val="22"/>
          <w:szCs w:val="22"/>
        </w:rPr>
        <w:t xml:space="preserve">變革作法須具體扣緊「水平分化」與「垂直分化」兩個構面分別論述，不可籠統合併說明。</w:t>
      </w:r>
    </w:p>
    <w:p>
      <w:pPr>
        <w:pStyle w:val="ListParagraph"/>
        <w:numPr>
          <w:ilvl w:val="0"/>
          <w:numId w:val="2"/>
        </w:numPr>
        <w:spacing w:after="120" w:line="340"/>
      </w:pPr>
      <w:r>
        <w:rPr>
          <w:rFonts w:ascii="微軟正黑體" w:cs="微軟正黑體" w:eastAsia="微軟正黑體" w:hAnsi="微軟正黑體"/>
          <w:sz w:val="22"/>
          <w:szCs w:val="22"/>
        </w:rPr>
        <w:t xml:space="preserve">配套作為須完整涵蓋標準化流程、資訊系統、協調機制等整合面向，呼應「分化之後必須整合」之核心命題。</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將「工作性質」錯誤列為垂直分化之判斷基準，混淆水平垂直分化之判準。</w:t>
      </w:r>
    </w:p>
    <w:p>
      <w:pPr>
        <w:pStyle w:val="ListParagraph"/>
        <w:numPr>
          <w:ilvl w:val="0"/>
          <w:numId w:val="2"/>
        </w:numPr>
        <w:spacing w:after="120" w:line="340"/>
      </w:pPr>
      <w:r>
        <w:rPr>
          <w:rFonts w:ascii="微軟正黑體" w:cs="微軟正黑體" w:eastAsia="微軟正黑體" w:hAnsi="微軟正黑體"/>
          <w:sz w:val="22"/>
          <w:szCs w:val="22"/>
        </w:rPr>
        <w:t xml:space="preserve">❌ 變革作法籠統論述，未具體區分水平分化與垂直分化兩個構面分別提出作法。</w:t>
      </w:r>
    </w:p>
    <w:p>
      <w:pPr>
        <w:pStyle w:val="ListParagraph"/>
        <w:numPr>
          <w:ilvl w:val="0"/>
          <w:numId w:val="2"/>
        </w:numPr>
        <w:spacing w:after="120" w:line="340"/>
      </w:pPr>
      <w:r>
        <w:rPr>
          <w:rFonts w:ascii="微軟正黑體" w:cs="微軟正黑體" w:eastAsia="微軟正黑體" w:hAnsi="微軟正黑體"/>
          <w:sz w:val="22"/>
          <w:szCs w:val="22"/>
        </w:rPr>
        <w:t xml:space="preserve">❌ 未提出配套作為，或配套作為與分化變革脫節，未能呼應「分化後須整合」之核心命題。</w:t>
      </w:r>
    </w:p>
    <w:p>
      <w:pPr>
        <w:spacing w:after="220"/>
      </w:pPr>
    </w:p>
    <w:p>
      <w:pPr>
        <w:spacing w:after="180" w:before="360"/>
      </w:pPr>
      <w:r>
        <w:rPr>
          <w:rFonts w:ascii="微軟正黑體" w:cs="微軟正黑體" w:eastAsia="微軟正黑體" w:hAnsi="微軟正黑體"/>
          <w:b/>
          <w:bCs/>
          <w:color w:val="1F4E79"/>
          <w:sz w:val="26"/>
          <w:szCs w:val="26"/>
        </w:rPr>
        <w:t xml:space="preserve">題目二（B級申論題·115年身心障礙人員三等考試）</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考題出處</w:t>
            </w:r>
          </w:p>
          <w:p>
            <w:pPr>
              <w:spacing w:line="340"/>
              <w:jc w:val="both"/>
            </w:pPr>
            <w:r>
              <w:rPr>
                <w:rFonts w:ascii="微軟正黑體" w:cs="微軟正黑體" w:eastAsia="微軟正黑體" w:hAnsi="微軟正黑體"/>
                <w:sz w:val="21"/>
                <w:szCs w:val="21"/>
              </w:rPr>
              <w:t xml:space="preserve">115年公務人員特種考試關務人員、身心障礙人員考試及115年國軍上校以上軍官轉任公務人員考試（身心障礙人員考試，三等考試，一般行政），行政學，申論題第二題（25分）——完全符合一般行政類科、三等（相當高考三級）目標等別。</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「政府機關為因應多元任務，在組織設計上可以採行不同的結構安排。請說明何謂『矩陣型結構』（matrix structure）？請分別說明這種組織結構安排具備之優缺點為何？（25分）」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概念闡釋＋優缺點分析題」，考生須依序完成：定義矩陣型結構之意涵、逐一說明其優點、逐一說明其缺點——僅籠統稱矩陣式組織「兼具功能與任務導向」而未具體展開雙重指揮鏈之運作方式，或優缺點未分項條列而混雜論述，均屬論述不完整。</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矩陣型結構（matrix structure） ＋ 雙重指揮鏈（功能主管＋專案經理） ＋ 優點（彈性運用人才、跨域溝通）＋ 缺點（雙重權威衝突、角色模糊）。</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一、前言：矩陣型結構作為專業深度與任務彈性之折衷方案</w:t>
      </w:r>
    </w:p>
    <w:p>
      <w:pPr>
        <w:pStyle w:val="ListParagraph"/>
        <w:numPr>
          <w:ilvl w:val="0"/>
          <w:numId w:val="2"/>
        </w:numPr>
        <w:spacing w:after="120" w:line="340"/>
      </w:pPr>
      <w:r>
        <w:rPr>
          <w:rFonts w:ascii="微軟正黑體" w:cs="微軟正黑體" w:eastAsia="微軟正黑體" w:hAnsi="微軟正黑體"/>
          <w:sz w:val="22"/>
          <w:szCs w:val="22"/>
        </w:rPr>
        <w:t xml:space="preserve">二、矩陣型結構之意涵：雙重指揮鏈</w:t>
      </w:r>
    </w:p>
    <w:p>
      <w:pPr>
        <w:pStyle w:val="ListParagraph"/>
        <w:numPr>
          <w:ilvl w:val="0"/>
          <w:numId w:val="2"/>
        </w:numPr>
        <w:spacing w:after="120" w:line="340"/>
      </w:pPr>
      <w:r>
        <w:rPr>
          <w:rFonts w:ascii="微軟正黑體" w:cs="微軟正黑體" w:eastAsia="微軟正黑體" w:hAnsi="微軟正黑體"/>
          <w:sz w:val="22"/>
          <w:szCs w:val="22"/>
        </w:rPr>
        <w:t xml:space="preserve">三、矩陣型結構之優點</w:t>
      </w:r>
    </w:p>
    <w:p>
      <w:pPr>
        <w:pStyle w:val="ListParagraph"/>
        <w:numPr>
          <w:ilvl w:val="0"/>
          <w:numId w:val="2"/>
        </w:numPr>
        <w:spacing w:after="120" w:line="340"/>
      </w:pPr>
      <w:r>
        <w:rPr>
          <w:rFonts w:ascii="微軟正黑體" w:cs="微軟正黑體" w:eastAsia="微軟正黑體" w:hAnsi="微軟正黑體"/>
          <w:sz w:val="22"/>
          <w:szCs w:val="22"/>
        </w:rPr>
        <w:t xml:space="preserve">四、矩陣型結構之缺點</w:t>
      </w:r>
    </w:p>
    <w:p>
      <w:pPr>
        <w:pStyle w:val="ListParagraph"/>
        <w:numPr>
          <w:ilvl w:val="0"/>
          <w:numId w:val="2"/>
        </w:numPr>
        <w:spacing w:after="120" w:line="340"/>
      </w:pPr>
      <w:r>
        <w:rPr>
          <w:rFonts w:ascii="微軟正黑體" w:cs="微軟正黑體" w:eastAsia="微軟正黑體" w:hAnsi="微軟正黑體"/>
          <w:sz w:val="22"/>
          <w:szCs w:val="22"/>
        </w:rPr>
        <w:t xml:space="preserve">五、結論</w:t>
      </w:r>
    </w:p>
    <w:p>
      <w:pPr>
        <w:spacing w:after="100" w:before="160"/>
      </w:pPr>
      <w:r>
        <w:rPr>
          <w:rFonts w:ascii="微軟正黑體" w:cs="微軟正黑體" w:eastAsia="微軟正黑體" w:hAnsi="微軟正黑體"/>
          <w:b/>
          <w:bCs/>
          <w:color w:val="444444"/>
          <w:sz w:val="21"/>
          <w:szCs w:val="21"/>
        </w:rPr>
        <w:t xml:space="preserve">【參考答案·標準版】（約1,150字）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政府機關為因應日趨多元、跨域且具高度不確定性之公共任務，在組織設計上除傳統依專業功能劃分之功能式結構外，亦可採行「矩陣型結構」（matrix structure）此一混合設計，兼顧專業深度與任務彈性，是理解當代政府組織設計光譜之重要一環。</w:t>
      </w:r>
    </w:p>
    <w:p>
      <w:pPr>
        <w:spacing w:after="200" w:line="360"/>
        <w:ind w:firstLine="431"/>
        <w:jc w:val="both"/>
      </w:pPr>
      <w:r>
        <w:rPr>
          <w:rFonts w:ascii="微軟正黑體" w:cs="微軟正黑體" w:eastAsia="微軟正黑體" w:hAnsi="微軟正黑體"/>
          <w:sz w:val="22"/>
          <w:szCs w:val="22"/>
        </w:rPr>
        <w:t xml:space="preserve">二、矩陣型結構之意涵：雙重指揮鏈</w:t>
      </w:r>
    </w:p>
    <w:p>
      <w:pPr>
        <w:spacing w:after="200" w:line="360"/>
        <w:ind w:firstLine="431"/>
        <w:jc w:val="both"/>
      </w:pPr>
      <w:r>
        <w:rPr>
          <w:rFonts w:ascii="微軟正黑體" w:cs="微軟正黑體" w:eastAsia="微軟正黑體" w:hAnsi="微軟正黑體"/>
          <w:sz w:val="22"/>
          <w:szCs w:val="22"/>
        </w:rPr>
        <w:t xml:space="preserve">矩陣型結構係指組織成員同時隸屬於功能部門（如人事、資訊、工程等專業單位）與特定專案或任務小組，形成「雙重指揮鏈」：成員一方面向其原屬功能主管報告專業表現與職涯發展，另一方面向專案經理報告任務進度與成果，兩條指揮線同時並存、交錯運作，此與功能式組織（成員僅隸屬單一功能部門）及事業部制（成員依產品、地區或計畫劃分為半自主單位、各自負責盈虧）均有明顯不同，矩陣型結構之特色正在於「不必二選一」，而是讓專業與任務同時獲得制度性照顧。</w:t>
      </w:r>
    </w:p>
    <w:p>
      <w:pPr>
        <w:spacing w:after="200" w:line="360"/>
        <w:ind w:firstLine="431"/>
        <w:jc w:val="both"/>
      </w:pPr>
      <w:r>
        <w:rPr>
          <w:rFonts w:ascii="微軟正黑體" w:cs="微軟正黑體" w:eastAsia="微軟正黑體" w:hAnsi="微軟正黑體"/>
          <w:sz w:val="22"/>
          <w:szCs w:val="22"/>
        </w:rPr>
        <w:t xml:space="preserve">三、矩陣型結構之優點</w:t>
      </w:r>
    </w:p>
    <w:p>
      <w:pPr>
        <w:spacing w:after="200" w:line="360"/>
        <w:ind w:firstLine="431"/>
        <w:jc w:val="both"/>
      </w:pPr>
      <w:r>
        <w:rPr>
          <w:rFonts w:ascii="微軟正黑體" w:cs="微軟正黑體" w:eastAsia="微軟正黑體" w:hAnsi="微軟正黑體"/>
          <w:sz w:val="22"/>
          <w:szCs w:val="22"/>
        </w:rPr>
        <w:t xml:space="preserve">其一，彈性運用人才：專業人力可依任務需求彈性調度至不同專案，避免功能式組織下人力閒置或重複配置之浪費；其二，兼顧專業深度與任務導向：成員既能維持原專業社群之技術養成，又能直接對任務成果負責，避免功能式組織「見樹不見林」之本位主義；其三，促進跨域溝通與知識整合：專案團隊成員來自不同專業背景，透過矩陣式協作，有助於打破部門穀倉、促成跨域資訊交流，尤其適合需要多元專業協作之複雜任務。</w:t>
      </w:r>
    </w:p>
    <w:p>
      <w:pPr>
        <w:spacing w:after="200" w:line="360"/>
        <w:ind w:firstLine="431"/>
        <w:jc w:val="both"/>
      </w:pPr>
      <w:r>
        <w:rPr>
          <w:rFonts w:ascii="微軟正黑體" w:cs="微軟正黑體" w:eastAsia="微軟正黑體" w:hAnsi="微軟正黑體"/>
          <w:sz w:val="22"/>
          <w:szCs w:val="22"/>
        </w:rPr>
        <w:t xml:space="preserve">四、矩陣型結構之缺點</w:t>
      </w:r>
    </w:p>
    <w:p>
      <w:pPr>
        <w:spacing w:after="200" w:line="360"/>
        <w:ind w:firstLine="431"/>
        <w:jc w:val="both"/>
      </w:pPr>
      <w:r>
        <w:rPr>
          <w:rFonts w:ascii="微軟正黑體" w:cs="微軟正黑體" w:eastAsia="微軟正黑體" w:hAnsi="微軟正黑體"/>
          <w:sz w:val="22"/>
          <w:szCs w:val="22"/>
        </w:rPr>
        <w:t xml:space="preserve">其一，雙重權威衝突：成員同時向功能主管與專案經理負責，當兩者指令或優先順序不一致時，容易使基層成員無所適從；其二，角色模糊與課責困難：績效考核究竟以功能主管或專案經理之評價為主，權責邊界若未明確劃分，容易產生互相推諉之課責真空；其三，協調成本高、管理難度大：矩陣式結構之運作高度仰賴功能主管與專案經理間之信任基礎與協調能力，若組織文化不成熟或溝通機制不健全，反而可能拖累決策效率，是常見組織設計類型中管理難度最高者。</w:t>
      </w:r>
    </w:p>
    <w:p>
      <w:pPr>
        <w:spacing w:after="200" w:line="360"/>
        <w:ind w:firstLine="431"/>
        <w:jc w:val="both"/>
      </w:pPr>
      <w:r>
        <w:rPr>
          <w:rFonts w:ascii="微軟正黑體" w:cs="微軟正黑體" w:eastAsia="微軟正黑體" w:hAnsi="微軟正黑體"/>
          <w:sz w:val="22"/>
          <w:szCs w:val="22"/>
        </w:rPr>
        <w:t xml:space="preserve">五、結論</w:t>
      </w:r>
    </w:p>
    <w:p>
      <w:pPr>
        <w:spacing w:after="200" w:line="360"/>
        <w:ind w:firstLine="431"/>
        <w:jc w:val="both"/>
      </w:pPr>
      <w:r>
        <w:rPr>
          <w:rFonts w:ascii="微軟正黑體" w:cs="微軟正黑體" w:eastAsia="微軟正黑體" w:hAnsi="微軟正黑體"/>
          <w:sz w:val="22"/>
          <w:szCs w:val="22"/>
        </w:rPr>
        <w:t xml:space="preserve">矩陣型結構以雙重指揮鏈換取專業與任務之兼顧，其優點在於人才彈性運用與跨域整合，缺點則在於雙重權威下之角色衝突與協調成本；政府機關於導入矩陣型結構時，應同步建立明確之權責劃分機制、專案經理之整合權威，以及功能主管與專案經理間之常態溝通平台，方能真正發揮此一混合設計之綜效，而非徒增管理複雜度。</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矩陣型結構之意涵須明確點出「雙重指揮鏈」（同時向功能主管與專案經理報告）此一核心特徵，不可僅籠統稱其為「混合式組織」。</w:t>
      </w:r>
    </w:p>
    <w:p>
      <w:pPr>
        <w:pStyle w:val="ListParagraph"/>
        <w:numPr>
          <w:ilvl w:val="0"/>
          <w:numId w:val="2"/>
        </w:numPr>
        <w:spacing w:after="120" w:line="340"/>
      </w:pPr>
      <w:r>
        <w:rPr>
          <w:rFonts w:ascii="微軟正黑體" w:cs="微軟正黑體" w:eastAsia="微軟正黑體" w:hAnsi="微軟正黑體"/>
          <w:sz w:val="22"/>
          <w:szCs w:val="22"/>
        </w:rPr>
        <w:t xml:space="preserve">優點與缺點須分項條列說明，並具體扣緊雙重指揮鏈之運作邏輯，不可流於抽象形容詞堆砌。</w:t>
      </w:r>
    </w:p>
    <w:p>
      <w:pPr>
        <w:pStyle w:val="ListParagraph"/>
        <w:numPr>
          <w:ilvl w:val="0"/>
          <w:numId w:val="2"/>
        </w:numPr>
        <w:spacing w:after="120" w:line="340"/>
      </w:pPr>
      <w:r>
        <w:rPr>
          <w:rFonts w:ascii="微軟正黑體" w:cs="微軟正黑體" w:eastAsia="微軟正黑體" w:hAnsi="微軟正黑體"/>
          <w:sz w:val="22"/>
          <w:szCs w:val="22"/>
        </w:rPr>
        <w:t xml:space="preserve">若能指出矩陣型結構與功能式、事業部制之對照關係，展現對組織設計類型光譜之整體掌握，是本題拉開分數差距之關鍵。</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僅稱矩陣式組織「結合功能式與事業部制優點」，未具體說明雙重指揮鏈之實際運作方式。</w:t>
      </w:r>
    </w:p>
    <w:p>
      <w:pPr>
        <w:pStyle w:val="ListParagraph"/>
        <w:numPr>
          <w:ilvl w:val="0"/>
          <w:numId w:val="2"/>
        </w:numPr>
        <w:spacing w:after="120" w:line="340"/>
      </w:pPr>
      <w:r>
        <w:rPr>
          <w:rFonts w:ascii="微軟正黑體" w:cs="微軟正黑體" w:eastAsia="微軟正黑體" w:hAnsi="微軟正黑體"/>
          <w:sz w:val="22"/>
          <w:szCs w:val="22"/>
        </w:rPr>
        <w:t xml:space="preserve">❌ 優缺點未分項條列，混雜論述導致閱卷者不易辨識答題結構。</w:t>
      </w:r>
    </w:p>
    <w:p>
      <w:pPr>
        <w:pStyle w:val="ListParagraph"/>
        <w:numPr>
          <w:ilvl w:val="0"/>
          <w:numId w:val="2"/>
        </w:numPr>
        <w:spacing w:after="120" w:line="340"/>
      </w:pPr>
      <w:r>
        <w:rPr>
          <w:rFonts w:ascii="微軟正黑體" w:cs="微軟正黑體" w:eastAsia="微軟正黑體" w:hAnsi="微軟正黑體"/>
          <w:sz w:val="22"/>
          <w:szCs w:val="22"/>
        </w:rPr>
        <w:t xml:space="preserve">❌ 未能具體舉出政府部門實例（如中央流行疫情指揮中心、跨部會專案辦公室）佐證，流於抽象論述。</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補充功能式組織（依專業功能劃分，如人事、主計等單位）與事業部制（依產品、地區或計畫劃分之半自主單位）之意涵與優缺點，並與矩陣型結構進行三方對照，說明三者並非互斥而是因應不同任務性質之組織工具箱，展現理論掌握之全面性。</w:t>
      </w:r>
    </w:p>
    <w:p>
      <w:pPr>
        <w:pStyle w:val="ListParagraph"/>
        <w:numPr>
          <w:ilvl w:val="0"/>
          <w:numId w:val="2"/>
        </w:numPr>
        <w:spacing w:after="120" w:line="340"/>
      </w:pPr>
      <w:r>
        <w:rPr>
          <w:rFonts w:ascii="微軟正黑體" w:cs="微軟正黑體" w:eastAsia="微軟正黑體" w:hAnsi="微軟正黑體"/>
          <w:sz w:val="22"/>
          <w:szCs w:val="22"/>
        </w:rPr>
        <w:t xml:space="preserve">可補充機械式與有機式組織之對照架構，說明矩陣式組織偏向有機式，其彈性與跨域協作能力正是回應複雜、不確定任務環境之設計邏輯。</w:t>
      </w:r>
    </w:p>
    <w:p>
      <w:pPr>
        <w:pStyle w:val="ListParagraph"/>
        <w:numPr>
          <w:ilvl w:val="0"/>
          <w:numId w:val="2"/>
        </w:numPr>
        <w:spacing w:after="120" w:line="340"/>
      </w:pPr>
      <w:r>
        <w:rPr>
          <w:rFonts w:ascii="微軟正黑體" w:cs="微軟正黑體" w:eastAsia="微軟正黑體" w:hAnsi="微軟正黑體"/>
          <w:sz w:val="22"/>
          <w:szCs w:val="22"/>
        </w:rPr>
        <w:t xml:space="preserve">可援引我國中央流行疫情指揮中心、數位發展部跨部會專案辦公室等具體案例，說明矩陣式組織在重大跨域任務中之實務運作與雙重權威張力，增加論述之實證厚度。</w:t>
      </w:r>
    </w:p>
    <w:p>
      <w:pPr>
        <w:pStyle w:val="ListParagraph"/>
        <w:numPr>
          <w:ilvl w:val="0"/>
          <w:numId w:val="2"/>
        </w:numPr>
        <w:spacing w:after="120" w:line="340"/>
      </w:pPr>
      <w:r>
        <w:rPr>
          <w:rFonts w:ascii="微軟正黑體" w:cs="微軟正黑體" w:eastAsia="微軟正黑體" w:hAnsi="微軟正黑體"/>
          <w:sz w:val="22"/>
          <w:szCs w:val="22"/>
        </w:rPr>
        <w:t xml:space="preserve">可延伸說明AI中台之導入，如何使矩陣式組織之雙重報告關係，進一步演化為「人類主管與AI中台雙重報告」之新型態，呼應本章第四節AI鑲嵌內容，展現跨節整合之論述廣度。</w:t>
      </w:r>
    </w:p>
    <w:p>
      <w:pPr>
        <w:spacing w:after="220"/>
      </w:pPr>
    </w:p>
    <w:p>
      <w:pPr>
        <w:spacing w:after="180" w:before="360"/>
      </w:pPr>
      <w:r>
        <w:rPr>
          <w:rFonts w:ascii="微軟正黑體" w:cs="微軟正黑體" w:eastAsia="微軟正黑體" w:hAnsi="微軟正黑體"/>
          <w:b/>
          <w:bCs/>
          <w:color w:val="1F4E79"/>
          <w:sz w:val="26"/>
          <w:szCs w:val="26"/>
        </w:rPr>
        <w:t xml:space="preserve">題目三（C級綜合題·113年高考二級）</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考題出處</w:t>
            </w:r>
          </w:p>
          <w:p>
            <w:pPr>
              <w:spacing w:line="340"/>
              <w:jc w:val="both"/>
            </w:pPr>
            <w:r>
              <w:rPr>
                <w:rFonts w:ascii="微軟正黑體" w:cs="微軟正黑體" w:eastAsia="微軟正黑體" w:hAnsi="微軟正黑體"/>
                <w:sz w:val="21"/>
                <w:szCs w:val="21"/>
              </w:rPr>
              <w:t xml:space="preserve">113年公務人員高等考試二級考試（一般行政，兩岸組一），行政學研究，申論題第三題（25分）——類科標示一般行政，屬高考二級「行政學研究」科目，本質仍為行政學，依使用者確認納入正式真題。</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「因應人工智慧（artificial intelligence, AI）發展趨勢，各級政府機關既有的對內與對外協調連繫機制需要進行那些變革？又可能需要排除那些障礙？（25分）」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趨勢分析＋制度變革＋障礙排除綜合題」，考生須依序完成：說明AI對政府協調連繫機制帶來之挑戰、分別提出對內與對外協調機制之變革方向、指出變革過程可能面臨之障礙並提出排除之道——僅籠統稱「AI能提升行政效率」而未具體展開對內、對外之不同變革內容，或僅列障礙名稱而未提出對應排除之道，均屬論述深度不足。</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對內協調機制變革（演算法控制幅度、HITL/HOTL/HIC） ＋ 對外協調機制變革（跨機關資料共享、聯合應變） ＋ 障礙排除（資料標準、組織文化、四鏈七審課責機制）。</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一、前言：AI鑲嵌下的協調挑戰重構</w:t>
      </w:r>
    </w:p>
    <w:p>
      <w:pPr>
        <w:pStyle w:val="ListParagraph"/>
        <w:numPr>
          <w:ilvl w:val="0"/>
          <w:numId w:val="2"/>
        </w:numPr>
        <w:spacing w:after="120" w:line="340"/>
      </w:pPr>
      <w:r>
        <w:rPr>
          <w:rFonts w:ascii="微軟正黑體" w:cs="微軟正黑體" w:eastAsia="微軟正黑體" w:hAnsi="微軟正黑體"/>
          <w:sz w:val="22"/>
          <w:szCs w:val="22"/>
        </w:rPr>
        <w:t xml:space="preserve">二、傳統協調連繫機制之侷限</w:t>
      </w:r>
    </w:p>
    <w:p>
      <w:pPr>
        <w:pStyle w:val="ListParagraph"/>
        <w:numPr>
          <w:ilvl w:val="0"/>
          <w:numId w:val="2"/>
        </w:numPr>
        <w:spacing w:after="120" w:line="340"/>
      </w:pPr>
      <w:r>
        <w:rPr>
          <w:rFonts w:ascii="微軟正黑體" w:cs="微軟正黑體" w:eastAsia="微軟正黑體" w:hAnsi="微軟正黑體"/>
          <w:sz w:val="22"/>
          <w:szCs w:val="22"/>
        </w:rPr>
        <w:t xml:space="preserve">三、對內協調機制之變革方向</w:t>
      </w:r>
    </w:p>
    <w:p>
      <w:pPr>
        <w:pStyle w:val="ListParagraph"/>
        <w:numPr>
          <w:ilvl w:val="0"/>
          <w:numId w:val="2"/>
        </w:numPr>
        <w:spacing w:after="120" w:line="340"/>
      </w:pPr>
      <w:r>
        <w:rPr>
          <w:rFonts w:ascii="微軟正黑體" w:cs="微軟正黑體" w:eastAsia="微軟正黑體" w:hAnsi="微軟正黑體"/>
          <w:sz w:val="22"/>
          <w:szCs w:val="22"/>
        </w:rPr>
        <w:t xml:space="preserve">四、對外協調機制之變革方向</w:t>
      </w:r>
    </w:p>
    <w:p>
      <w:pPr>
        <w:pStyle w:val="ListParagraph"/>
        <w:numPr>
          <w:ilvl w:val="0"/>
          <w:numId w:val="2"/>
        </w:numPr>
        <w:spacing w:after="120" w:line="340"/>
      </w:pPr>
      <w:r>
        <w:rPr>
          <w:rFonts w:ascii="微軟正黑體" w:cs="微軟正黑體" w:eastAsia="微軟正黑體" w:hAnsi="微軟正黑體"/>
          <w:sz w:val="22"/>
          <w:szCs w:val="22"/>
        </w:rPr>
        <w:t xml:space="preserve">五、可能之障礙及排除之道</w:t>
      </w:r>
    </w:p>
    <w:p>
      <w:pPr>
        <w:pStyle w:val="ListParagraph"/>
        <w:numPr>
          <w:ilvl w:val="0"/>
          <w:numId w:val="2"/>
        </w:numPr>
        <w:spacing w:after="120" w:line="340"/>
      </w:pPr>
      <w:r>
        <w:rPr>
          <w:rFonts w:ascii="微軟正黑體" w:cs="微軟正黑體" w:eastAsia="微軟正黑體" w:hAnsi="微軟正黑體"/>
          <w:sz w:val="22"/>
          <w:szCs w:val="22"/>
        </w:rPr>
        <w:t xml:space="preserve">六、結論</w:t>
      </w:r>
    </w:p>
    <w:p>
      <w:pPr>
        <w:spacing w:after="100" w:before="160"/>
      </w:pPr>
      <w:r>
        <w:rPr>
          <w:rFonts w:ascii="微軟正黑體" w:cs="微軟正黑體" w:eastAsia="微軟正黑體" w:hAnsi="微軟正黑體"/>
          <w:b/>
          <w:bCs/>
          <w:color w:val="444444"/>
          <w:sz w:val="21"/>
          <w:szCs w:val="21"/>
        </w:rPr>
        <w:t xml:space="preserve">【參考答案·標準版】（約1,300字）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政府機關之協調連繫機制，向來仰賴正式權威、規則程序、委員會、聯合小組、直接接觸等傳統整合工具；惟隨人工智慧深度嵌入決策支援、資訊流通與跨機關資料共享，傳統以「人對人」溝通為核心設計之協調機制，面臨結構性重構之必要，須同時檢視對內、對外兩個層次之變革方向與可能障礙。</w:t>
      </w:r>
    </w:p>
    <w:p>
      <w:pPr>
        <w:spacing w:after="200" w:line="360"/>
        <w:ind w:firstLine="431"/>
        <w:jc w:val="both"/>
      </w:pPr>
      <w:r>
        <w:rPr>
          <w:rFonts w:ascii="微軟正黑體" w:cs="微軟正黑體" w:eastAsia="微軟正黑體" w:hAnsi="微軟正黑體"/>
          <w:sz w:val="22"/>
          <w:szCs w:val="22"/>
        </w:rPr>
        <w:t xml:space="preserve">二、傳統協調連繫機制之侷限</w:t>
      </w:r>
    </w:p>
    <w:p>
      <w:pPr>
        <w:spacing w:after="200" w:line="360"/>
        <w:ind w:firstLine="431"/>
        <w:jc w:val="both"/>
      </w:pPr>
      <w:r>
        <w:rPr>
          <w:rFonts w:ascii="微軟正黑體" w:cs="微軟正黑體" w:eastAsia="微軟正黑體" w:hAnsi="微軟正黑體"/>
          <w:sz w:val="22"/>
          <w:szCs w:val="22"/>
        </w:rPr>
        <w:t xml:space="preserve">傳統協調機制多假設資訊由人工彙整、判讀後始能跨機關流通，協調效率受限於承辦人員之知識廣度、跨機關會議之召開頻率，以及層級節制下之逐級陳報時間成本；當任務日趨複雜、跨域且要求即時回應時，此一「人力密集型」協調模式，逐漸無法因應資訊爆量與時效壓力之新環境，此為AI技術得以介入協調流程之根本背景。</w:t>
      </w:r>
    </w:p>
    <w:p>
      <w:pPr>
        <w:spacing w:after="200" w:line="360"/>
        <w:ind w:firstLine="431"/>
        <w:jc w:val="both"/>
      </w:pPr>
      <w:r>
        <w:rPr>
          <w:rFonts w:ascii="微軟正黑體" w:cs="微軟正黑體" w:eastAsia="微軟正黑體" w:hAnsi="微軟正黑體"/>
          <w:sz w:val="22"/>
          <w:szCs w:val="22"/>
        </w:rPr>
        <w:t xml:space="preserve">三、對內協調機制之變革方向</w:t>
      </w:r>
    </w:p>
    <w:p>
      <w:pPr>
        <w:spacing w:after="200" w:line="360"/>
        <w:ind w:firstLine="431"/>
        <w:jc w:val="both"/>
      </w:pPr>
      <w:r>
        <w:rPr>
          <w:rFonts w:ascii="微軟正黑體" w:cs="微軟正黑體" w:eastAsia="微軟正黑體" w:hAnsi="微軟正黑體"/>
          <w:sz w:val="22"/>
          <w:szCs w:val="22"/>
        </w:rPr>
        <w:t xml:space="preserve">就機關內部而言，變革方向包括：其一，建置AI中台或知識管理平台，整合跨單位資料與案件進度，使原本仰賴人工彙整之會議前置作業，得以由系統自動產出摘要與風險提示，加速決策前之資訊準備；其二，重新設計控制幅度與陳報層級，主管得以透過儀表板同時監督更大範圍之案件進度（演算法控制幅度擴張），惟須同步建立HITL（人在迴路）╱HOTL（人在迴路上）之分級機制，確保高風險決策仍由人類最終把關；其三，調整內部溝通文化與誘因結構，避免基層因過度信賴系統建議而喪失專業判斷之積極性（自動化偏見）。</w:t>
      </w:r>
    </w:p>
    <w:p>
      <w:pPr>
        <w:spacing w:after="200" w:line="360"/>
        <w:ind w:firstLine="431"/>
        <w:jc w:val="both"/>
      </w:pPr>
      <w:r>
        <w:rPr>
          <w:rFonts w:ascii="微軟正黑體" w:cs="微軟正黑體" w:eastAsia="微軟正黑體" w:hAnsi="微軟正黑體"/>
          <w:sz w:val="22"/>
          <w:szCs w:val="22"/>
        </w:rPr>
        <w:t xml:space="preserve">四、對外協調機制之變革方向</w:t>
      </w:r>
    </w:p>
    <w:p>
      <w:pPr>
        <w:spacing w:after="200" w:line="360"/>
        <w:ind w:firstLine="431"/>
        <w:jc w:val="both"/>
      </w:pPr>
      <w:r>
        <w:rPr>
          <w:rFonts w:ascii="微軟正黑體" w:cs="微軟正黑體" w:eastAsia="微軟正黑體" w:hAnsi="微軟正黑體"/>
          <w:sz w:val="22"/>
          <w:szCs w:val="22"/>
        </w:rPr>
        <w:t xml:space="preserve">就機關對外協調而言，變革方向包括：其一，建立跨機關資料共享與介接標準，使原仰賴正式函文往返之跨部會協調，得以透過系統即時查調彼此權管資訊，縮短協調時程；其二，於跨域議題（如災防、公衛、社福）引入AI輔助之情境感知與預警系統，強化聯合應變小組於事件發生前即掌握跨機關資源分布與缺口，提升協調之前瞻性；其三，於對外協調中同步強化透明度與可課責性設計，避免因AI居中彙整資訊而使外部利害關係人（如地方政府、民間團體）誤認決策全然出於機器判斷，模糊真正之權責歸屬。</w:t>
      </w:r>
    </w:p>
    <w:p>
      <w:pPr>
        <w:spacing w:after="200" w:line="360"/>
        <w:ind w:firstLine="431"/>
        <w:jc w:val="both"/>
      </w:pPr>
      <w:r>
        <w:rPr>
          <w:rFonts w:ascii="微軟正黑體" w:cs="微軟正黑體" w:eastAsia="微軟正黑體" w:hAnsi="微軟正黑體"/>
          <w:sz w:val="22"/>
          <w:szCs w:val="22"/>
        </w:rPr>
        <w:t xml:space="preserve">五、可能之障礙及排除之道</w:t>
      </w:r>
    </w:p>
    <w:p>
      <w:pPr>
        <w:spacing w:after="200" w:line="360"/>
        <w:ind w:firstLine="431"/>
        <w:jc w:val="both"/>
      </w:pPr>
      <w:r>
        <w:rPr>
          <w:rFonts w:ascii="微軟正黑體" w:cs="微軟正黑體" w:eastAsia="微軟正黑體" w:hAnsi="微軟正黑體"/>
          <w:sz w:val="22"/>
          <w:szCs w:val="22"/>
        </w:rPr>
        <w:t xml:space="preserve">變革過程可能面臨之障礙包括：其一，機關間資料標準與系統規格不一，形成技術性資訊孤島，須由跨部會層級推動資料治理標準化與介接規範方能排除；其二，組織文化上之抗拒與信任落差，基層人員可能擔憂AI取代其協調角色或裁量空間遭壓縮，須透過培力訓練與明確之角色劃分（人類保有目標設定與最終責任之HIC層次）化解疑慮；其三，法規與課責機制未能同步更新，若AI輔助協調之建議與人類判斷產生落差時之責任歸屬未明，即形成課責赤字，須參照四鏈七審框架，就情境建構、權威、理由、責任四鏈逐一檢視並明訂審計機制；其四，跨機關權責與預算歸屬之本位主義，AI雖能提升資訊流通效率，惟若既有之府際財政與績效考核制度未同步調整，各機關仍可能傾向保留自身資料優勢而抗拒共享，須輔以誘因機制與跨機關績效連動設計排除此一結構性障礙。</w:t>
      </w:r>
    </w:p>
    <w:p>
      <w:pPr>
        <w:spacing w:after="200" w:line="360"/>
        <w:ind w:firstLine="431"/>
        <w:jc w:val="both"/>
      </w:pPr>
      <w:r>
        <w:rPr>
          <w:rFonts w:ascii="微軟正黑體" w:cs="微軟正黑體" w:eastAsia="微軟正黑體" w:hAnsi="微軟正黑體"/>
          <w:sz w:val="22"/>
          <w:szCs w:val="22"/>
        </w:rPr>
        <w:t xml:space="preserve">六、結論</w:t>
      </w:r>
    </w:p>
    <w:p>
      <w:pPr>
        <w:spacing w:after="200" w:line="360"/>
        <w:ind w:firstLine="431"/>
        <w:jc w:val="both"/>
      </w:pPr>
      <w:r>
        <w:rPr>
          <w:rFonts w:ascii="微軟正黑體" w:cs="微軟正黑體" w:eastAsia="微軟正黑體" w:hAnsi="微軟正黑體"/>
          <w:sz w:val="22"/>
          <w:szCs w:val="22"/>
        </w:rPr>
        <w:t xml:space="preserve">人工智慧為政府協調連繫機制帶來效率提升之契機，但真正的變革重點不在於導入系統本身，而在於同步重構控制幅度、課責分工與跨機關信任基礎；唯有將技術變革與組織文化、法規課責同步調整，方能使AI真正強化而非削弱政府機關對內與對外之協調能力。</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須同時回應「對內」與「對外」兩個協調層次之變革方向，不可僅論其中一者。</w:t>
      </w:r>
    </w:p>
    <w:p>
      <w:pPr>
        <w:pStyle w:val="ListParagraph"/>
        <w:numPr>
          <w:ilvl w:val="0"/>
          <w:numId w:val="2"/>
        </w:numPr>
        <w:spacing w:after="120" w:line="340"/>
      </w:pPr>
      <w:r>
        <w:rPr>
          <w:rFonts w:ascii="微軟正黑體" w:cs="微軟正黑體" w:eastAsia="微軟正黑體" w:hAnsi="微軟正黑體"/>
          <w:sz w:val="22"/>
          <w:szCs w:val="22"/>
        </w:rPr>
        <w:t xml:space="preserve">須具體指出AI技術如何實際改變協調流程（如資料共享、控制幅度擴張、預警系統），不可僅泛稱「AI可以提升效率」。</w:t>
      </w:r>
    </w:p>
    <w:p>
      <w:pPr>
        <w:pStyle w:val="ListParagraph"/>
        <w:numPr>
          <w:ilvl w:val="0"/>
          <w:numId w:val="2"/>
        </w:numPr>
        <w:spacing w:after="120" w:line="340"/>
      </w:pPr>
      <w:r>
        <w:rPr>
          <w:rFonts w:ascii="微軟正黑體" w:cs="微軟正黑體" w:eastAsia="微軟正黑體" w:hAnsi="微軟正黑體"/>
          <w:sz w:val="22"/>
          <w:szCs w:val="22"/>
        </w:rPr>
        <w:t xml:space="preserve">障礙分析須具體且可操作，並提出對應之排除之道，形成前後呼應之完整論述。</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僅泛稱AI能提升行政效率，未具體說明對內、對外協調機制之實際變革內容。</w:t>
      </w:r>
    </w:p>
    <w:p>
      <w:pPr>
        <w:pStyle w:val="ListParagraph"/>
        <w:numPr>
          <w:ilvl w:val="0"/>
          <w:numId w:val="2"/>
        </w:numPr>
        <w:spacing w:after="120" w:line="340"/>
      </w:pPr>
      <w:r>
        <w:rPr>
          <w:rFonts w:ascii="微軟正黑體" w:cs="微軟正黑體" w:eastAsia="微軟正黑體" w:hAnsi="微軟正黑體"/>
          <w:sz w:val="22"/>
          <w:szCs w:val="22"/>
        </w:rPr>
        <w:t xml:space="preserve">❌ 障礙僅列舉「技術不成熟」等空泛說法，未觸及資料標準、組織文化、課責機制等結構性障礙。</w:t>
      </w:r>
    </w:p>
    <w:p>
      <w:pPr>
        <w:pStyle w:val="ListParagraph"/>
        <w:numPr>
          <w:ilvl w:val="0"/>
          <w:numId w:val="2"/>
        </w:numPr>
        <w:spacing w:after="120" w:line="340"/>
      </w:pPr>
      <w:r>
        <w:rPr>
          <w:rFonts w:ascii="微軟正黑體" w:cs="微軟正黑體" w:eastAsia="微軟正黑體" w:hAnsi="微軟正黑體"/>
          <w:sz w:val="22"/>
          <w:szCs w:val="22"/>
        </w:rPr>
        <w:t xml:space="preserve">❌ 未區辨對內（機關內部控制幅度、決策支援）與對外（跨機關資料共享、聯合應變）協調機制之不同變革邏輯。</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可補充演算法控制幅度（Algorithmic Span of Control）概念，說明AI如何使主管監督範圍從「人數」擴張為「案件量」，並須搭配HITL／HOTL／HIC三層風險分級機制因應，呼應本章第四節AI鑲嵌內容。</w:t>
      </w:r>
    </w:p>
    <w:p>
      <w:pPr>
        <w:pStyle w:val="ListParagraph"/>
        <w:numPr>
          <w:ilvl w:val="0"/>
          <w:numId w:val="2"/>
        </w:numPr>
        <w:spacing w:after="120" w:line="340"/>
      </w:pPr>
      <w:r>
        <w:rPr>
          <w:rFonts w:ascii="微軟正黑體" w:cs="微軟正黑體" w:eastAsia="微軟正黑體" w:hAnsi="微軟正黑體"/>
          <w:sz w:val="22"/>
          <w:szCs w:val="22"/>
        </w:rPr>
        <w:t xml:space="preserve">可補充四鏈七審框架，具體對應情境建構鏈（資料標準）、權威鏈（AI建議與人類判斷之優先順序）、理由鏈（可解釋性）、責任鏈（課責歸屬）逐一分析協調機制變革之潛在斷裂點。</w:t>
      </w:r>
    </w:p>
    <w:p>
      <w:pPr>
        <w:pStyle w:val="ListParagraph"/>
        <w:numPr>
          <w:ilvl w:val="0"/>
          <w:numId w:val="2"/>
        </w:numPr>
        <w:spacing w:after="120" w:line="340"/>
      </w:pPr>
      <w:r>
        <w:rPr>
          <w:rFonts w:ascii="微軟正黑體" w:cs="微軟正黑體" w:eastAsia="微軟正黑體" w:hAnsi="微軟正黑體"/>
          <w:sz w:val="22"/>
          <w:szCs w:val="22"/>
        </w:rPr>
        <w:t xml:space="preserve">可援引我國中央流行疫情指揮中心跨機關資訊整合平台，或內政部災害應變中心之情資整合系統為例，說明AI輔助跨機關協調之實務案例，增加論述之實證厚度。</w:t>
      </w:r>
    </w:p>
    <w:p>
      <w:pPr>
        <w:pStyle w:val="ListParagraph"/>
        <w:numPr>
          <w:ilvl w:val="0"/>
          <w:numId w:val="2"/>
        </w:numPr>
        <w:spacing w:after="120" w:line="340"/>
      </w:pPr>
      <w:r>
        <w:rPr>
          <w:rFonts w:ascii="微軟正黑體" w:cs="微軟正黑體" w:eastAsia="微軟正黑體" w:hAnsi="微軟正黑體"/>
          <w:sz w:val="22"/>
          <w:szCs w:val="22"/>
        </w:rPr>
        <w:t xml:space="preserve">可補充平台鐵三角概念，說明當協調機制高度仰賴AI平台時，平台業者、資料治理機關與政治行動者之新型共生關係，可能形成傳統鐵三角未曾涉及之新興協調課責挑戰。</w:t>
      </w:r>
    </w:p>
    <w:p>
      <w:pPr>
        <w:spacing w:after="300"/>
      </w:pPr>
    </w:p>
    <w:p>
      <w:pPr>
        <w:spacing w:after="200" w:before="400"/>
      </w:pPr>
      <w:r>
        <w:rPr>
          <w:rFonts w:ascii="微軟正黑體" w:cs="微軟正黑體" w:eastAsia="微軟正黑體" w:hAnsi="微軟正黑體"/>
          <w:b/>
          <w:bCs/>
          <w:sz w:val="32"/>
          <w:szCs w:val="32"/>
        </w:rPr>
        <w:t xml:space="preserve">【歷屆試題】</w:t>
      </w:r>
    </w:p>
    <w:p>
      <w:pPr>
        <w:spacing w:after="200" w:line="360"/>
        <w:ind w:firstLine="431"/>
        <w:jc w:val="both"/>
      </w:pPr>
      <w:r>
        <w:rPr>
          <w:rFonts w:ascii="微軟正黑體" w:cs="微軟正黑體" w:eastAsia="微軟正黑體" w:hAnsi="微軟正黑體"/>
          <w:sz w:val="22"/>
          <w:szCs w:val="22"/>
        </w:rPr>
        <w:t xml:space="preserve">本章語料庫原涵蓋107-111年5個年度之考選部官方公告試題（行政學／行政學概要科目），經逐題比對，僅查得1題與本章「組織設計水平垂直分化」相關之申論真題（108年-外交），惟經查證其類科非屬一般行政類科，不列入本章完整解析；惟2026年9月新查得112-115年考選部公告試題後，已查得2題完全對應之真題，已改列為題目二、題目三完整解題。本章題目一仍依108年-外交真題所涉核心理論架構另行改寫之模擬命題，已於考題出處明確標示。</w:t>
      </w:r>
    </w:p>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1300"/>
        <w:gridCol w:w="900"/>
        <w:gridCol w:w="2626"/>
        <w:gridCol w:w="1600"/>
      </w:tblGrid>
      <w:tr>
        <w:trPr>
          <w:tblHeader/>
        </w:trPr>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年度／考試</w:t>
            </w:r>
          </w:p>
        </w:tc>
        <w:tc>
          <w:tcPr>
            <w:tcW w:type="dxa" w:w="13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類科</w:t>
            </w:r>
          </w:p>
        </w:tc>
        <w:tc>
          <w:tcPr>
            <w:tcW w:type="dxa" w:w="9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難度</w:t>
            </w:r>
          </w:p>
        </w:tc>
        <w:tc>
          <w:tcPr>
            <w:tcW w:type="dxa" w:w="26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考點</w:t>
            </w:r>
          </w:p>
        </w:tc>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查證狀態</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108年-外交</w:t>
            </w:r>
          </w:p>
        </w:tc>
        <w:tc>
          <w:tcPr>
            <w:tcW w:type="dxa" w:w="13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非一般行政類科</w:t>
            </w:r>
          </w:p>
        </w:tc>
        <w:tc>
          <w:tcPr>
            <w:tcW w:type="dxa" w:w="9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A</w:t>
            </w:r>
          </w:p>
        </w:tc>
        <w:tc>
          <w:tcPr>
            <w:tcW w:type="dxa" w:w="2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水平分化與垂直分化在新南向政策組織調整中之應用</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⚠️經查證非屬一般行政類科，不列入完整解析，本章題目一系參考其核心理論架構另行設計之一般行政情境模擬題</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115年公務人員特種考試關務人員、身心障礙人員考試及115年國軍上校以上軍官轉任公務人員考試（身心障礙人員考試，三等考試）</w:t>
            </w:r>
          </w:p>
        </w:tc>
        <w:tc>
          <w:tcPr>
            <w:tcW w:type="dxa" w:w="13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一般行政</w:t>
            </w:r>
          </w:p>
        </w:tc>
        <w:tc>
          <w:tcPr>
            <w:tcW w:type="dxa" w:w="9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w:t>
            </w:r>
          </w:p>
        </w:tc>
        <w:tc>
          <w:tcPr>
            <w:tcW w:type="dxa" w:w="26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矩陣型結構（matrix structure）之意涵及其優缺點（即題目二）</w:t>
            </w:r>
          </w:p>
        </w:tc>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考選部官方公告試題，完全符合一般行政類科、三等（相當高考三級）目標等別</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113年公務人員高等考試二級考試</w:t>
            </w:r>
          </w:p>
        </w:tc>
        <w:tc>
          <w:tcPr>
            <w:tcW w:type="dxa" w:w="13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一般行政（兩岸組一）</w:t>
            </w:r>
          </w:p>
        </w:tc>
        <w:tc>
          <w:tcPr>
            <w:tcW w:type="dxa" w:w="9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w:t>
            </w:r>
          </w:p>
        </w:tc>
        <w:tc>
          <w:tcPr>
            <w:tcW w:type="dxa" w:w="2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因應AI發展趨勢，政府機關對內與對外協調連繫機制之變革與障礙排除（即題目三）</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考選部官方公告試題，類科標示一般行政，屬高考二級「行政學研究」科目，本質仍為行政學，依使用者確認納入正式真題，為全書首見AI治理相關真題之一</w:t>
            </w:r>
          </w:p>
        </w:tc>
      </w:tr>
    </w:tbl>
    <w:p>
      <w:pPr>
        <w:spacing w:after="280" w:before="120"/>
        <w:jc w:val="center"/>
      </w:pPr>
      <w:r>
        <w:rPr>
          <w:rFonts w:ascii="微軟正黑體" w:cs="微軟正黑體" w:eastAsia="微軟正黑體" w:hAnsi="微軟正黑體"/>
          <w:i/>
          <w:iCs/>
          <w:color w:val="555555"/>
          <w:sz w:val="18"/>
          <w:szCs w:val="18"/>
        </w:rPr>
        <w:t xml:space="preserve">表17-J　本章歷屆試題查證狀態</w:t>
      </w:r>
    </w:p>
    <w:p>
      <w:pPr>
        <w:spacing w:after="280"/>
      </w:pPr>
    </w:p>
    <w:p>
      <w:pPr>
        <w:spacing w:after="200" w:before="400"/>
      </w:pPr>
      <w:r>
        <w:rPr>
          <w:rFonts w:ascii="微軟正黑體" w:cs="微軟正黑體" w:eastAsia="微軟正黑體" w:hAnsi="微軟正黑體"/>
          <w:b/>
          <w:bCs/>
          <w:sz w:val="32"/>
          <w:szCs w:val="32"/>
        </w:rPr>
        <w:t xml:space="preserve">【本章一頁掌握】</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組織設計的意涵、古典原則與分化雙軸</w:t>
            </w:r>
          </w:p>
          <w:p>
            <w:pPr>
              <w:spacing w:line="340"/>
              <w:jc w:val="both"/>
            </w:pPr>
            <w:r>
              <w:rPr>
                <w:rFonts w:ascii="微軟正黑體" w:cs="微軟正黑體" w:eastAsia="微軟正黑體" w:hAnsi="微軟正黑體"/>
                <w:sz w:val="21"/>
                <w:szCs w:val="21"/>
              </w:rPr>
              <w:t xml:space="preserve">組織設計定義（分工與整合）→ 古典原則（專指權控授協彈）→ Gulick4P（目過地對）→ 水平分化vs垂直分化判準區辨 → 全像圖組織</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控制幅度、組織形構與五種基本設計類型</w:t>
            </w:r>
          </w:p>
          <w:p>
            <w:pPr>
              <w:spacing w:line="340"/>
              <w:jc w:val="both"/>
            </w:pPr>
            <w:r>
              <w:rPr>
                <w:rFonts w:ascii="微軟正黑體" w:cs="微軟正黑體" w:eastAsia="微軟正黑體" w:hAnsi="微軟正黑體"/>
                <w:sz w:val="21"/>
                <w:szCs w:val="21"/>
              </w:rPr>
              <w:t xml:space="preserve">控制幅度六因素 → 高架式vs扁平式 → 功事矩網虛五種類型 → 機械式vs有機式 → 雙元組織</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集權、分權與整合機制、平台化生態化組織</w:t>
            </w:r>
          </w:p>
          <w:p>
            <w:pPr>
              <w:spacing w:line="340"/>
              <w:jc w:val="both"/>
            </w:pPr>
            <w:r>
              <w:rPr>
                <w:rFonts w:ascii="微軟正黑體" w:cs="微軟正黑體" w:eastAsia="微軟正黑體" w:hAnsi="微軟正黑體"/>
                <w:sz w:val="21"/>
                <w:szCs w:val="21"/>
              </w:rPr>
              <w:t xml:space="preserve">集權分權情境因素（影逆牽稀）→ 整合機制（直標相）→ 平台化組織（前中後台）→ 政府從層級提供者轉平台治理者</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AI鑲嵌下的組織設計：演算法控制幅度與人機共構</w:t>
            </w:r>
          </w:p>
          <w:p>
            <w:pPr>
              <w:spacing w:line="340"/>
              <w:jc w:val="both"/>
            </w:pPr>
            <w:r>
              <w:rPr>
                <w:rFonts w:ascii="微軟正黑體" w:cs="微軟正黑體" w:eastAsia="微軟正黑體" w:hAnsi="微軟正黑體"/>
                <w:sz w:val="21"/>
                <w:szCs w:val="21"/>
              </w:rPr>
              <w:t xml:space="preserve">AI中台（數算業三層）→ 數位孿生組織 → 演算法控制幅度 → HITL/HOTL/HIC → 三種權力移轉 → 權威重構（5-7人→50+節點）→ 四鏈七審 → 台北市1999／新加坡GovTech／疫情指揮中心</w:t>
            </w:r>
          </w:p>
        </w:tc>
      </w:tr>
    </w:tbl>
    <w:p>
      <w:pPr>
        <w:spacing w:after="18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申論核心句（可直接用於破題或結論）</w:t>
            </w:r>
          </w:p>
          <w:p>
            <w:pPr>
              <w:spacing w:line="340"/>
              <w:jc w:val="both"/>
            </w:pPr>
            <w:r>
              <w:rPr>
                <w:rFonts w:ascii="微軟正黑體" w:cs="微軟正黑體" w:eastAsia="微軟正黑體" w:hAnsi="微軟正黑體"/>
                <w:sz w:val="21"/>
                <w:szCs w:val="21"/>
              </w:rPr>
              <w:t xml:space="preserve">組織設計最終要回答的問題，從來不是這張圖畫得夠不夠精巧，而是當任務分派給了演算法，當監督幅度擴張到五十個人機混合節點，那個該由誰負責的答案，是否依然像從前一樣清楚。</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080"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2026-09-03T12:38:24.369Z</dcterms:created>
  <dcterms:modified xsi:type="dcterms:W3CDTF">2026-09-03T12:38:24.369Z</dcterms:modified>
</cp:coreProperties>
</file>

<file path=docProps/custom.xml><?xml version="1.0" encoding="utf-8"?>
<Properties xmlns="http://schemas.openxmlformats.org/officeDocument/2006/custom-properties" xmlns:vt="http://schemas.openxmlformats.org/officeDocument/2006/docPropsVTypes"/>
</file>