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第十六章　我國行政組織：體制設計、組織改造與AI轉型</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六章「我國行政組織：體制設計、組織改造與AI轉型」，內容取材自該章九節母體教材（我國行政組織體系概觀、中央行政機關組織基準法之組織設計原理、行政院組織法與組織改造歷程、行政院運作機制、行政法人與公私協力組織、地方制度與府際關係的組織設計、組織改造的策略：四化策略與5C策略、數位轉型下的新興行政組織、AI治理專節），依國考「考點化、模組化、背誦＋應用」邏輯重新壓縮改寫為五節：第一節整合原第一、二節（體系概觀與組織基準法之機關類型、層級、單位設計）；第二節整合原第三、四節（組織改造歷程與行政院運作機制）；第三節整合原第五、六節（行政法人、政府捐助財團法人與地方府際關係）；第四節整合原第七、八節（四化策略、5C策略與數位轉型新興組織）；第五節對應原第九節AI治理專節，為本章AI內容之集中呈現處。本語料庫（107-111年）中，本章查得2題直接標記之申論真題：107年-外交「分權制下原住民行政區之運作特色」，經查證其類科非屬一般行政類科，不列入本章完整解析；108年-地三「行政機關、行政法人、政府捐助財團法人之組織目的性質管理差異」，經查證屬一般行政符合，列為題目二。另有107年-高考「何謂行政法人？公立大學改制行政法人之組織管理改變與挑戰」一題（雙標記第8、16章），於第八章「政府與市場的抉擇」量產時，因其提問焦點與本章第三節「行政法人與地方府際關係」高度契合而保留移列本章，列為題目一。另111年-原三「地方創生」一題（雙標記第7、16章）已於第七章「行政環境」完整解題，本章僅參照不贅述。自第八章起依格式定版說明，僅第一題維持三種完整答案版本，第二、三題改為標準版參考答案＋【高分加分點】；AI鑲嵌內容集中於第五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我國行政組織體系概觀與中央行政機關組織基準法</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我國行政組織可分廣義與狹義：廣義指一切行使行政權、執行公共任務之組織，涵蓋中央與地方各級政府機關及其所屬機構；狹義則專指依中央行政機關組織基準法及地方制度相關法律所設立之各級行政機關。中央行政機關組織基準法（2004年公布施行）為規範中央政府機關組織設計之基準性法律，確立機關類型、層級、內部單位設計與命名之統一原則，目的在於建立彈性、精簡、效能之政府組織架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組織基準法將中央行政機關依性質區分為四種類型：機關（就法定事務，有決定並表示國家意思於外部，代表國家或地方處理公共事務之組織，具有單獨法定地位）、獨立機關（依法律獨立行使職權、自主運作，除法律另有規定外不受其他機關指揮監督之合議制機關，如國家通訊傳播委員會、公平交易委員會、中央選舉委員會）、機構（機關為達成法定任務，得設附屬機構，如試驗、研究、文化、醫療、社福、矯正、訓練等專業性機構）、單位（機關內部依業務分工設立之組織，分為業務單位與輔助單位，輔助單位包括秘書、人事、主計、政風、資訊等，屬組織內部支援性質而非對外行使職權）。</w:t>
      </w:r>
    </w:p>
    <w:p>
      <w:pPr>
        <w:pStyle w:val="ListParagraph"/>
        <w:numPr>
          <w:ilvl w:val="0"/>
          <w:numId w:val="2"/>
        </w:numPr>
        <w:spacing w:after="120" w:line="340"/>
      </w:pPr>
      <w:r>
        <w:rPr>
          <w:rFonts w:ascii="微軟正黑體" w:cs="微軟正黑體" w:eastAsia="微軟正黑體" w:hAnsi="微軟正黑體"/>
          <w:sz w:val="22"/>
          <w:szCs w:val="22"/>
        </w:rPr>
        <w:t xml:space="preserve">組織基準法建立四級外部層級體系：一級為行政院本身；二級為部（處理全國性、一般性政策業務）、委員會（處理特定範圍、跨部會協調或特殊性質業務）、獨立機關、總處（主計總處、人事行政總處，處理跨部會幕僚性事務）與「行」（中央銀行，因職能特殊而依專法設置）；三級為署、局（執行性、事務性業務為主，其中涉及國家專屬且具強制力之公權力業務用「署」，其餘用「局」）；四級為分署（三級機關因業務需要於地方設置之派出單位）。命名規則並非任意，而是依機關掌理業務之政策性與執行性程度分層設計，體現層級節制與專業分工之科層組織設計原理。</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2400"/>
        <w:gridCol w:w="18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機關類型</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法定定義</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代表機關</w:t>
            </w:r>
          </w:p>
        </w:tc>
        <w:tc>
          <w:tcPr>
            <w:tcW w:type="dxa" w:w="1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是否受其他機關指揮監督</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機關</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就法定事務對外表示國家意思，具單獨法定地位</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行政院各部會</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是（層級節制）</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獨立機關</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依法律獨立行使職權，自主運作之合議制機關</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通傳會、公平會、中選會</w:t>
            </w:r>
          </w:p>
        </w:tc>
        <w:tc>
          <w:tcPr>
            <w:tcW w:type="dxa" w:w="1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否（除法律另有規定）</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機構</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機關為達成任務所設之附屬專業性組織</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國家教育研究院等</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是（受設置機關監督）</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單位</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機關內部依業務分工設立，不具對外獨立法定地位</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各部會之司處科</w:t>
            </w:r>
          </w:p>
        </w:tc>
        <w:tc>
          <w:tcPr>
            <w:tcW w:type="dxa" w:w="1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是（內部層級）</w:t>
            </w:r>
          </w:p>
        </w:tc>
      </w:tr>
    </w:tbl>
    <w:p>
      <w:pPr>
        <w:spacing w:after="280" w:before="120"/>
        <w:jc w:val="center"/>
      </w:pPr>
      <w:r>
        <w:rPr>
          <w:rFonts w:ascii="微軟正黑體" w:cs="微軟正黑體" w:eastAsia="微軟正黑體" w:hAnsi="微軟正黑體"/>
          <w:i/>
          <w:iCs/>
          <w:color w:val="555555"/>
          <w:sz w:val="18"/>
          <w:szCs w:val="18"/>
        </w:rPr>
        <w:t xml:space="preserve">表16-A　組織基準法機關類型比較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組織基準法之設計原理，可歸納為三項核心命題：其一，層級節制原理（Weber科層理論之制度化實踐），透過一級至四級之明確劃分，確保命令與責任逐層下達並可追溯；其二，專業分工原理，獨立機關與機構之設置，係為因應特定業務之專業性、政治中立性或跨部會協調需求，脫離一般行政機關之直接指揮監督；其三，彈性精簡原理，透過總量管制（中央政府機關總員額法）與內部單位命名之統一化，避免組織無限擴張與疊床架屋。</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設計原理</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層級節制（一至四級）</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確保權責逐層可追溯，避免指揮系統紊亂，為傳統科層理論之制度化實踐</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層級過多可能延長決策鏈，降低對外部環境變動之回應速度，為效率與課責之權衡</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專業分工（獨立機關與機構）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使具高度專業性或政治中立性需求之業務脫離一般政治指揮，強化專業與中立性</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獨立機關合議制之決策效率通常低於首長制機關，且與一般機關間之權責分工易生模糊地帶</w:t>
            </w:r>
          </w:p>
        </w:tc>
      </w:tr>
    </w:tbl>
    <w:p>
      <w:pPr>
        <w:spacing w:after="280" w:before="120"/>
        <w:jc w:val="center"/>
      </w:pPr>
      <w:r>
        <w:rPr>
          <w:rFonts w:ascii="微軟正黑體" w:cs="微軟正黑體" w:eastAsia="微軟正黑體" w:hAnsi="微軟正黑體"/>
          <w:i/>
          <w:iCs/>
          <w:color w:val="555555"/>
          <w:sz w:val="18"/>
          <w:szCs w:val="18"/>
        </w:rPr>
        <w:t xml:space="preserve">表16-B　組織基準法設計原理之貢獻與限制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近年組織基準法之適用面臨數位化與新興治理需求之挑戰：傳統機關類型區分立基於「實體、層級、職權」三要素，惟數位發展部下設之資通安全署係由原本行政院國家資通安全處（幕僚單位）升格為獨立署級機關，反映數位與資安治理事權從內部幕僚支援性質，逐步走向對外具備法定職權之獨立執行機關，此一升格歷程本身即體現組織基準法命名規則「依業務政策性與執行性程度分層設計」之實踐。</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現制中，通傳會（NCC）、公平交易委員會、中央選舉委員會等獨立機關，均係因應政治中立性、專業性或跨黨派信任需求而設置之合議制機關；而中央銀行則因貨幣金融政策之特殊性，依中央銀行法特別規定，不適用組織基準法之一般規範，此為「特別法優於普通法」原則之具體展現。</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①機關類型四種：機關／獨立機關／機構／單位（及其定義與是否受監督）</w:t>
            </w:r>
          </w:p>
          <w:p>
            <w:pPr>
              <w:spacing w:after="80" w:line="320"/>
            </w:pPr>
            <w:r>
              <w:rPr>
                <w:rFonts w:ascii="微軟正黑體" w:cs="微軟正黑體" w:eastAsia="微軟正黑體" w:hAnsi="微軟正黑體"/>
                <w:sz w:val="21"/>
                <w:szCs w:val="21"/>
              </w:rPr>
              <w:t xml:space="preserve">•　②外部層級一至四級：院（一級）／部會總處獨立機關（二級）／署局（三級）／分署（四級）</w:t>
            </w:r>
          </w:p>
          <w:p>
            <w:pPr>
              <w:spacing w:after="80" w:line="320"/>
            </w:pPr>
            <w:r>
              <w:rPr>
                <w:rFonts w:ascii="微軟正黑體" w:cs="微軟正黑體" w:eastAsia="微軟正黑體" w:hAnsi="微軟正黑體"/>
                <w:sz w:val="21"/>
                <w:szCs w:val="21"/>
              </w:rPr>
              <w:t xml:space="preserve">•　③命名規則依業務政策性與執行性程度分層設計</w:t>
            </w:r>
          </w:p>
          <w:p>
            <w:pPr>
              <w:spacing w:after="0" w:line="320"/>
            </w:pPr>
            <w:r>
              <w:rPr>
                <w:rFonts w:ascii="微軟正黑體" w:cs="微軟正黑體" w:eastAsia="微軟正黑體" w:hAnsi="微軟正黑體"/>
                <w:sz w:val="21"/>
                <w:szCs w:val="21"/>
              </w:rPr>
              <w:t xml:space="preserve">•　④單位內部區分：業務單位 vs 輔助單位（秘書人事主計政風資訊）</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機關類型記憶：機（關，對外表意）、獨（立機關，合議自主）、機（構，附屬專業）、單（位，內部分工）——注意「機」字重複，須以「是否具單獨法定地位」區辨</w:t>
            </w:r>
          </w:p>
          <w:p>
            <w:pPr>
              <w:spacing w:after="0" w:line="320"/>
            </w:pPr>
            <w:r>
              <w:rPr>
                <w:rFonts w:ascii="微軟正黑體" w:cs="微軟正黑體" w:eastAsia="微軟正黑體" w:hAnsi="微軟正黑體"/>
                <w:sz w:val="21"/>
                <w:szCs w:val="21"/>
              </w:rPr>
              <w:t xml:space="preserve">•　層級口訣：院（一級）、部會（二級）、署局（三級）、分署（四級）——「院部署分」四字訣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獨立機關」（依法律獨立行使職權，除法律另有規定外不受其他機關指揮監督之合議制機關，如NCC、公平會）與「機構」（機關為達成法定任務所設之附屬專業性組織，仍受設置機關監督）常被考生混淆——判準在於是否「受其他機關指揮監督」：獨立機關原則上不受監督，機構則明確受設置機關監督。</w:t>
            </w:r>
          </w:p>
          <w:p>
            <w:pPr>
              <w:spacing w:after="0" w:line="320"/>
            </w:pPr>
            <w:r>
              <w:rPr>
                <w:rFonts w:ascii="微軟正黑體" w:cs="微軟正黑體" w:eastAsia="微軟正黑體" w:hAnsi="微軟正黑體"/>
                <w:sz w:val="21"/>
                <w:szCs w:val="21"/>
              </w:rPr>
              <w:t xml:space="preserve">•　「業務單位」（處理機關主要法定業務，如各部之司處）與「輔助單位」（秘書人事主計政風資訊，提供內部行政支援）常被視為同一層次——判準在於是否直接對外行使機關之法定職權：業務單位直接對外行使職權，輔助單位僅對內提供支援而不對外行使職權。</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第二節　行政院組織法與組織改造歷程、行政院運作機制</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行政院組織法乃規範行政院內部組織架構之基本法律，歷經數十年僅微幅調整後，於2010年完成組織改造五法（行政院組織法、中央行政機關組織基準法、行政院功能業務與組織調整暫行條例、中央政府機關總員額法、行政法人法）之修正與配套，並自2012年起正式上路，為我國戰後規模最大之一次政府組織改造工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2012年組織改造原以「精簡、合理、效能、彈性、課責」五大目標，將原37個部會精簡為29個機關（14部8會3獨立機關1行1院2總處），惟其後因應數位治理、氣候環境、韌性國安等新興議題，歷經數次修法與新設機關（如數位發展部2022年成立、環境部與農業部由署會升格），我國現行（2025年）行政院組織架構已調整為15部9會3獨立機關1行1院2總處，共計33個機關，較101年（2012年）改造後之29機關略增，反映組織改造並非一次到位之靜態工程，而是隨治理議題演化持續調適之動態過程。</w:t>
      </w:r>
    </w:p>
    <w:p>
      <w:pPr>
        <w:pStyle w:val="ListParagraph"/>
        <w:numPr>
          <w:ilvl w:val="0"/>
          <w:numId w:val="2"/>
        </w:numPr>
        <w:spacing w:after="120" w:line="340"/>
      </w:pPr>
      <w:r>
        <w:rPr>
          <w:rFonts w:ascii="微軟正黑體" w:cs="微軟正黑體" w:eastAsia="微軟正黑體" w:hAnsi="微軟正黑體"/>
          <w:sz w:val="22"/>
          <w:szCs w:val="22"/>
        </w:rPr>
        <w:t xml:space="preserve">組織改造五法各司其職：行政院組織法確立行政院本身之組織架構；中央行政機關組織基準法提供各部會以下機關設計之統一基準；行政院功能業務與組織調整暫行條例處理改造過程中人員移撥、留用與權益保障之過渡性安排；中央政府機關總員額法針對全國行政機關人事編制總量設定上限，防止組織精簡後員額又無限擴張；行政法人法則為具專業需求、不適合由行政機關或民間辦理之公共任務，提供法人化之組織選項。</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200"/>
        <w:gridCol w:w="1200"/>
        <w:gridCol w:w="1400"/>
        <w:gridCol w:w="1600"/>
        <w:gridCol w:w="22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時期</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部</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會</w:t>
            </w:r>
          </w:p>
        </w:tc>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獨立機關</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其他</w:t>
            </w:r>
          </w:p>
        </w:tc>
        <w:tc>
          <w:tcPr>
            <w:tcW w:type="dxa" w:w="2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機關總數</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101年（2012）改造後</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14部</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8會</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3獨立機關</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1行1院2總處</w:t>
            </w:r>
          </w:p>
        </w:tc>
        <w:tc>
          <w:tcPr>
            <w:tcW w:type="dxa" w:w="2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29機關</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114年（2025）現況</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15部</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9會</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3獨立機關</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1行1院2總處</w:t>
            </w:r>
          </w:p>
        </w:tc>
        <w:tc>
          <w:tcPr>
            <w:tcW w:type="dxa" w:w="2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33機關</w:t>
            </w:r>
          </w:p>
        </w:tc>
      </w:tr>
    </w:tbl>
    <w:p>
      <w:pPr>
        <w:spacing w:after="280" w:before="120"/>
        <w:jc w:val="center"/>
      </w:pPr>
      <w:r>
        <w:rPr>
          <w:rFonts w:ascii="微軟正黑體" w:cs="微軟正黑體" w:eastAsia="微軟正黑體" w:hAnsi="微軟正黑體"/>
          <w:i/>
          <w:iCs/>
          <w:color w:val="555555"/>
          <w:sz w:val="18"/>
          <w:szCs w:val="18"/>
        </w:rPr>
        <w:t xml:space="preserve">表16-C　行政院組織架構演變對照</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行政院運作機制存在兩種典型模式：首長制（多數部會採行，由部長／首長獨任決策並對外負責，指揮體系明確、決策效率較高，惟首長個人政治判斷之風險亦相對集中）與委員制（獨立機關普遍採行合議制，置委員5至11人，任期保障並有同一黨籍委員不得超過一定比例之設計，藉多元背景委員共同決議以強化決策之專業性、中立性與可預見性，惟決策效率通常低於首長制，且對外責任歸屬較為分散）。兩種模式之選擇，本質上反映組織基準法「專業分工原理」於行政院層級之具體落實：一般政策執行性業務多採首長制以求效率，涉及高度專業中立或跨黨派信任之業務則採委員制以求正當性。</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運作模式</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首長制（多數部會）</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指揮體系明確、決策效率高、政治責任集中易於課責</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首長個人判斷風險集中，決策易受首長任期與政治更迭影響而缺乏延續性</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委員制（獨立機關合議制）</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多元專業背景共同決議，強化決策中立性與可預見性，任期保障降低政治干預</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決策效率較低，對外責任歸屬分散，易生「有權無責」之課責模糊地帶</w:t>
            </w:r>
          </w:p>
        </w:tc>
      </w:tr>
    </w:tbl>
    <w:p>
      <w:pPr>
        <w:spacing w:after="280" w:before="120"/>
        <w:jc w:val="center"/>
      </w:pPr>
      <w:r>
        <w:rPr>
          <w:rFonts w:ascii="微軟正黑體" w:cs="微軟正黑體" w:eastAsia="微軟正黑體" w:hAnsi="微軟正黑體"/>
          <w:i/>
          <w:iCs/>
          <w:color w:val="555555"/>
          <w:sz w:val="18"/>
          <w:szCs w:val="18"/>
        </w:rPr>
        <w:t xml:space="preserve">表16-D　首長制與委員制之貢獻與限制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近年行政院組織改造已從「量的精簡」逐步轉向「質的敏捷化」：數位發展部即體現此一轉向，其內部單位設計強調跨司協作與專案編組，而非傳統金字塔式層級節制，反映數位治理業務變動快速、需高度彈性組織回應之當代趨勢。</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以數位發展部為例，其成立係將原國家通訊傳播委員會之部分監理職能、行政院資通安全處、以及財團法人電信技術中心等分散於不同機關之數位相關職能進行部分整合，展現「組織改造並非單純裁併舊機關，而是隨治理議題重新盤點權責歸屬」之當代實踐邏輯。</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①組織改造五法：行政院組織法／中央行政機關組織基準法／行政院功能業務與組織調整暫行條例／中央政府機關總員額法／行政法人法</w:t>
            </w:r>
          </w:p>
          <w:p>
            <w:pPr>
              <w:spacing w:after="80" w:line="320"/>
            </w:pPr>
            <w:r>
              <w:rPr>
                <w:rFonts w:ascii="微軟正黑體" w:cs="微軟正黑體" w:eastAsia="微軟正黑體" w:hAnsi="微軟正黑體"/>
                <w:sz w:val="21"/>
                <w:szCs w:val="21"/>
              </w:rPr>
              <w:t xml:space="preserve">•　②2012年改造目標五大原則：精簡合理有效能彈性課責</w:t>
            </w:r>
          </w:p>
          <w:p>
            <w:pPr>
              <w:spacing w:after="80" w:line="320"/>
            </w:pPr>
            <w:r>
              <w:rPr>
                <w:rFonts w:ascii="微軟正黑體" w:cs="微軟正黑體" w:eastAsia="微軟正黑體" w:hAnsi="微軟正黑體"/>
                <w:sz w:val="21"/>
                <w:szCs w:val="21"/>
              </w:rPr>
              <w:t xml:space="preserve">•　③2025年現行架構：15部9會3獨立機關1行1院2總處＝33機關（較101年29機關略增）</w:t>
            </w:r>
          </w:p>
          <w:p>
            <w:pPr>
              <w:spacing w:after="80" w:line="320"/>
            </w:pPr>
            <w:r>
              <w:rPr>
                <w:rFonts w:ascii="微軟正黑體" w:cs="微軟正黑體" w:eastAsia="微軟正黑體" w:hAnsi="微軟正黑體"/>
                <w:sz w:val="21"/>
                <w:szCs w:val="21"/>
              </w:rPr>
              <w:t xml:space="preserve">•　④首長制vs委員制之適用邏輯與優限比較</w:t>
            </w:r>
          </w:p>
          <w:p>
            <w:pPr>
              <w:spacing w:after="0" w:line="320"/>
            </w:pPr>
            <w:r>
              <w:rPr>
                <w:rFonts w:ascii="微軟正黑體" w:cs="微軟正黑體" w:eastAsia="微軟正黑體" w:hAnsi="微軟正黑體"/>
                <w:sz w:val="21"/>
                <w:szCs w:val="21"/>
              </w:rPr>
              <w:t xml:space="preserve">•　⑤獨立機關合議制：委員5至11人，同一黨籍比例限制</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組織改造五法口訣：院（組織法）、基（準法）、暫（行條例）、總（員額法）、法（人法）——「院基暫總法」五字訣</w:t>
            </w:r>
          </w:p>
          <w:p>
            <w:pPr>
              <w:spacing w:after="80" w:line="320"/>
            </w:pPr>
            <w:r>
              <w:rPr>
                <w:rFonts w:ascii="微軟正黑體" w:cs="微軟正黑體" w:eastAsia="微軟正黑體" w:hAnsi="微軟正黑體"/>
                <w:sz w:val="21"/>
                <w:szCs w:val="21"/>
              </w:rPr>
              <w:t xml:space="preserve">•　改造目標口訣：精（簡）、合（理）、效（能）、彈（性）、課（責）——「精合效彈課」五字訣</w:t>
            </w:r>
          </w:p>
          <w:p>
            <w:pPr>
              <w:spacing w:after="0" w:line="320"/>
            </w:pPr>
            <w:r>
              <w:rPr>
                <w:rFonts w:ascii="微軟正黑體" w:cs="微軟正黑體" w:eastAsia="微軟正黑體" w:hAnsi="微軟正黑體"/>
                <w:sz w:val="21"/>
                <w:szCs w:val="21"/>
              </w:rPr>
              <w:t xml:space="preserve">•　首長制vs委員制一句話記憶：首長制要「快」，委員制要「信」（多元信任）</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中央行政機關組織基準法」（規範各部會以下機關設計之「基準性」通用法律，適用於絕大多數中央機關）與「行政院組織法」（專門規範「行政院本身」組織架構之法律，位階上屬特別規定）常被考生混為一談——判準在於規範對象：前者是通用基準，後者是針對行政院本身之專門規定，兩者關係為通用法與特別法。</w:t>
            </w:r>
          </w:p>
          <w:p>
            <w:pPr>
              <w:spacing w:after="0" w:line="320"/>
            </w:pPr>
            <w:r>
              <w:rPr>
                <w:rFonts w:ascii="微軟正黑體" w:cs="微軟正黑體" w:eastAsia="微軟正黑體" w:hAnsi="微軟正黑體"/>
                <w:sz w:val="21"/>
                <w:szCs w:val="21"/>
              </w:rPr>
              <w:t xml:space="preserve">•　「首長制」（部長獨任決策）與「委員制」（合議制，多委員共同決議）常被簡化為「效率高低」之二元對立而忽略其制度設計初衷——首長制之目的在確保政治回應性與課責集中，委員制之目的在確保專業中立與決策正當性，兩者是針對不同業務性質之制度選擇，而非單純效率優劣之比較。</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行政法人與地方府際關係的組織設計</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行政法人乃指國家或地方自治團體以外，由中央目的事業主管機關，為執行特定公共任務，依法律設立之公法人，係介於傳統行政機關與純粹民間團體之間的中間型組織，兼具公共任務之延續性與經營管理之彈性。</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依行政法人法，公共任務欲改制為行政法人，須同時符合四項要件：具有專業需求（該任務須具高度專業性，非一般行政人事體制所能有效因應）、強化成本效益及經營效能（藉企業化經營彈性提升效率，非行政機關傳統預算與人事制度所能達成）、不適合由行政機關推動亦不適合交由民間辦理（若適合行政機關直營則無須法人化，若適合民間辦理則應促參或委外，行政法人係針對「兩者皆不適」之公共任務缺口）、所涉公權力行使程度較低（若涉及高權力性之管制、處分等核心公權力，仍應由行政機關直接行使，不宜法人化）。國家表演藝術中心、國家運動訓練中心等均為我國現行行政法人之實例。</w:t>
      </w:r>
    </w:p>
    <w:p>
      <w:pPr>
        <w:pStyle w:val="ListParagraph"/>
        <w:numPr>
          <w:ilvl w:val="0"/>
          <w:numId w:val="2"/>
        </w:numPr>
        <w:spacing w:after="120" w:line="340"/>
      </w:pPr>
      <w:r>
        <w:rPr>
          <w:rFonts w:ascii="微軟正黑體" w:cs="微軟正黑體" w:eastAsia="微軟正黑體" w:hAnsi="微軟正黑體"/>
          <w:sz w:val="22"/>
          <w:szCs w:val="22"/>
        </w:rPr>
        <w:t xml:space="preserve">與行政法人性質相近但監督密度不同者，為政府捐助之財團法人（如工業技術研究院、資訊工業策進會等），兩者雖同樣處理具專業需求、企業化經營之公共任務，惟行政法人係依專法（行政法人法）設立之公法人，受立法院預決算審議、績效評鑑等較高密度之法定監督；政府捐助財團法人則係依民法財團法人規定設立之私法人，監督密度相對較低，僅循捐助章程與主管機關一般監督。</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000"/>
        <w:gridCol w:w="34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組織型態</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法律性質</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監督密度</w:t>
            </w:r>
          </w:p>
        </w:tc>
        <w:tc>
          <w:tcPr>
            <w:tcW w:type="dxa" w:w="3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代表實例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行政機關</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公法人（國家或地方自治團體本身）</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最高（層級節制、預算法、公務人員法制全面適用）</w:t>
            </w:r>
          </w:p>
        </w:tc>
        <w:tc>
          <w:tcPr>
            <w:tcW w:type="dxa" w:w="3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各部會及其所屬機關</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行政法人</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公法人（依行政法人法設立）</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高（專法監督、立法院預決算審議、績效評鑑）</w:t>
            </w:r>
          </w:p>
        </w:tc>
        <w:tc>
          <w:tcPr>
            <w:tcW w:type="dxa" w:w="3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國家表演藝術中心、國家運動訓練中心</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類行政法人（特別法設立之公法人）</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公法人（依個別特別法設立）</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高（略低於一般行政法人，依個別專法而定）</w:t>
            </w:r>
          </w:p>
        </w:tc>
        <w:tc>
          <w:tcPr>
            <w:tcW w:type="dxa" w:w="3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中央銀行、國家中山科學研究院</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一般政府捐助財團法人</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私法人（民法財團法人，政府為主要捐助人）</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中（捐助章程、主管機關一般監督）</w:t>
            </w:r>
          </w:p>
        </w:tc>
        <w:tc>
          <w:tcPr>
            <w:tcW w:type="dxa" w:w="3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工業技術研究院、資訊工業策進會</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類一般政府捐助財團法人</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私法人（政府部分捐助）</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中低（依捐助比例調整監督密度）</w:t>
            </w:r>
          </w:p>
        </w:tc>
        <w:tc>
          <w:tcPr>
            <w:tcW w:type="dxa" w:w="3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部分產業與文化類財團法人</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民間財團法人</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私法人（民間捐助為主）</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最低（一般民法監督）</w:t>
            </w:r>
          </w:p>
        </w:tc>
        <w:tc>
          <w:tcPr>
            <w:tcW w:type="dxa" w:w="3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一般民間公益財團法人</w:t>
            </w:r>
          </w:p>
        </w:tc>
      </w:tr>
    </w:tbl>
    <w:p>
      <w:pPr>
        <w:spacing w:after="280" w:before="120"/>
        <w:jc w:val="center"/>
      </w:pPr>
      <w:r>
        <w:rPr>
          <w:rFonts w:ascii="微軟正黑體" w:cs="微軟正黑體" w:eastAsia="微軟正黑體" w:hAnsi="微軟正黑體"/>
          <w:i/>
          <w:iCs/>
          <w:color w:val="555555"/>
          <w:sz w:val="18"/>
          <w:szCs w:val="18"/>
        </w:rPr>
        <w:t xml:space="preserve">表16-E　組織型態監督密度排序</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行政法人監督密度排序可歸納為：行政機關＞行政法人≧類行政法人＞一般政府捐助財團法人＞類一般政府捐助財團法人＞民間財團法人，此一光譜反映「公權力行使程度」與「組織自主彈性」之反向關係——公權力行使程度愈高，監督密度愈高、經營彈性愈低；反之，公權力行使程度愈低，監督密度愈低、經營彈性愈高。此一光譜正是理解108年地方特考三等真題「行政機關、行政法人、政府捐助財團法人組織目的性質管理差異」之核心分析框架。</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組織型態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行政法人化</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兼顧公共任務延續性與企業化經營彈性，脫離公務預算年度化與人事任用僵化之限制，提升專業任務執行效能</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監督密度雖高於財團法人，惟其經營團隊之政治課責性弱於行政機關首長，易生「有權無責」疑慮，尤其涉及公權力性質任務時</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政府捐助財團法人</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法人化程度最高、經營彈性最大，可彈性延攬產業專業人才、快速回應市場與技術變動</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監督密度最低，若承接具一定公權力性質之業務，課責機制相對薄弱，易生公共性稀釋之疑慮</w:t>
            </w:r>
          </w:p>
        </w:tc>
      </w:tr>
    </w:tbl>
    <w:p>
      <w:pPr>
        <w:spacing w:after="280" w:before="120"/>
        <w:jc w:val="center"/>
      </w:pPr>
      <w:r>
        <w:rPr>
          <w:rFonts w:ascii="微軟正黑體" w:cs="微軟正黑體" w:eastAsia="微軟正黑體" w:hAnsi="微軟正黑體"/>
          <w:i/>
          <w:iCs/>
          <w:color w:val="555555"/>
          <w:sz w:val="18"/>
          <w:szCs w:val="18"/>
        </w:rPr>
        <w:t xml:space="preserve">表16-F　行政法人與政府捐助財團法人之貢獻與限制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近年部分具高度專業與國安敏感性之資安機構，選擇以行政法人形式設置（如國家資通安全研究院），係「行政法人化的公權力」現象之當代新興案例——該機構雖以行政法人形式運作以延攬資安專業人才、彈性用人與採購，惟其所處理之國家級資安事件應變、關鍵基礎設施資安治理等業務，實質上具高度公權力色彩，此一「專業需求」與「公權力行使程度較低」兩項行政法人要件之間的內在張力，為本章第五節AI治理專節所深入探討之核心議題。</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地方制度將地方自治團體（直轄市、縣市、鄉鎮市）與省（現已虛級化，非地方自治團體）明確區分；地方自治團體之事項又分為自治事項（地方自主決定並執行，如地方交通建設）與委辦事項（受中央或上級政府委託執行，如戶籍登記），兩者在經費負擔與監督密度上均有差異。地方制度設計整體遵循均權主義（依事務性質劃分中央與地方權限，而非絕對之中央集權或地方分權）；現行六都（台北、新北、桃園、台中、台南、高雄）之設置，即為均權主義下回應人口與經濟發展差異之具體制度安排。</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①行政法人四要件：專業需求／強化成本效益經營效能／不適合行政機關亦不適合民間／公權力行使程度較低</w:t>
            </w:r>
          </w:p>
          <w:p>
            <w:pPr>
              <w:spacing w:after="80" w:line="320"/>
            </w:pPr>
            <w:r>
              <w:rPr>
                <w:rFonts w:ascii="微軟正黑體" w:cs="微軟正黑體" w:eastAsia="微軟正黑體" w:hAnsi="微軟正黑體"/>
                <w:sz w:val="21"/>
                <w:szCs w:val="21"/>
              </w:rPr>
              <w:t xml:space="preserve">•　②監督密度排序：行政機關＞行政法人≧類行政法人＞一般政府捐助財團法人＞類一般政府捐助＞民間財團法人</w:t>
            </w:r>
          </w:p>
          <w:p>
            <w:pPr>
              <w:spacing w:after="80" w:line="320"/>
            </w:pPr>
            <w:r>
              <w:rPr>
                <w:rFonts w:ascii="微軟正黑體" w:cs="微軟正黑體" w:eastAsia="微軟正黑體" w:hAnsi="微軟正黑體"/>
                <w:sz w:val="21"/>
                <w:szCs w:val="21"/>
              </w:rPr>
              <w:t xml:space="preserve">•　③行政機關vs行政法人vs政府捐助財團法人：組織目的、法律性質、監督密度、人事財務制度之差異</w:t>
            </w:r>
          </w:p>
          <w:p>
            <w:pPr>
              <w:spacing w:after="0" w:line="320"/>
            </w:pPr>
            <w:r>
              <w:rPr>
                <w:rFonts w:ascii="微軟正黑體" w:cs="微軟正黑體" w:eastAsia="微軟正黑體" w:hAnsi="微軟正黑體"/>
                <w:sz w:val="21"/>
                <w:szCs w:val="21"/>
              </w:rPr>
              <w:t xml:space="preserve">•　④地方自治團體vs省；自治事項vs委辦事項；均權主義；六都</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行政法人四要件口訣：專（業需求）、效（益效能）、不（適合機關民間）、低（公權力程度）——「專效不低」四字訣</w:t>
            </w:r>
          </w:p>
          <w:p>
            <w:pPr>
              <w:spacing w:after="80" w:line="320"/>
            </w:pPr>
            <w:r>
              <w:rPr>
                <w:rFonts w:ascii="微軟正黑體" w:cs="微軟正黑體" w:eastAsia="微軟正黑體" w:hAnsi="微軟正黑體"/>
                <w:sz w:val="21"/>
                <w:szCs w:val="21"/>
              </w:rPr>
              <w:t xml:space="preserve">•　監督密度排序記憶：機關最高，法人次之，財團法人最低——「機高法中團低」</w:t>
            </w:r>
          </w:p>
          <w:p>
            <w:pPr>
              <w:spacing w:after="0" w:line="320"/>
            </w:pPr>
            <w:r>
              <w:rPr>
                <w:rFonts w:ascii="微軟正黑體" w:cs="微軟正黑體" w:eastAsia="微軟正黑體" w:hAnsi="微軟正黑體"/>
                <w:sz w:val="21"/>
                <w:szCs w:val="21"/>
              </w:rPr>
              <w:t xml:space="preserve">•　地方制度記憶：自治事項地方作主，委辦事項中央交辦——一字之差，權責天差地遠</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行政法人」（依行政法人法設立之公法人，監督密度高，如國家表演藝術中心）與「政府捐助財團法人」（依民法設立之私法人，監督密度較低，如工業技術研究院）常被考生視為同一類組織——判準在於設立依據（專法vs民法）與法律性質（公法人vs私法人），此為108年地方特考真題之核心考點，作答時須逐一對照組織目的、性質、監督密度三個面向分別論述，不可籠統合併說明。</w:t>
            </w:r>
          </w:p>
          <w:p>
            <w:pPr>
              <w:spacing w:after="0" w:line="320"/>
            </w:pPr>
            <w:r>
              <w:rPr>
                <w:rFonts w:ascii="微軟正黑體" w:cs="微軟正黑體" w:eastAsia="微軟正黑體" w:hAnsi="微軟正黑體"/>
                <w:sz w:val="21"/>
                <w:szCs w:val="21"/>
              </w:rPr>
              <w:t xml:space="preserve">•　「自治事項」（地方自治團體依據地方制度法自主決定並執行之事項，經費主要由地方自籌）與「委辦事項」（地方受中央或上級政府委託執行之事項，經費原則上由委辦機關負擔）常被考生混淆——判準在於「決定權歸屬」：自治事項地方有實質決定權，委辦事項地方僅是執行角色，決定權仍在委辦機關。</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組織改造的策略：四化策略與5C策略、數位轉型下的新興行政組織</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面對政府職能擴張與財政資源有限之兩難，學理與實務上發展出系統性之組織改造策略，其中最具代表性者為「四化策略」（我國組織改造實務常用架構）與Osborne &amp; Gaebler於《新政府運動》所提出之「5C策略」，兩者可相互對應，為理解我國歷次組織改造具體手段之分析框架。</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四化策略指：去任務化（檢討該項公共任務是否仍有由政府繼續辦理之必要，若無則予以停辦或退場）、地方化（將屬地方性質之任務下放地方自治團體辦理，落實均權主義）、法人化（將具專業需求且不適合機關或民間辦理之任務，改由行政法人或政府捐助財團法人辦理）、委外化（將例行性、非核心業務以民間參與、委託外包方式辦理，政府保留監督與最終課責角色）。</w:t>
      </w:r>
    </w:p>
    <w:p>
      <w:pPr>
        <w:pStyle w:val="ListParagraph"/>
        <w:numPr>
          <w:ilvl w:val="0"/>
          <w:numId w:val="2"/>
        </w:numPr>
        <w:spacing w:after="120" w:line="340"/>
      </w:pPr>
      <w:r>
        <w:rPr>
          <w:rFonts w:ascii="微軟正黑體" w:cs="微軟正黑體" w:eastAsia="微軟正黑體" w:hAnsi="微軟正黑體"/>
          <w:sz w:val="22"/>
          <w:szCs w:val="22"/>
        </w:rPr>
        <w:t xml:space="preserve">Osborne與Gaebler之5C策略則從企業型政府精神出發，提出：核心化（Core，釐清政府應聚焦之核心職能，即「導航而非操槳」）、效果化（Consequence，建立績效導向之誘因與後果機制）、顧客導向化（Customer，以民眾需求而非機關便利為服務設計核心）、控制化（Control，賦權基層並簡化內部控制程序）、文化化（Culture，改變組織成員之價值觀與行為模式，建立創新與結果導向之組織文化）。</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3000"/>
        <w:gridCol w:w="28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四化策略</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對應5C策略</w:t>
            </w:r>
          </w:p>
        </w:tc>
        <w:tc>
          <w:tcPr>
            <w:tcW w:type="dxa" w:w="3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核心邏輯</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我國實例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去任務化</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核心化（Core）</w:t>
            </w:r>
          </w:p>
        </w:tc>
        <w:tc>
          <w:tcPr>
            <w:tcW w:type="dxa" w:w="3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釐清政府核心職能，非核心任務停辦或退場</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部分過時管制業務之解除</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地方化</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顧客導向化（Customer）</w:t>
            </w:r>
          </w:p>
        </w:tc>
        <w:tc>
          <w:tcPr>
            <w:tcW w:type="dxa" w:w="3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貼近在地民眾需求，落實均權主義與在地治理</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地方型社福與文化業務下放地方政府</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法人化</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效果化（Consequence）</w:t>
            </w:r>
          </w:p>
        </w:tc>
        <w:tc>
          <w:tcPr>
            <w:tcW w:type="dxa" w:w="3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以績效評鑑與經營彈性強化任務執行效能</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國家表演藝術中心等行政法人化案例</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委外化</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控制化／文化化</w:t>
            </w:r>
          </w:p>
        </w:tc>
        <w:tc>
          <w:tcPr>
            <w:tcW w:type="dxa" w:w="3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簡化內部控制、引進民間創新文化提升服務效能</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部分設施委託民間團體經營</w:t>
            </w:r>
          </w:p>
        </w:tc>
      </w:tr>
    </w:tbl>
    <w:p>
      <w:pPr>
        <w:spacing w:after="280" w:before="120"/>
        <w:jc w:val="center"/>
      </w:pPr>
      <w:r>
        <w:rPr>
          <w:rFonts w:ascii="微軟正黑體" w:cs="微軟正黑體" w:eastAsia="微軟正黑體" w:hAnsi="微軟正黑體"/>
          <w:i/>
          <w:iCs/>
          <w:color w:val="555555"/>
          <w:sz w:val="18"/>
          <w:szCs w:val="18"/>
        </w:rPr>
        <w:t xml:space="preserve">表16-G　四化策略與5C策略對應表</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四化策略與5C策略之對應並非機械式一對一，而是揭示同一組織改造邏輯之兩種表述層次：四化策略偏重「組織型態選擇」之操作性手段（該任務該交給誰辦），5C策略則偏重「治理精神」之價值轉向（政府應如何思考與經營）。兩者結合運用，方能兼顧組織改造之「形」（型態選擇）與「神」（治理精神）。</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策略架構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四化策略</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提供組織改造操作性極強之決策樹式判準，便於逐項檢視既有機關業務之最適組織型態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四種選項之判斷標準在實務上常有模糊地帶，易生跨部會認定不一之爭議</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5C策略（Osborne&amp;Gaebler）</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從治理精神層次提醒組織改造不應止於形式精簡，更須轉變組織文化與績效誘因結構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5C策略源自企業型政府理論，若過度移植私部門邏輯，可能忽略公共任務之公共性與課責要求</w:t>
            </w:r>
          </w:p>
        </w:tc>
      </w:tr>
    </w:tbl>
    <w:p>
      <w:pPr>
        <w:spacing w:after="280" w:before="120"/>
        <w:jc w:val="center"/>
      </w:pPr>
      <w:r>
        <w:rPr>
          <w:rFonts w:ascii="微軟正黑體" w:cs="微軟正黑體" w:eastAsia="微軟正黑體" w:hAnsi="微軟正黑體"/>
          <w:i/>
          <w:iCs/>
          <w:color w:val="555555"/>
          <w:sz w:val="18"/>
          <w:szCs w:val="18"/>
        </w:rPr>
        <w:t xml:space="preserve">表16-H　四化策略與5C策略之貢獻與限制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數位轉型下，我國近年新設或升格之行政組織，可視為四化策略中「法人化」與「新增任務化」交織運用之當代實例：數位發展部（moda）於2022年8月27日成立，下設數位產業署、資通安全署等機關及六個業務司，並監督財團法人電信技術中心、國家資通安全研究院等法人機構，將原本分散於國家通訊傳播委員會、行政院資通安全處等機關之數位與資安職能重新整合；資通安全署係由原行政院國家資通安全處（內部幕僚單位）升格為署級獨立執行機關，反映資安治理從「內部支援」走向「對外具法定職權之專責機關」；環境部（原行政院環境保護署升格）、農業部（原行政院農業委員會升格）則反映氣候變遷與糧食安全等新興治理議題所驅動之組織擴權。</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以數位發展部為例，其「六司」編制搭配數位產業署、資通安全署兩個署級機關，並監督國家資通安全研究院、財團法人電信技術中心等法人，形成「部—署—法人」三層次垂直整合之數位治理架構，是我國近年組織改造中「法人化」與「專責化」並行之典型實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①四化策略：去任務化／地方化／法人化／委外化</w:t>
            </w:r>
          </w:p>
          <w:p>
            <w:pPr>
              <w:spacing w:after="80" w:line="320"/>
            </w:pPr>
            <w:r>
              <w:rPr>
                <w:rFonts w:ascii="微軟正黑體" w:cs="微軟正黑體" w:eastAsia="微軟正黑體" w:hAnsi="微軟正黑體"/>
                <w:sz w:val="21"/>
                <w:szCs w:val="21"/>
              </w:rPr>
              <w:t xml:space="preserve">•　②5C策略（Osborne&amp;Gaebler）：核心化／效果化／顧客導向化／控制化／文化化</w:t>
            </w:r>
          </w:p>
          <w:p>
            <w:pPr>
              <w:spacing w:after="80" w:line="320"/>
            </w:pPr>
            <w:r>
              <w:rPr>
                <w:rFonts w:ascii="微軟正黑體" w:cs="微軟正黑體" w:eastAsia="微軟正黑體" w:hAnsi="微軟正黑體"/>
                <w:sz w:val="21"/>
                <w:szCs w:val="21"/>
              </w:rPr>
              <w:t xml:space="preserve">•　③四化策略與5C策略對應關係</w:t>
            </w:r>
          </w:p>
          <w:p>
            <w:pPr>
              <w:spacing w:after="80" w:line="320"/>
            </w:pPr>
            <w:r>
              <w:rPr>
                <w:rFonts w:ascii="微軟正黑體" w:cs="微軟正黑體" w:eastAsia="微軟正黑體" w:hAnsi="微軟正黑體"/>
                <w:sz w:val="21"/>
                <w:szCs w:val="21"/>
              </w:rPr>
              <w:t xml:space="preserve">•　④數位發展部（2022年成立）：數位產業署、資通安全署、六司編制、監督之法人機構</w:t>
            </w:r>
          </w:p>
          <w:p>
            <w:pPr>
              <w:spacing w:after="0" w:line="320"/>
            </w:pPr>
            <w:r>
              <w:rPr>
                <w:rFonts w:ascii="微軟正黑體" w:cs="微軟正黑體" w:eastAsia="微軟正黑體" w:hAnsi="微軟正黑體"/>
                <w:sz w:val="21"/>
                <w:szCs w:val="21"/>
              </w:rPr>
              <w:t xml:space="preserve">•　⑤資通安全署由資安處升格；環境部農業部由署會升格</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四化策略口訣：去（任務化）、地（方化）、法（人化）、委（外化）——「去地法委」四字訣</w:t>
            </w:r>
          </w:p>
          <w:p>
            <w:pPr>
              <w:spacing w:after="80" w:line="320"/>
            </w:pPr>
            <w:r>
              <w:rPr>
                <w:rFonts w:ascii="微軟正黑體" w:cs="微軟正黑體" w:eastAsia="微軟正黑體" w:hAnsi="微軟正黑體"/>
                <w:sz w:val="21"/>
                <w:szCs w:val="21"/>
              </w:rPr>
              <w:t xml:space="preserve">•　5C策略口訣：核（心）、效（果）、顧（客）、控（制）、文（化）——「核效顧控文」五字訣</w:t>
            </w:r>
          </w:p>
          <w:p>
            <w:pPr>
              <w:spacing w:after="0" w:line="320"/>
            </w:pPr>
            <w:r>
              <w:rPr>
                <w:rFonts w:ascii="微軟正黑體" w:cs="微軟正黑體" w:eastAsia="微軟正黑體" w:hAnsi="微軟正黑體"/>
                <w:sz w:val="21"/>
                <w:szCs w:val="21"/>
              </w:rPr>
              <w:t xml:space="preserve">•　數位發展部記憶：一部兩署六司，整合原本分散的數位與資安權責</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法人化」（四化策略之一，將任務改由行政法人或政府捐助財團法人辦理，組織本身脫離行政機關體系但仍受一定監督）與「委外化」（任務仍屬政府機關權責，僅將執行層面委託民間辦理，政府保留監督與最終課責角色）常被考生混淆——判準在於「組織本身是否脫離政府體系」：法人化是「換了一個新的公法人或私法人組織來做」，委外化是「組織不變，只是把執行外包出去」。</w:t>
            </w:r>
          </w:p>
          <w:p>
            <w:pPr>
              <w:spacing w:after="0" w:line="320"/>
            </w:pPr>
            <w:r>
              <w:rPr>
                <w:rFonts w:ascii="微軟正黑體" w:cs="微軟正黑體" w:eastAsia="微軟正黑體" w:hAnsi="微軟正黑體"/>
                <w:sz w:val="21"/>
                <w:szCs w:val="21"/>
              </w:rPr>
              <w:t xml:space="preserve">•　「去任務化」（檢討政府是否仍有必要繼續辦理該任務，是治理範圍的收縮）與「地方化」（任務仍由政府辦理，只是執行層級從中央下放到地方，是治理層級的調整）常被考生視為同一類精簡手段——去任務化的結果是任務消失或轉由民間處理，地方化的結果是任務仍存在，只是換了一個政府層級來做。</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第五節　AI鑲嵌下的行政組織轉型：主權AI架構與治理專節</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當AI技術全面滲透公共治理，行政組織設計面臨「主權」層次之全新課題：政府若高度依賴境外大型科技公司提供之雲端運算、基礎模型與數據處理服務，即便組織架構、法定職權皆完整無缺，實質決策能力與自主性仍可能被架空，此即本節所欲探討之「主權AI」（Sovereign AI）組織設計核心命題。</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主權AI組織設計主張政府須建構四層主權架構：資料主權（政府對施政所需數據之控制權，確保關鍵行政數據不外流、不受境外平台單方調用）、算力主權（政府自主掌握或調度運算資源之能力，避免關鍵AI應用完全仰賴境外雲端服務商）、模型主權（發展或掌握可信任、可解釋、貼合本國語言文化與法制之基礎模型，而非全面依賴境外通用模型）、治理主權（政府對AI應用於公共任務之規則制定權與最終決策權，確保「誰來決定AI怎麼用」之權力仍在民主課責範圍之內）。我國推動之「可信任AI對話引擎」（TAIDE，由國家科學及技術委員會主導，著重繁體中文與本土文化脈絡之基礎模型）、「TAIWAN AI RAP」快速部署平台，以及規劃中之AI評測中心，均為回應模型主權與治理主權之具體政策工具。</w:t>
      </w:r>
    </w:p>
    <w:p>
      <w:pPr>
        <w:pStyle w:val="ListParagraph"/>
        <w:numPr>
          <w:ilvl w:val="0"/>
          <w:numId w:val="2"/>
        </w:numPr>
        <w:spacing w:after="120" w:line="340"/>
      </w:pPr>
      <w:r>
        <w:rPr>
          <w:rFonts w:ascii="微軟正黑體" w:cs="微軟正黑體" w:eastAsia="微軟正黑體" w:hAnsi="微軟正黑體"/>
          <w:sz w:val="22"/>
          <w:szCs w:val="22"/>
        </w:rPr>
        <w:t xml:space="preserve">當代AI治理專節面臨之核心挑戰為「多頭馬車」現象：AI治理事權分散於數位發展部（負責數位產業與資安監理）、國家科學及技術委員會（負責AI研發政策與TAIDE等基礎模型）、以及各業務部會（負責各自領域之AI應用），事權分散導致同一AI治理議題可能須由基層同時行文數位部、國科會與原主管部會，形成本章案例思考所探討之「一份公文跑幾個機關」現象。理論上之回應有二：其一為中央建框架、地方創應用之分工模式，由中央訂定AI治理之通用性原則框架，各部會則在框架下依業務特性彈性發展具體應用；其二為借鏡Artificial Intelligence Safety Institute（AI安全研究院）模式，成立具跨部會協調職能之專責機構，統籌AI安全測試、風險評估與治理協調，並搭配監管沙盒組織，允許特定AI應用於受控環境中先行測試後再全面推廣。</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813"/>
        <w:gridCol w:w="3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草案討論階段（初期）</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三讀通過版本（2025年12月）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立法模式</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部分討論傾向訂定專責主管機關、採較嚴格之事前審查模式</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改採原則性立法搭配風險分級管理，弱化事前審查、強化事後課責</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主管機關</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曾討論是否新設獨立AI主管機關</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維持既有部會分工，由數位發展部擔任統籌協調角色而非唯一主管機關</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風險分級</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初期討論聚焦「高風險應用清單」之列舉式規範</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改採較具彈性之風險分級框架，授權各業務主管機關依領域特性訂定細部規範</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罰則強度</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部分草案版本討論較高額度之行政罰鍰</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三讀版本罰則設計趨於溫和，強調輔導與限期改善優先於處罰</w:t>
            </w:r>
          </w:p>
        </w:tc>
      </w:tr>
    </w:tbl>
    <w:p>
      <w:pPr>
        <w:spacing w:after="280" w:before="120"/>
        <w:jc w:val="center"/>
      </w:pPr>
      <w:r>
        <w:rPr>
          <w:rFonts w:ascii="微軟正黑體" w:cs="微軟正黑體" w:eastAsia="微軟正黑體" w:hAnsi="微軟正黑體"/>
          <w:i/>
          <w:iCs/>
          <w:color w:val="555555"/>
          <w:sz w:val="18"/>
          <w:szCs w:val="18"/>
        </w:rPr>
        <w:t xml:space="preserve">表16-I　AI基本法草案與三讀版本對照</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於行政組織轉型過程中，本章聚焦第三種權力移轉——公權力影響力（P3）之擴散與「法人化的公權力」現象：當具高度專業與國安敏感性之AI與資安治理任務，選擇以行政法人形式運作（如國家資通安全研究院），該法人雖在法律形式上監督密度低於一般行政機關，實質上卻可能行使相當程度之公權力性質任務（如國家級資安事件應變協調、關鍵基礎設施AI風險評估），形成「組織型態之公權力行使程度」與「實質權力影響力」之落差——這正是行政法人四要件中「公權力行使程度較低」此一要件，在AI與資安高度專業化治理需求下所面臨之內在張力。此一現象亦與本章核心結構性效應——邊界消解與權威重構——密切相關：政府機關、行政法人、民間技術平台三者之間的邊界，因AI基礎設施（雲端算力、基礎模型）之高度技術依賴而日益模糊，傳統依附於組織法定職權而運作之權威結構，須重新面對「誰真正決定AI系統怎麼用」之根本提問。</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主權AI四主權架構（資料算力模型治理）</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提供政府系統性評估AI治理自主性風險之操作性框架，並呼應第十五章雙模型工具箱之四主權設計，形成全書AI組織治理理論之一致性</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四主權之具體指標與國際共通標準仍待發展，且資料算力模型三項主權之建構需高額基礎建設投資，中央與地方財政能力落差可能擴大數位治理不平等</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AI Safety Institute模式與監管沙盒組織</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借鏡國際經驗，提供跨部會協調之專責機構選項，可有效緩解多頭馬車現象並降低推行AI應用之試錯成本</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專責機構之設置本身即涉及新增組織之四化策略判斷，須避免疊床架屋，反而加重多頭馬車問題</w:t>
            </w:r>
          </w:p>
        </w:tc>
      </w:tr>
    </w:tbl>
    <w:p>
      <w:pPr>
        <w:spacing w:after="280" w:before="120"/>
        <w:jc w:val="center"/>
      </w:pPr>
      <w:r>
        <w:rPr>
          <w:rFonts w:ascii="微軟正黑體" w:cs="微軟正黑體" w:eastAsia="微軟正黑體" w:hAnsi="微軟正黑體"/>
          <w:i/>
          <w:iCs/>
          <w:color w:val="555555"/>
          <w:sz w:val="18"/>
          <w:szCs w:val="18"/>
        </w:rPr>
        <w:t xml:space="preserve">表16-J　AI組織治理架構之貢獻與限制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英國AI Safety Institute於2025年更名為AI Security Institute（AI安全防護研究院），係一具高度參考價值之當代案例：此一更名並非單純文字調整，而是反映該機構之治理焦點從「廣泛意義之AI安全（如偏誤、公平性）」收斂至「資通安全與國家安全層次之AI風險」，此一聚焦策略之調整，正呼應組織基準法「專業分工原理」——當機構任務範疇過於寬泛，反而稀釋其專業能量，適度收斂任務範疇方能強化專責機構之治理效能，值得我國規劃中之AI評測中心及類似專責機構參考。</w:t>
      </w:r>
    </w:p>
    <w:p>
      <w:pPr>
        <w:spacing w:after="140" w:before="260"/>
      </w:pPr>
      <w:r>
        <w:rPr>
          <w:rFonts w:ascii="微軟正黑體" w:cs="微軟正黑體" w:eastAsia="微軟正黑體" w:hAnsi="微軟正黑體"/>
          <w:b/>
          <w:bCs/>
          <w:color w:val="2E5C8A"/>
          <w:sz w:val="23"/>
          <w:szCs w:val="23"/>
        </w:rPr>
        <w:t xml:space="preserve">七、臺灣行政實務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誰界定「資安機構應否法人化」「AI治理框架適用於哪些機關」，多頭馬車下情境認定權分散於數位部、國科會與各部會</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組織能力審計、資料代表性審計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國家資通安全研究院等行政法人行使資安應變協調職能時，其權威是否仍可回溯至法定職權，或已自成一套專業權威</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組織能力審計、責任歸屬審計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AI基本法三讀版採風險分級授權各部會自訂細部規範，各部會訂定理由是否透明可供追溯查核</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法人化機構處理AI相關國安事件時，中央部會與行政法人間之責任如何劃分，是否出現責任真空</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表16-K　行政組織AI轉型階段四鏈七審應用</w:t>
      </w:r>
    </w:p>
    <w:p>
      <w:pPr>
        <w:spacing w:after="200" w:line="360"/>
        <w:ind w:firstLine="431"/>
        <w:jc w:val="both"/>
      </w:pPr>
      <w:r>
        <w:rPr>
          <w:rFonts w:ascii="微軟正黑體" w:cs="微軟正黑體" w:eastAsia="微軟正黑體" w:hAnsi="微軟正黑體"/>
          <w:sz w:val="22"/>
          <w:szCs w:val="22"/>
        </w:rPr>
        <w:t xml:space="preserve">我國國家資通安全研究院（2023年成立）係「行政法人化的公權力」現象之具體案例：該院以行政法人形式運作，得彈性延攬資安專業人才、採行較具彈性之採購與用人制度，惟其承擔之國家級資安事件應變、關鍵基礎設施資安治理協調等任務，實質上具高度公權力色彩，此一張力正是本章核心命題所欲揭示者。「多頭馬車」案例中，一份AI應用申請公文若同時涉及數位發展部（資安審查）、國家科學及技術委員會（模型技術審查）與業務主管部會（領域合規審查），基層人員須重複行文說明相同事項予多個機關，形成典型之情境建構鏈與理由鏈斷裂，為我國AI治理組織設計亟待改善之實務課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①主權AI四主權架構：資料主權／算力主權／模型主權／治理主權</w:t>
            </w:r>
          </w:p>
          <w:p>
            <w:pPr>
              <w:spacing w:after="80" w:line="320"/>
            </w:pPr>
            <w:r>
              <w:rPr>
                <w:rFonts w:ascii="微軟正黑體" w:cs="微軟正黑體" w:eastAsia="微軟正黑體" w:hAnsi="微軟正黑體"/>
                <w:sz w:val="21"/>
                <w:szCs w:val="21"/>
              </w:rPr>
              <w:t xml:space="preserve">•　②TAIDE可信任AI對話引擎（國科會主導）／TAIWAN AI RAP平台／AI評測中心</w:t>
            </w:r>
          </w:p>
          <w:p>
            <w:pPr>
              <w:spacing w:after="80" w:line="320"/>
            </w:pPr>
            <w:r>
              <w:rPr>
                <w:rFonts w:ascii="微軟正黑體" w:cs="微軟正黑體" w:eastAsia="微軟正黑體" w:hAnsi="微軟正黑體"/>
                <w:sz w:val="21"/>
                <w:szCs w:val="21"/>
              </w:rPr>
              <w:t xml:space="preserve">•　③AI治理多頭馬車現象：數位部、國科會、各業務部會事權分散</w:t>
            </w:r>
          </w:p>
          <w:p>
            <w:pPr>
              <w:spacing w:after="80" w:line="320"/>
            </w:pPr>
            <w:r>
              <w:rPr>
                <w:rFonts w:ascii="微軟正黑體" w:cs="微軟正黑體" w:eastAsia="微軟正黑體" w:hAnsi="微軟正黑體"/>
                <w:sz w:val="21"/>
                <w:szCs w:val="21"/>
              </w:rPr>
              <w:t xml:space="preserve">•　④中央建框架地方創應用之分工模式；AI Safety Institute模式與監管沙盒組織</w:t>
            </w:r>
          </w:p>
          <w:p>
            <w:pPr>
              <w:spacing w:after="80" w:line="320"/>
            </w:pPr>
            <w:r>
              <w:rPr>
                <w:rFonts w:ascii="微軟正黑體" w:cs="微軟正黑體" w:eastAsia="微軟正黑體" w:hAnsi="微軟正黑體"/>
                <w:sz w:val="21"/>
                <w:szCs w:val="21"/>
              </w:rPr>
              <w:t xml:space="preserve">•　⑤AI基本法草案vs三讀版（2025年12月三讀）對照：立法模式、主管機關、風險分級、罰則強度</w:t>
            </w:r>
          </w:p>
          <w:p>
            <w:pPr>
              <w:spacing w:after="80" w:line="320"/>
            </w:pPr>
            <w:r>
              <w:rPr>
                <w:rFonts w:ascii="微軟正黑體" w:cs="微軟正黑體" w:eastAsia="微軟正黑體" w:hAnsi="微軟正黑體"/>
                <w:sz w:val="21"/>
                <w:szCs w:val="21"/>
              </w:rPr>
              <w:t xml:space="preserve">•　⑥三種權力移轉（P3核心：法人化的公權力現象）；邊界消解與權威重構</w:t>
            </w:r>
          </w:p>
          <w:p>
            <w:pPr>
              <w:spacing w:after="0" w:line="320"/>
            </w:pPr>
            <w:r>
              <w:rPr>
                <w:rFonts w:ascii="微軟正黑體" w:cs="微軟正黑體" w:eastAsia="微軟正黑體" w:hAnsi="微軟正黑體"/>
                <w:sz w:val="21"/>
                <w:szCs w:val="21"/>
              </w:rPr>
              <w:t xml:space="preserve">•　⑦四鏈七審於國家資通安全研究院法人化案例、英國AISI更名案例、多頭馬車案例之應用</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四主權口訣：資（料）、算（力）、模（型）、治（理）——「資算模治」四字訣（呼應第十五章「算資演人」四主權，兩章可對照記憶）</w:t>
            </w:r>
          </w:p>
          <w:p>
            <w:pPr>
              <w:spacing w:after="80" w:line="320"/>
            </w:pPr>
            <w:r>
              <w:rPr>
                <w:rFonts w:ascii="微軟正黑體" w:cs="微軟正黑體" w:eastAsia="微軟正黑體" w:hAnsi="微軟正黑體"/>
                <w:sz w:val="21"/>
                <w:szCs w:val="21"/>
              </w:rPr>
              <w:t xml:space="preserve">•　多頭馬車一句話記憶：一份公文，跑數位部、跑國科會、跑主管部會——事權分散的具體後果</w:t>
            </w:r>
          </w:p>
          <w:p>
            <w:pPr>
              <w:spacing w:after="0" w:line="320"/>
            </w:pPr>
            <w:r>
              <w:rPr>
                <w:rFonts w:ascii="微軟正黑體" w:cs="微軟正黑體" w:eastAsia="微軟正黑體" w:hAnsi="微軟正黑體"/>
                <w:sz w:val="21"/>
                <w:szCs w:val="21"/>
              </w:rPr>
              <w:t xml:space="preserve">•　AISI更名記憶：從「廣泛安全」收斂到「資安國安」，專業分工原理的當代實踐</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主權AI組織設計四主權」（資料算力模型治理，本章脈絡下聚焦政府整體AI治理自主性）與「第十五章雙模型工具箱四主權」（算力資料演算法人才，聚焦單一機關AI組織成熟度自我評估）常被考生視為重複內容——本章聚焦「國家層次」政府整體AI治理自主性之政策設計，第十五章聚焦「機關層次」個別組織AI轉型之自我診斷工具，層次不同，作答時應依題目問的是國家政策或機關內部轉型而擇一敘述，避免混用。</w:t>
            </w:r>
          </w:p>
          <w:p>
            <w:pPr>
              <w:spacing w:after="0" w:line="320"/>
            </w:pPr>
            <w:r>
              <w:rPr>
                <w:rFonts w:ascii="微軟正黑體" w:cs="微軟正黑體" w:eastAsia="微軟正黑體" w:hAnsi="微軟正黑體"/>
                <w:sz w:val="21"/>
                <w:szCs w:val="21"/>
              </w:rPr>
              <w:t xml:space="preserve">•　「行政法人」（本章第三節：不適合機關或民間辦理、公權力行使程度較低之公共任務組織選項）與「法人化的公權力現象」（本節：具高度專業性之資安或AI治理任務以行政法人形式運作，卻實質行使相當程度公權力，形成要件與實務的張力）常被考生視為矛盾而不知如何調和——兩者並不矛盾，後者正是對前者「公權力行使程度較低」要件，在AI資安高度專業化治理需求下面臨挑戰之批判性延伸討論，屬於本章核心命題而非制度設計之矛盾。</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查得2題直接標記本章之申論真題（107年-外交、108年-地三），另有107年-高考「行政法人」一題（雙標記第8、16章）因主題與本章第三節行政法人專節高度契合，於第八章量產時保留移列本章完整解題；另111年-原三「地方創生」一題（雙標記第7、16章）已於第七章完整解題，本章僅參照不贅述。以下題目一、二採用真實歷屆試題，題目三為依本章第五節AI治理內容自行設計之模擬命題，各題均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題目一（A級基本題·107年公務人員高等考試三級考試）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107年公務人員高等考試三級考試真實歷屆試題，經查證其類科（一般行政）符合本書「一般行政」類科適用範圍，屬本章對應之真實申論題。本題於矩陣資料庫中雙標記於第八章「政府與市場的抉擇」與本章「我國行政組織」，因其提問焦點聚焦「行政法人之組織管理與運作挑戰」，與本章第三節「行政法人與地方府際關係的組織設計」高度契合，故於第八章量產時保留、移列本章完整解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「何謂行政法人？請問公立大學若改制為行政法人，其在組織管理和運作上，將面臨那些重要的改變和挑戰？（25分）」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定義＋情境應用分析題」，考生須依序完成：說明行政法人之意義（含四要件），並具體分析公立大學若改制為行政法人，在組織管理與運作上將面臨之改變與挑戰——若僅泛論行政法人一般優缺點，而未扣緊「公立大學」此一具體情境逐一分析改變與挑戰，屬於論述失焦。</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行政法人之意義與四要件 ＋ 公立大學改制情境應用 ＋ 組織管理與運作之改變與挑戰。</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一、前言：從「公務體系一部分」到「獨立運作的公法人」</w:t>
      </w:r>
    </w:p>
    <w:p>
      <w:pPr>
        <w:pStyle w:val="ListParagraph"/>
        <w:numPr>
          <w:ilvl w:val="0"/>
          <w:numId w:val="2"/>
        </w:numPr>
        <w:spacing w:after="120" w:line="340"/>
      </w:pPr>
      <w:r>
        <w:rPr>
          <w:rFonts w:ascii="微軟正黑體" w:cs="微軟正黑體" w:eastAsia="微軟正黑體" w:hAnsi="微軟正黑體"/>
          <w:sz w:val="22"/>
          <w:szCs w:val="22"/>
        </w:rPr>
        <w:t xml:space="preserve">二、行政法人之意義與四要件</w:t>
      </w:r>
    </w:p>
    <w:p>
      <w:pPr>
        <w:pStyle w:val="ListParagraph"/>
        <w:numPr>
          <w:ilvl w:val="0"/>
          <w:numId w:val="2"/>
        </w:numPr>
        <w:spacing w:after="120" w:line="340"/>
      </w:pPr>
      <w:r>
        <w:rPr>
          <w:rFonts w:ascii="微軟正黑體" w:cs="微軟正黑體" w:eastAsia="微軟正黑體" w:hAnsi="微軟正黑體"/>
          <w:sz w:val="22"/>
          <w:szCs w:val="22"/>
        </w:rPr>
        <w:t xml:space="preserve">三、公立大學改制行政法人後之組織管理改變</w:t>
      </w:r>
    </w:p>
    <w:p>
      <w:pPr>
        <w:pStyle w:val="ListParagraph"/>
        <w:numPr>
          <w:ilvl w:val="0"/>
          <w:numId w:val="2"/>
        </w:numPr>
        <w:spacing w:after="120" w:line="340"/>
      </w:pPr>
      <w:r>
        <w:rPr>
          <w:rFonts w:ascii="微軟正黑體" w:cs="微軟正黑體" w:eastAsia="微軟正黑體" w:hAnsi="微軟正黑體"/>
          <w:sz w:val="22"/>
          <w:szCs w:val="22"/>
        </w:rPr>
        <w:t xml:space="preserve">四、公立大學改制行政法人所面臨之挑戰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行政法人指國家或地方自治團體以外，由中央目的事業主管機關，為執行特定公共任務，依法律設立之公法人，須符合四項要件：具專業需求、強化成本效益及經營效能、不適合由行政機關推動亦不適合交由民間辦理、所涉公權力行使程度較低。</w:t>
      </w:r>
    </w:p>
    <w:p>
      <w:pPr>
        <w:spacing w:after="200" w:line="360"/>
        <w:ind w:firstLine="431"/>
        <w:jc w:val="both"/>
      </w:pPr>
      <w:r>
        <w:rPr>
          <w:rFonts w:ascii="微軟正黑體" w:cs="微軟正黑體" w:eastAsia="微軟正黑體" w:hAnsi="微軟正黑體"/>
          <w:sz w:val="22"/>
          <w:szCs w:val="22"/>
        </w:rPr>
        <w:t xml:space="preserve">公立大學若改制為行政法人，在組織管理上將產生重要改變：人事制度上，教職員不再具公務人員身分，改採企業化聘任與績效薪給，用人更具彈性但也喪失公務人員保障；財務制度上，脫離政府預算年度化限制，得自籌財源、彈性運用經費，惟須自負更高之經營風險；治理結構上，改由董事會等治理機制主導重大決策，而非直接受教育部層級節制。</w:t>
      </w:r>
    </w:p>
    <w:p>
      <w:pPr>
        <w:spacing w:after="200" w:line="360"/>
        <w:ind w:firstLine="431"/>
        <w:jc w:val="both"/>
      </w:pPr>
      <w:r>
        <w:rPr>
          <w:rFonts w:ascii="微軟正黑體" w:cs="微軟正黑體" w:eastAsia="微軟正黑體" w:hAnsi="微軟正黑體"/>
          <w:sz w:val="22"/>
          <w:szCs w:val="22"/>
        </w:rPr>
        <w:t xml:space="preserve">挑戰則包括：學術自主與企業化經營間之價值衝突、教職員身分轉換之權益保障爭議、以及監督機制轉由績效評鑑取代傳統科層監督後，社會課責是否足夠之疑慮。整體而言，行政法人化對公立大學而言是效率與自主性之取捨。</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大學傳統上是公務體系中相對特殊的一環——教育部編列預算、教職員具公務人員或教育人員身分、組織架構受層級節制拘束；當社會開始討論「公立大學改制行政法人」，本質上是在問：一所需要高度學術自主與國際競爭力的高等教育機構，是否仍適合套用一般行政機關之管理邏輯？</w:t>
      </w:r>
    </w:p>
    <w:p>
      <w:pPr>
        <w:spacing w:after="200" w:line="360"/>
        <w:ind w:firstLine="431"/>
        <w:jc w:val="both"/>
      </w:pPr>
      <w:r>
        <w:rPr>
          <w:rFonts w:ascii="微軟正黑體" w:cs="微軟正黑體" w:eastAsia="微軟正黑體" w:hAnsi="微軟正黑體"/>
          <w:sz w:val="22"/>
          <w:szCs w:val="22"/>
        </w:rPr>
        <w:t xml:space="preserve">二、行政法人之意義與四要件</w:t>
      </w:r>
    </w:p>
    <w:p>
      <w:pPr>
        <w:spacing w:after="200" w:line="360"/>
        <w:ind w:firstLine="431"/>
        <w:jc w:val="both"/>
      </w:pPr>
      <w:r>
        <w:rPr>
          <w:rFonts w:ascii="微軟正黑體" w:cs="微軟正黑體" w:eastAsia="微軟正黑體" w:hAnsi="微軟正黑體"/>
          <w:sz w:val="22"/>
          <w:szCs w:val="22"/>
        </w:rPr>
        <w:t xml:space="preserve">行政法人指國家或地方自治團體以外，由中央目的事業主管機關，為執行特定公共任務，依法律設立之公法人，係介於傳統行政機關與純粹民間團體之間的中間型組織。依行政法人法，公共任務欲改制為行政法人，須同時符合四項要件：其一，具有專業需求，該任務須具高度專業性，非一般行政人事體制所能有效因應；其二，強化成本效益及經營效能，藉企業化經營彈性提升效率，非行政機關傳統預算與人事制度所能達成；其三，不適合由行政機關推動亦不適合交由民間辦理，此為針對「兩者皆不適」之公共任務缺口而設計；其四，所涉公權力行使程度較低，若涉及高權力性之管制、處分等核心公權力，仍應由行政機關直接行使。</w:t>
      </w:r>
    </w:p>
    <w:p>
      <w:pPr>
        <w:spacing w:after="200" w:line="360"/>
        <w:ind w:firstLine="431"/>
        <w:jc w:val="both"/>
      </w:pPr>
      <w:r>
        <w:rPr>
          <w:rFonts w:ascii="微軟正黑體" w:cs="微軟正黑體" w:eastAsia="微軟正黑體" w:hAnsi="微軟正黑體"/>
          <w:sz w:val="22"/>
          <w:szCs w:val="22"/>
        </w:rPr>
        <w:t xml:space="preserve">三、公立大學改制行政法人後之組織管理改變</w:t>
      </w:r>
    </w:p>
    <w:p>
      <w:pPr>
        <w:spacing w:after="200" w:line="360"/>
        <w:ind w:firstLine="431"/>
        <w:jc w:val="both"/>
      </w:pPr>
      <w:r>
        <w:rPr>
          <w:rFonts w:ascii="微軟正黑體" w:cs="微軟正黑體" w:eastAsia="微軟正黑體" w:hAnsi="微軟正黑體"/>
          <w:sz w:val="22"/>
          <w:szCs w:val="22"/>
        </w:rPr>
        <w:t xml:space="preserve">若公立大學改制為行政法人，組織管理上將產生三方面重要改變：其一，人事制度改變，教職員不再具公務人員或教育人員身分，改採法人自主之企業化聘任、評鑑與績效薪給制度，用人彈性大幅提升，惟教職員亦須承擔脫離公務體系保障之風險；其二，財務制度改變，學校脫離政府預算年度化與歲出科目之限制，得自籌財源、跨年度運用經費，進行較具彈性之投資與資產運用，惟相對地也須自負更高之財務經營風險，不再全然仰賴政府穩定挹注；其三，治理結構改變，重大決策改由董事會（或類似治理機制）主導，校長及行政團隊之課責對象從教育部轉為董事會與績效評鑑機制，決策鏈從層級節制轉為法人治理模式。</w:t>
      </w:r>
    </w:p>
    <w:p>
      <w:pPr>
        <w:spacing w:after="200" w:line="360"/>
        <w:ind w:firstLine="431"/>
        <w:jc w:val="both"/>
      </w:pPr>
      <w:r>
        <w:rPr>
          <w:rFonts w:ascii="微軟正黑體" w:cs="微軟正黑體" w:eastAsia="微軟正黑體" w:hAnsi="微軟正黑體"/>
          <w:sz w:val="22"/>
          <w:szCs w:val="22"/>
        </w:rPr>
        <w:t xml:space="preserve">四、公立大學改制行政法人所面臨之挑戰</w:t>
      </w:r>
    </w:p>
    <w:p>
      <w:pPr>
        <w:spacing w:after="200" w:line="360"/>
        <w:ind w:firstLine="431"/>
        <w:jc w:val="both"/>
      </w:pPr>
      <w:r>
        <w:rPr>
          <w:rFonts w:ascii="微軟正黑體" w:cs="微軟正黑體" w:eastAsia="微軟正黑體" w:hAnsi="微軟正黑體"/>
          <w:sz w:val="22"/>
          <w:szCs w:val="22"/>
        </w:rPr>
        <w:t xml:space="preserve">公立大學改制行政法人將面臨多重挑戰：其一，學術自主與企業化經營間之價值衝突，大學之核心價值在於學術研究之長期性、批判性與獨立性，若過度以短期成本效益或市場導向績效指標衡量學術表現，恐侵蝕學術自主之核心精神；其二，教職員身分轉換之權益保障爭議，現職教職員之退休金、年資保障等權益如何於改制過程中妥善安排，往往是改制推動之最大阻力；其三，社會課責疑慮，行政法人雖仍受立法院預決算審議、績效評鑑等監督，惟監督密度與直接程度低於一般行政機關，公立大學承載高等教育之公共性與社會流動功能，改制後是否仍能維持應有之社會課責，值得審慎評估；其四，財務永續挑戰，若自籌財源能力不足，法人化後反而可能面臨經費短缺之困境，加劇大學間之資源落差。</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公立大學改制行政法人，本質上是在學術自主與經營彈性、公共課責與效率之間尋求新的平衡點；此一改制並非放諸四海皆準之萬靈丹，是否適用仍須回歸行政法人四要件逐一檢視——尤其大學之公權力行使程度（如學位授予）與學術公共性之特殊性，使其法人化之利弊權衡，較一般公共任務更為複雜而須審慎評估。</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比較視角：可補充行政法人與政府捐助財團法人之差異（前者依專法設立、監督密度較高，後者依民法設立、監督密度較低），說明大學若選擇行政法人化而非改制為財團法人，正反映其學位授予等公權力性質任務仍須維持較高監督密度之考量。</w:t>
      </w:r>
    </w:p>
    <w:p>
      <w:pPr>
        <w:pStyle w:val="ListParagraph"/>
        <w:numPr>
          <w:ilvl w:val="0"/>
          <w:numId w:val="2"/>
        </w:numPr>
        <w:spacing w:after="120" w:line="340"/>
      </w:pPr>
      <w:r>
        <w:rPr>
          <w:rFonts w:ascii="微軟正黑體" w:cs="微軟正黑體" w:eastAsia="微軟正黑體" w:hAnsi="微軟正黑體"/>
          <w:sz w:val="22"/>
          <w:szCs w:val="22"/>
        </w:rPr>
        <w:t xml:space="preserve">補充監督密度排序視角：可引入本章監督密度光譜（行政機關＞行政法人≧類行政法人＞政府捐助財團法人＞民間財團法人），說明公立大學改制行政法人後，監督密度雖低於一般國立大學，惟仍高於純私法人性質之私立大學，呈現「介於兩者之間」之制度定位。</w:t>
      </w:r>
    </w:p>
    <w:p>
      <w:pPr>
        <w:pStyle w:val="ListParagraph"/>
        <w:numPr>
          <w:ilvl w:val="0"/>
          <w:numId w:val="2"/>
        </w:numPr>
        <w:spacing w:after="120" w:line="340"/>
      </w:pPr>
      <w:r>
        <w:rPr>
          <w:rFonts w:ascii="微軟正黑體" w:cs="微軟正黑體" w:eastAsia="微軟正黑體" w:hAnsi="微軟正黑體"/>
          <w:sz w:val="22"/>
          <w:szCs w:val="22"/>
        </w:rPr>
        <w:t xml:space="preserve">補充國際比較案例：可援引日本國立大學法人化（2004年起）之經驗，說明其在提升大學經營自主性同時，亦面臨基礎研究經費排擠、大學間資源兩極化等類似挑戰。</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若公立大學改制行政法人後進一步發展AI研究與教學應用，其治理挑戰將進一步涉及本章第五節所述「法人化的公權力現象」——學術研究與AI技術開發本具高度專業需求，惟若涉及國家級研究資料或關鍵技術產出，公權力行使程度是否仍維持「較低」之要件判斷，值得後續制度設計者持續關注。</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行政法人之意義須完整列出四要件，不可僅憑常識定義而未溯及法定要件。</w:t>
      </w:r>
    </w:p>
    <w:p>
      <w:pPr>
        <w:pStyle w:val="ListParagraph"/>
        <w:numPr>
          <w:ilvl w:val="0"/>
          <w:numId w:val="2"/>
        </w:numPr>
        <w:spacing w:after="120" w:line="340"/>
      </w:pPr>
      <w:r>
        <w:rPr>
          <w:rFonts w:ascii="微軟正黑體" w:cs="微軟正黑體" w:eastAsia="微軟正黑體" w:hAnsi="微軟正黑體"/>
          <w:sz w:val="22"/>
          <w:szCs w:val="22"/>
        </w:rPr>
        <w:t xml:space="preserve">組織管理改變須具體扣緊「公立大學」此一情境，從人事、財務、治理結構三面向具體分析，不可泛論一般行政法人之特性。</w:t>
      </w:r>
    </w:p>
    <w:p>
      <w:pPr>
        <w:pStyle w:val="ListParagraph"/>
        <w:numPr>
          <w:ilvl w:val="0"/>
          <w:numId w:val="2"/>
        </w:numPr>
        <w:spacing w:after="120" w:line="340"/>
      </w:pPr>
      <w:r>
        <w:rPr>
          <w:rFonts w:ascii="微軟正黑體" w:cs="微軟正黑體" w:eastAsia="微軟正黑體" w:hAnsi="微軟正黑體"/>
          <w:sz w:val="22"/>
          <w:szCs w:val="22"/>
        </w:rPr>
        <w:t xml:space="preserve">挑戰分析須兼顧學術自主、權益保障、社會課責、財務永續等多重面向，展現對高等教育特殊性之掌握。</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行政法人定義僅憑直覺描述，未完整列出專業需求、成本效益、不適合機關或民間辦理、公權力行使程度較低四項法定要件。</w:t>
      </w:r>
    </w:p>
    <w:p>
      <w:pPr>
        <w:pStyle w:val="ListParagraph"/>
        <w:numPr>
          <w:ilvl w:val="0"/>
          <w:numId w:val="2"/>
        </w:numPr>
        <w:spacing w:after="120" w:line="340"/>
      </w:pPr>
      <w:r>
        <w:rPr>
          <w:rFonts w:ascii="微軟正黑體" w:cs="微軟正黑體" w:eastAsia="微軟正黑體" w:hAnsi="微軟正黑體"/>
          <w:sz w:val="22"/>
          <w:szCs w:val="22"/>
        </w:rPr>
        <w:t xml:space="preserve">❌ 分析改變與挑戰時未扣緊「公立大學」此一具體情境，泛論行政法人一般優缺點而未涉及學術自主、教職員身分轉換等大學特有議題。</w:t>
      </w:r>
    </w:p>
    <w:p>
      <w:pPr>
        <w:pStyle w:val="ListParagraph"/>
        <w:numPr>
          <w:ilvl w:val="0"/>
          <w:numId w:val="2"/>
        </w:numPr>
        <w:spacing w:after="120" w:line="340"/>
      </w:pPr>
      <w:r>
        <w:rPr>
          <w:rFonts w:ascii="微軟正黑體" w:cs="微軟正黑體" w:eastAsia="微軟正黑體" w:hAnsi="微軟正黑體"/>
          <w:sz w:val="22"/>
          <w:szCs w:val="22"/>
        </w:rPr>
        <w:t xml:space="preserve">❌ 僅論述改制之正面效益，未能完整回應題目所問之「挑戰」，論述失衡。</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題目二（B級比較題·108年公務人員特種考試地方政府公務人員三等考試）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本題為108年公務人員特種考試地方政府公務人員三等考試真實歷屆試題，經查證其類科（一般行政）符合本書「一般行政」類科適用範圍，屬本章對應之真實申論題。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「請說明行政機關、行政法人和政府捐助之財團法人之組織目的、性質和管理有何差異？（25分）」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三方比較題」，考生須從組織目的、性質、管理三個指定面向，逐一比較行政機關、行政法人、政府捐助財團法人三者之差異——若僅兩兩比較而遺漏行政機關，或遺漏任一指定面向，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行政機關vs行政法人vs政府捐助財團法人 ＋ 組織目的、性質、管理三面向比較。</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一、前言：公共任務執行組織的光譜</w:t>
      </w:r>
    </w:p>
    <w:p>
      <w:pPr>
        <w:pStyle w:val="ListParagraph"/>
        <w:numPr>
          <w:ilvl w:val="0"/>
          <w:numId w:val="2"/>
        </w:numPr>
        <w:spacing w:after="120" w:line="340"/>
      </w:pPr>
      <w:r>
        <w:rPr>
          <w:rFonts w:ascii="微軟正黑體" w:cs="微軟正黑體" w:eastAsia="微軟正黑體" w:hAnsi="微軟正黑體"/>
          <w:sz w:val="22"/>
          <w:szCs w:val="22"/>
        </w:rPr>
        <w:t xml:space="preserve">二、三者之組織目的比較</w:t>
      </w:r>
    </w:p>
    <w:p>
      <w:pPr>
        <w:pStyle w:val="ListParagraph"/>
        <w:numPr>
          <w:ilvl w:val="0"/>
          <w:numId w:val="2"/>
        </w:numPr>
        <w:spacing w:after="120" w:line="340"/>
      </w:pPr>
      <w:r>
        <w:rPr>
          <w:rFonts w:ascii="微軟正黑體" w:cs="微軟正黑體" w:eastAsia="微軟正黑體" w:hAnsi="微軟正黑體"/>
          <w:sz w:val="22"/>
          <w:szCs w:val="22"/>
        </w:rPr>
        <w:t xml:space="preserve">三、三者之組織性質比較</w:t>
      </w:r>
    </w:p>
    <w:p>
      <w:pPr>
        <w:pStyle w:val="ListParagraph"/>
        <w:numPr>
          <w:ilvl w:val="0"/>
          <w:numId w:val="2"/>
        </w:numPr>
        <w:spacing w:after="120" w:line="340"/>
      </w:pPr>
      <w:r>
        <w:rPr>
          <w:rFonts w:ascii="微軟正黑體" w:cs="微軟正黑體" w:eastAsia="微軟正黑體" w:hAnsi="微軟正黑體"/>
          <w:sz w:val="22"/>
          <w:szCs w:val="22"/>
        </w:rPr>
        <w:t xml:space="preserve">四、三者之組織管理比較</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府執行公共任務，並非只有「設立行政機關」一種選項；從行政機關、行政法人到政府捐助財團法人，構成一道監督密度由高至低、經營彈性由低至高之組織光譜，理解三者之差異，是掌握我國當代行政組織多元化設計之關鍵。</w:t>
      </w:r>
    </w:p>
    <w:p>
      <w:pPr>
        <w:spacing w:after="200" w:line="360"/>
        <w:ind w:firstLine="431"/>
        <w:jc w:val="both"/>
      </w:pPr>
      <w:r>
        <w:rPr>
          <w:rFonts w:ascii="微軟正黑體" w:cs="微軟正黑體" w:eastAsia="微軟正黑體" w:hAnsi="微軟正黑體"/>
          <w:sz w:val="22"/>
          <w:szCs w:val="22"/>
        </w:rPr>
        <w:t xml:space="preserve">二、三者之組織目的比較</w:t>
      </w:r>
    </w:p>
    <w:p>
      <w:pPr>
        <w:spacing w:after="200" w:line="360"/>
        <w:ind w:firstLine="431"/>
        <w:jc w:val="both"/>
      </w:pPr>
      <w:r>
        <w:rPr>
          <w:rFonts w:ascii="微軟正黑體" w:cs="微軟正黑體" w:eastAsia="微軟正黑體" w:hAnsi="微軟正黑體"/>
          <w:sz w:val="22"/>
          <w:szCs w:val="22"/>
        </w:rPr>
        <w:t xml:space="preserve">行政機關之組織目的，在於依法執行國家一般性、政策性之公共任務，具高度政治回應性與公權力行使之核心角色；行政法人之組織目的，則聚焦於具專業需求、須強化成本效益及經營效能、且不適合由行政機關或民間辦理之特定公共任務，公權力行使程度相對較低；政府捐助財團法人之組織目的，則多為協助政府推動產業研發、技術服務或公益性任務，屬於政府政策工具之延伸，而非公共任務本身之直接執行者。</w:t>
      </w:r>
    </w:p>
    <w:p>
      <w:pPr>
        <w:spacing w:after="200" w:line="360"/>
        <w:ind w:firstLine="431"/>
        <w:jc w:val="both"/>
      </w:pPr>
      <w:r>
        <w:rPr>
          <w:rFonts w:ascii="微軟正黑體" w:cs="微軟正黑體" w:eastAsia="微軟正黑體" w:hAnsi="微軟正黑體"/>
          <w:sz w:val="22"/>
          <w:szCs w:val="22"/>
        </w:rPr>
        <w:t xml:space="preserve">三、三者之組織性質比較</w:t>
      </w:r>
    </w:p>
    <w:p>
      <w:pPr>
        <w:spacing w:after="200" w:line="360"/>
        <w:ind w:firstLine="431"/>
        <w:jc w:val="both"/>
      </w:pPr>
      <w:r>
        <w:rPr>
          <w:rFonts w:ascii="微軟正黑體" w:cs="微軟正黑體" w:eastAsia="微軟正黑體" w:hAnsi="微軟正黑體"/>
          <w:sz w:val="22"/>
          <w:szCs w:val="22"/>
        </w:rPr>
        <w:t xml:space="preserve">行政機關係國家或地方自治團體本身之組織，具公法人地位，依組織法或組織基準法設立；行政法人係國家或地方自治團體以外，依行政法人法或個別特別法設立之公法人，具獨立於設立機關之法律人格；政府捐助財團法人則係依民法財團法人相關規定設立之私法人，法律性質上屬私法人，僅因政府為主要捐助人而具公共色彩，與行政機關、行政法人之公法人性質有本質差異。</w:t>
      </w:r>
    </w:p>
    <w:p>
      <w:pPr>
        <w:spacing w:after="200" w:line="360"/>
        <w:ind w:firstLine="431"/>
        <w:jc w:val="both"/>
      </w:pPr>
      <w:r>
        <w:rPr>
          <w:rFonts w:ascii="微軟正黑體" w:cs="微軟正黑體" w:eastAsia="微軟正黑體" w:hAnsi="微軟正黑體"/>
          <w:sz w:val="22"/>
          <w:szCs w:val="22"/>
        </w:rPr>
        <w:t xml:space="preserve">四、三者之組織管理比較</w:t>
      </w:r>
    </w:p>
    <w:p>
      <w:pPr>
        <w:spacing w:after="200" w:line="360"/>
        <w:ind w:firstLine="431"/>
        <w:jc w:val="both"/>
      </w:pPr>
      <w:r>
        <w:rPr>
          <w:rFonts w:ascii="微軟正黑體" w:cs="微軟正黑體" w:eastAsia="微軟正黑體" w:hAnsi="微軟正黑體"/>
          <w:sz w:val="22"/>
          <w:szCs w:val="22"/>
        </w:rPr>
        <w:t xml:space="preserve">在人事管理上，行政機關之人員適用公務人員法制，採公務人員任用、考績、俸給制度；行政法人之人員則不具公務人員身分，改採法人自主之企業化聘任與績效薪給；政府捐助財團法人之人員管理更貼近一般民間企業，彈性最大。在財務管理上，行政機關適用預算法、決算法等政府預算年度化制度；行政法人雖仍受立法院預決算審議與績效評鑑等監督，惟得較彈性運用經費並可跨年度執行；政府捐助財團法人則依捐助章程與民間會計制度管理，監督密度最低、財務運用彈性最大。在監督機制上，三者監督密度呈現「行政機關最高、行政法人次之、政府捐助財團法人最低」之光譜，此一監督密度光譜與其法律性質及公權力行使程度呈正相關。</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行政機關、行政法人、政府捐助財團法人三者，在組織目的上分別對應「一般公共任務」「專業化但公權力程度較低之公共任務」「政策工具延伸性任務」；在性質上呈現公法人到私法人之光譜；在管理上則呈現監督密度與經營彈性之反向對應關係。三者並非互相替代，而是政府因應不同公共任務特性所構建之多元組織工具箱，唯有掌握三者差異，方能對症下藥選擇最適組織型態。</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須完整涵蓋行政機關、行政法人、政府捐助財團法人三者，不可僅比較其中兩者而遺漏行政機關。</w:t>
      </w:r>
    </w:p>
    <w:p>
      <w:pPr>
        <w:pStyle w:val="ListParagraph"/>
        <w:numPr>
          <w:ilvl w:val="0"/>
          <w:numId w:val="2"/>
        </w:numPr>
        <w:spacing w:after="120" w:line="340"/>
      </w:pPr>
      <w:r>
        <w:rPr>
          <w:rFonts w:ascii="微軟正黑體" w:cs="微軟正黑體" w:eastAsia="微軟正黑體" w:hAnsi="微軟正黑體"/>
          <w:sz w:val="22"/>
          <w:szCs w:val="22"/>
        </w:rPr>
        <w:t xml:space="preserve">須逐一對應「組織目的、性質、管理」三個題目指定面向分別論述，不可混雜交叉論述導致層次不清。</w:t>
      </w:r>
    </w:p>
    <w:p>
      <w:pPr>
        <w:pStyle w:val="ListParagraph"/>
        <w:numPr>
          <w:ilvl w:val="0"/>
          <w:numId w:val="2"/>
        </w:numPr>
        <w:spacing w:after="120" w:line="340"/>
      </w:pPr>
      <w:r>
        <w:rPr>
          <w:rFonts w:ascii="微軟正黑體" w:cs="微軟正黑體" w:eastAsia="微軟正黑體" w:hAnsi="微軟正黑體"/>
          <w:sz w:val="22"/>
          <w:szCs w:val="22"/>
        </w:rPr>
        <w:t xml:space="preserve">管理面向宜進一步細分人事、財務、監督機制分層說明，展現論述之完整度與層次感。</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僅比較行政法人與財團法人之差異，遺漏行政機關，未能完整回應題目要求之三方比較。</w:t>
      </w:r>
    </w:p>
    <w:p>
      <w:pPr>
        <w:pStyle w:val="ListParagraph"/>
        <w:numPr>
          <w:ilvl w:val="0"/>
          <w:numId w:val="2"/>
        </w:numPr>
        <w:spacing w:after="120" w:line="340"/>
      </w:pPr>
      <w:r>
        <w:rPr>
          <w:rFonts w:ascii="微軟正黑體" w:cs="微軟正黑體" w:eastAsia="微軟正黑體" w:hAnsi="微軟正黑體"/>
          <w:sz w:val="22"/>
          <w:szCs w:val="22"/>
        </w:rPr>
        <w:t xml:space="preserve">❌ 組織目的、性質、管理三面向混雜論述，未依題目指定之三個面向分層作答，閱卷者不易辨識論述結構。</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可補充行政法人四要件（專業需求、強化成本效益經營效能、不適合機關或民間辦理、公權力行使程度較低），深化「組織目的」段落對行政法人適用情境之論述精確度。</w:t>
      </w:r>
    </w:p>
    <w:p>
      <w:pPr>
        <w:pStyle w:val="ListParagraph"/>
        <w:numPr>
          <w:ilvl w:val="0"/>
          <w:numId w:val="2"/>
        </w:numPr>
        <w:spacing w:after="120" w:line="340"/>
      </w:pPr>
      <w:r>
        <w:rPr>
          <w:rFonts w:ascii="微軟正黑體" w:cs="微軟正黑體" w:eastAsia="微軟正黑體" w:hAnsi="微軟正黑體"/>
          <w:sz w:val="22"/>
          <w:szCs w:val="22"/>
        </w:rPr>
        <w:t xml:space="preserve">可補充本章監督密度完整光譜（行政機關＞行政法人≧類行政法人＞一般政府捐助財團法人＞類一般政府捐助財團法人＞民間財團法人），展現對監督密度光譜之全面掌握而非僅止於三者簡單排序。</w:t>
      </w:r>
    </w:p>
    <w:p>
      <w:pPr>
        <w:pStyle w:val="ListParagraph"/>
        <w:numPr>
          <w:ilvl w:val="0"/>
          <w:numId w:val="2"/>
        </w:numPr>
        <w:spacing w:after="120" w:line="340"/>
      </w:pPr>
      <w:r>
        <w:rPr>
          <w:rFonts w:ascii="微軟正黑體" w:cs="微軟正黑體" w:eastAsia="微軟正黑體" w:hAnsi="微軟正黑體"/>
          <w:sz w:val="22"/>
          <w:szCs w:val="22"/>
        </w:rPr>
        <w:t xml:space="preserve">可舉我國具體實例佐證（如國家表演藝術中心為行政法人、工業技術研究院為政府捐助財團法人），增加論述之實證厚度。</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近年具高度專業與國安敏感性之資安機構（如國家資通安全研究院）選擇以行政法人形式設置，反映「公權力行使程度較低」此一要件於AI與資安高度專業化治理需求下所面臨之當代張力，呼應本章第五節AI治理專節，展現跨節整合之論述廣度。</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五節母體教材「AI鑲嵌下的行政組織轉型：主權AI架構與治理專節」及案例思考「國家資通安全研究院法人化」「多頭馬車治理困境」自行設計之模擬命題。本語料庫（107-111年）中，本章尚未查得與AI治理組織設計、資安機構法人化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我國近年將部分具高度專業性之資安機構改制為行政法人（如國家資通安全研究院），同時AI治理事權分散於數位發展部、國家科學及技術委員會與各業務部會之間，形成『多頭馬車』現象。請運用行政法人四要件與『四鏈七審』框架，分析：（一）資通安全機構法人化之適法性基礎；（二）AI治理多頭馬車現象之治理斷裂點與改善建議。（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制度適法性分析＋治理診斷與制度設計題」，考生須依序完成：以行政法人四要件檢視資安機構法人化之適法性基礎、以四鏈七審框架診斷多頭馬車現象之治理斷裂點、提出具體改善建議——若僅泛論法人化之一般優點或多頭馬車之表面現象，而未扣緊行政法人四要件與四鏈七審框架逐一分析，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行政法人四要件 ＋ 資安機構法人化適法性 ＋ 多頭馬車現象 ＋ 四鏈七審框架 ＋ 治理斷裂點與改善建議。</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一、前言：專業化的公權力，如何被組織安放</w:t>
      </w:r>
    </w:p>
    <w:p>
      <w:pPr>
        <w:pStyle w:val="ListParagraph"/>
        <w:numPr>
          <w:ilvl w:val="0"/>
          <w:numId w:val="2"/>
        </w:numPr>
        <w:spacing w:after="120" w:line="340"/>
      </w:pPr>
      <w:r>
        <w:rPr>
          <w:rFonts w:ascii="微軟正黑體" w:cs="微軟正黑體" w:eastAsia="微軟正黑體" w:hAnsi="微軟正黑體"/>
          <w:sz w:val="22"/>
          <w:szCs w:val="22"/>
        </w:rPr>
        <w:t xml:space="preserve">二、以行政法人四要件檢視資安機構法人化之適法性基礎</w:t>
      </w:r>
    </w:p>
    <w:p>
      <w:pPr>
        <w:pStyle w:val="ListParagraph"/>
        <w:numPr>
          <w:ilvl w:val="0"/>
          <w:numId w:val="2"/>
        </w:numPr>
        <w:spacing w:after="120" w:line="340"/>
      </w:pPr>
      <w:r>
        <w:rPr>
          <w:rFonts w:ascii="微軟正黑體" w:cs="微軟正黑體" w:eastAsia="微軟正黑體" w:hAnsi="微軟正黑體"/>
          <w:sz w:val="22"/>
          <w:szCs w:val="22"/>
        </w:rPr>
        <w:t xml:space="preserve">三、以四鏈七審框架診斷多頭馬車之治理斷裂點</w:t>
      </w:r>
    </w:p>
    <w:p>
      <w:pPr>
        <w:pStyle w:val="ListParagraph"/>
        <w:numPr>
          <w:ilvl w:val="0"/>
          <w:numId w:val="2"/>
        </w:numPr>
        <w:spacing w:after="120" w:line="340"/>
      </w:pPr>
      <w:r>
        <w:rPr>
          <w:rFonts w:ascii="微軟正黑體" w:cs="微軟正黑體" w:eastAsia="微軟正黑體" w:hAnsi="微軟正黑體"/>
          <w:sz w:val="22"/>
          <w:szCs w:val="22"/>
        </w:rPr>
        <w:t xml:space="preserve">四、改善建議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當一項公共任務同時具備高度專業性與高度公權力敏感性，政府該把它安放在傳統行政機關，還是賦予更具彈性的行政法人身分？我國國家資通安全研究院之設置，以及AI治理事權分散所導致之多頭馬車現象，正是當代行政組織設計須共同面對的一體兩面課題。</w:t>
      </w:r>
    </w:p>
    <w:p>
      <w:pPr>
        <w:spacing w:after="200" w:line="360"/>
        <w:ind w:firstLine="431"/>
        <w:jc w:val="both"/>
      </w:pPr>
      <w:r>
        <w:rPr>
          <w:rFonts w:ascii="微軟正黑體" w:cs="微軟正黑體" w:eastAsia="微軟正黑體" w:hAnsi="微軟正黑體"/>
          <w:sz w:val="22"/>
          <w:szCs w:val="22"/>
        </w:rPr>
        <w:t xml:space="preserve">二、以行政法人四要件檢視資安機構法人化之適法性基礎</w:t>
      </w:r>
    </w:p>
    <w:p>
      <w:pPr>
        <w:spacing w:after="200" w:line="360"/>
        <w:ind w:firstLine="431"/>
        <w:jc w:val="both"/>
      </w:pPr>
      <w:r>
        <w:rPr>
          <w:rFonts w:ascii="微軟正黑體" w:cs="微軟正黑體" w:eastAsia="微軟正黑體" w:hAnsi="微軟正黑體"/>
          <w:sz w:val="22"/>
          <w:szCs w:val="22"/>
        </w:rPr>
        <w:t xml:space="preserve">依行政法人四要件逐一檢視：其一，專業需求，資安應變與AI風險評估須仰賴高度專業之資安與AI技術人才，非一般行政人事體制所能有效延攬與因應，此要件充分具備；其二，強化成本效益及經營效能，資安人才市場競爭激烈，行政法人化之彈性薪給與用人制度，確有助於延攬及留任專業人才，此要件亦屬具備；其三，不適合由行政機關推動亦不適合交由民間辦理，資安治理涉及國家關鍵基礎設施與敏感情資，交由純民間機構辦理有正當性疑慮，惟一般行政機關之公務預算與人事體制又難以支應高度專業彈性之需求，故落入「兩者皆不適」之中間地帶，此要件同樣成立；其四，所涉公權力行使程度較低，此一要件之適用則最具爭議——國家級資安事件應變協調、關鍵基礎設施資安治理等業務，實質上具高度公權力色彩，與「公權力行使程度較低」之要件存在內在張力，此正是資安機構法人化適法性基礎中最須審慎論證之環節，也是本模擬題設計之核心爭點。</w:t>
      </w:r>
    </w:p>
    <w:p>
      <w:pPr>
        <w:spacing w:after="200" w:line="360"/>
        <w:ind w:firstLine="431"/>
        <w:jc w:val="both"/>
      </w:pPr>
      <w:r>
        <w:rPr>
          <w:rFonts w:ascii="微軟正黑體" w:cs="微軟正黑體" w:eastAsia="微軟正黑體" w:hAnsi="微軟正黑體"/>
          <w:sz w:val="22"/>
          <w:szCs w:val="22"/>
        </w:rPr>
        <w:t xml:space="preserve">三、以四鏈七審框架診斷多頭馬車之治理斷裂點</w:t>
      </w:r>
    </w:p>
    <w:p>
      <w:pPr>
        <w:spacing w:after="200" w:line="360"/>
        <w:ind w:firstLine="431"/>
        <w:jc w:val="both"/>
      </w:pPr>
      <w:r>
        <w:rPr>
          <w:rFonts w:ascii="微軟正黑體" w:cs="微軟正黑體" w:eastAsia="微軟正黑體" w:hAnsi="微軟正黑體"/>
          <w:sz w:val="22"/>
          <w:szCs w:val="22"/>
        </w:rPr>
        <w:t xml:space="preserve">以四鏈七審框架逐一檢視AI治理多頭馬車現象：其一，情境建構鏈，「何謂AI應用之風險等級」「哪些機關對該AI應用具管轄權」等情境認定權，分散於數位發展部、國家科學及技術委員會與各業務部會，缺乏統一之情境建構機制，對應組織能力審計與資料代表性審計；其二，權威鏈，當同一AI應用申請案須經數位部資安審查、國科會模型技術審查、業務部會領域合規審查，三重權威並行卻未必相互協調，基層難以判斷何者權威具優先性，對應組織能力審計與責任歸屬審計；其三，理由鏈，各部會分別就同一案件出具審查意見，理由說明標準不一，申請單位難以掌握整體審查邏輯，對應理由說明審計與裁量邊界審計；其四，責任鏈，一旦AI應用出現風險事件，究竟應由數位部、國科會或業務部會負最終責任，責任歸屬模糊，對應責任歸屬審計與民主課責審計。四鏈之中，斷裂最嚴重者為情境建構鏈與權威鏈：多頭治理下，「誰該先審」「誰的意見具決定性」缺乏明確規則，是多頭馬車現象之根源。</w:t>
      </w:r>
    </w:p>
    <w:p>
      <w:pPr>
        <w:spacing w:after="200" w:line="360"/>
        <w:ind w:firstLine="431"/>
        <w:jc w:val="both"/>
      </w:pPr>
      <w:r>
        <w:rPr>
          <w:rFonts w:ascii="微軟正黑體" w:cs="微軟正黑體" w:eastAsia="微軟正黑體" w:hAnsi="微軟正黑體"/>
          <w:sz w:val="22"/>
          <w:szCs w:val="22"/>
        </w:rPr>
        <w:t xml:space="preserve">四、改善建議</w:t>
      </w:r>
    </w:p>
    <w:p>
      <w:pPr>
        <w:spacing w:after="200" w:line="360"/>
        <w:ind w:firstLine="431"/>
        <w:jc w:val="both"/>
      </w:pPr>
      <w:r>
        <w:rPr>
          <w:rFonts w:ascii="微軟正黑體" w:cs="微軟正黑體" w:eastAsia="微軟正黑體" w:hAnsi="微軟正黑體"/>
          <w:sz w:val="22"/>
          <w:szCs w:val="22"/>
        </w:rPr>
        <w:t xml:space="preserve">因應上述斷裂點，可提出以下具體改善建議：其一，比照AI Safety Institute模式，指定或成立具跨部會協調職能之專責機構，統籌AI風險分級與跨部會審查意見之整合，避免申請單位須重複行文多個機關；其二，建立「中央訂框架、部會依專業執行」之分工機制，由專責機構訂定統一之AI風險分級基準與審查流程時程，各業務部會僅就其專業領域範圍內之細部合規事項提供意見，避免情境建構權持續分散；其三，針對國家資通安全研究院等法人化資安機構，應於其設置條例中明確劃定其公權力行使之界線與母機關之監督銜接機制，彌補「公權力行使程度較低」要件與實務運作之落差，強化責任鏈之明確性；其四，導入監管沙盒機制，允許特定高風險AI應用於受控環境中，由專責機構統一測試與評估後，再決定是否全面推廣，兼顧創新試錯與風險控管。</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資安機構法人化與AI治理多頭馬車現象，本質上是同一課題的兩個切面——如何在專業化治理需求與公權力課責要求之間取得平衡。行政法人四要件提供了檢視組織型態適法性之基本判準，四鏈七審框架則提供了診斷跨部會治理斷裂點之系統性工具，唯有正視「專業需求」與「公權力行使程度」間之內在張力，並以專責協調機制彌補情境建構鏈與權威鏈之斷裂，方能使我國行政組織真正具備回應AI時代治理挑戰之能力。</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行政法人四要件須逐一檢視並明確指出「公權力行使程度較低」要件與資安機構實務運作間之張力，此為本題最核心之得分點，不可僅籠統稱「符合四要件」而未具體論證。</w:t>
      </w:r>
    </w:p>
    <w:p>
      <w:pPr>
        <w:pStyle w:val="ListParagraph"/>
        <w:numPr>
          <w:ilvl w:val="0"/>
          <w:numId w:val="2"/>
        </w:numPr>
        <w:spacing w:after="120" w:line="340"/>
      </w:pPr>
      <w:r>
        <w:rPr>
          <w:rFonts w:ascii="微軟正黑體" w:cs="微軟正黑體" w:eastAsia="微軟正黑體" w:hAnsi="微軟正黑體"/>
          <w:sz w:val="22"/>
          <w:szCs w:val="22"/>
        </w:rPr>
        <w:t xml:space="preserve">四鏈七審框架須逐一分析，並明確指出情境建構鏈與權威鏈為多頭馬車現象之主要斷裂點，不可僅列出四鏈名稱而無具體診斷。</w:t>
      </w:r>
    </w:p>
    <w:p>
      <w:pPr>
        <w:pStyle w:val="ListParagraph"/>
        <w:numPr>
          <w:ilvl w:val="0"/>
          <w:numId w:val="2"/>
        </w:numPr>
        <w:spacing w:after="120" w:line="340"/>
      </w:pPr>
      <w:r>
        <w:rPr>
          <w:rFonts w:ascii="微軟正黑體" w:cs="微軟正黑體" w:eastAsia="微軟正黑體" w:hAnsi="微軟正黑體"/>
          <w:sz w:val="22"/>
          <w:szCs w:val="22"/>
        </w:rPr>
        <w:t xml:space="preserve">改善建議須具體可行並與診斷出之斷裂點相互對應，不可提出與診斷脫節之空泛建議。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行政法人四要件逐條列舉但未深入論證「公權力行使程度較低」要件之爭議性，未能展現批判性思考深度。</w:t>
      </w:r>
    </w:p>
    <w:p>
      <w:pPr>
        <w:pStyle w:val="ListParagraph"/>
        <w:numPr>
          <w:ilvl w:val="0"/>
          <w:numId w:val="2"/>
        </w:numPr>
        <w:spacing w:after="120" w:line="340"/>
      </w:pPr>
      <w:r>
        <w:rPr>
          <w:rFonts w:ascii="微軟正黑體" w:cs="微軟正黑體" w:eastAsia="微軟正黑體" w:hAnsi="微軟正黑體"/>
          <w:sz w:val="22"/>
          <w:szCs w:val="22"/>
        </w:rPr>
        <w:t xml:space="preserve">❌ 四鏈七審框架分析流於形式，僅套用名詞而未具體連結「多頭馬車」之實際現象。</w:t>
      </w:r>
    </w:p>
    <w:p>
      <w:pPr>
        <w:pStyle w:val="ListParagraph"/>
        <w:numPr>
          <w:ilvl w:val="0"/>
          <w:numId w:val="2"/>
        </w:numPr>
        <w:spacing w:after="120" w:line="340"/>
      </w:pPr>
      <w:r>
        <w:rPr>
          <w:rFonts w:ascii="微軟正黑體" w:cs="微軟正黑體" w:eastAsia="微軟正黑體" w:hAnsi="微軟正黑體"/>
          <w:sz w:val="22"/>
          <w:szCs w:val="22"/>
        </w:rPr>
        <w:t xml:space="preserve">❌ 改善建議空泛，未提出具體機制設計。</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可具體援引英國AI Safety Institute於2025年更名為AI Security Institute之案例，說明其聚焦資安國安層次AI風險之專業分工經驗，為我國規劃AI評測中心或類似專責機構提供比較借鏡，展現國際視野。</w:t>
      </w:r>
    </w:p>
    <w:p>
      <w:pPr>
        <w:pStyle w:val="ListParagraph"/>
        <w:numPr>
          <w:ilvl w:val="0"/>
          <w:numId w:val="2"/>
        </w:numPr>
        <w:spacing w:after="120" w:line="340"/>
      </w:pPr>
      <w:r>
        <w:rPr>
          <w:rFonts w:ascii="微軟正黑體" w:cs="微軟正黑體" w:eastAsia="微軟正黑體" w:hAnsi="微軟正黑體"/>
          <w:sz w:val="22"/>
          <w:szCs w:val="22"/>
        </w:rPr>
        <w:t xml:space="preserve">可補充監督密度排序光譜（行政機關＞行政法人≧類行政法人＞一般政府捐助財團法人），說明資安機構縱使法人化，仍應維持高於一般行政法人之監督密度（類行政法人層級），以呼應其實質公權力行使程度，展現制度設計之精細度。</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可延伸說明主權AI四主權架構（資料、算力、模型、治理主權）與本題之關聯——資安機構法人化與AI治理專責機構之設置，本質上都是治理主權與算力主權之具體制度實踐，展現跨小節整合之論述廣度。</w:t>
      </w:r>
    </w:p>
    <w:p>
      <w:pPr>
        <w:pStyle w:val="ListParagraph"/>
        <w:numPr>
          <w:ilvl w:val="0"/>
          <w:numId w:val="2"/>
        </w:numPr>
        <w:spacing w:after="120" w:line="340"/>
      </w:pPr>
      <w:r>
        <w:rPr>
          <w:rFonts w:ascii="微軟正黑體" w:cs="微軟正黑體" w:eastAsia="微軟正黑體" w:hAnsi="微軟正黑體"/>
          <w:sz w:val="22"/>
          <w:szCs w:val="22"/>
        </w:rPr>
        <w:t xml:space="preserve">可補充邊界消解與權威重構之理論視角，說明當政府機關、行政法人、民間技術平台三者邊界因AI基礎設施高度技術依賴而日益模糊時，專責協調機制之設置，正是重新界定權威邊界、避免權威真空之制度回應。</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查得2題直接標記本章之申論真題（107年-外交、108年-地三），另有107年-高考「行政法人」一題因主題與本章行政法人專節高度契合，於第八章量產時保留移列本章完整解題；111年-原三「地方創生」一題（雙標記第7章）已於第七章完整解題，本章僅參照不贅述。</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700"/>
        <w:gridCol w:w="2726"/>
        <w:gridCol w:w="1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107年-高考</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一般行政符合（原雙標記第8、16章）</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行政法人之意義、公立大學改制行政法人之組織管理改變與挑戰</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✅一般行政符合，第八章量產時保留移列本章，已於題目一完整解析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108年-地三</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B</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行政機關、行政法人、政府捐助財團法人之組織目的性質管理差異</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✅一般行政符合，已於題目二完整解析</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111年-原三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一般行政符合（雙標記第7章）</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地方創生之意義及原住民地區推動策略</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✅一般行政符合，惟主題核心屬地方治理與社區發展議題，已於第七章「行政環境」完整解題，本章僅參照不贅述</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107年-外交</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非一般行政類科</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分權制下直轄市原住民行政區之運作特色</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⚠️經查證非屬一般行政類科，不列入完整解析，僅供參考</w:t>
            </w:r>
          </w:p>
        </w:tc>
      </w:tr>
    </w:tbl>
    <w:p>
      <w:pPr>
        <w:spacing w:after="280" w:before="120"/>
        <w:jc w:val="center"/>
      </w:pPr>
      <w:r>
        <w:rPr>
          <w:rFonts w:ascii="微軟正黑體" w:cs="微軟正黑體" w:eastAsia="微軟正黑體" w:hAnsi="微軟正黑體"/>
          <w:i/>
          <w:iCs/>
          <w:color w:val="555555"/>
          <w:sz w:val="18"/>
          <w:szCs w:val="18"/>
        </w:rPr>
        <w:t xml:space="preserve">表16-L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我國行政組織體系概觀與中央行政機關組織基準法</w:t>
            </w:r>
          </w:p>
          <w:p>
            <w:pPr>
              <w:spacing w:line="340"/>
              <w:jc w:val="both"/>
            </w:pPr>
            <w:r>
              <w:rPr>
                <w:rFonts w:ascii="微軟正黑體" w:cs="微軟正黑體" w:eastAsia="微軟正黑體" w:hAnsi="微軟正黑體"/>
                <w:sz w:val="21"/>
                <w:szCs w:val="21"/>
              </w:rPr>
              <w:t xml:space="preserve">機關類型四種（機關／獨立機關／機構／單位）→ 外部層級一至四級（院部會署分）→ 命名規則依政策執行性程度分層 → 業務單位vs輔助單位</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行政院組織法與組織改造歷程、行政院運作機制</w:t>
            </w:r>
          </w:p>
          <w:p>
            <w:pPr>
              <w:spacing w:line="340"/>
              <w:jc w:val="both"/>
            </w:pPr>
            <w:r>
              <w:rPr>
                <w:rFonts w:ascii="微軟正黑體" w:cs="微軟正黑體" w:eastAsia="微軟正黑體" w:hAnsi="微軟正黑體"/>
                <w:sz w:val="21"/>
                <w:szCs w:val="21"/>
              </w:rPr>
              <w:t xml:space="preserve">組織改造五法（院基暫總法）→ 五大目標（精合效彈課）→ 2025年現行33機關（15部9會3獨立機關1行1院2總處）→ 首長制vs委員制</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行政法人與地方府際關係的組織設計</w:t>
            </w:r>
          </w:p>
          <w:p>
            <w:pPr>
              <w:spacing w:line="340"/>
              <w:jc w:val="both"/>
            </w:pPr>
            <w:r>
              <w:rPr>
                <w:rFonts w:ascii="微軟正黑體" w:cs="微軟正黑體" w:eastAsia="微軟正黑體" w:hAnsi="微軟正黑體"/>
                <w:sz w:val="21"/>
                <w:szCs w:val="21"/>
              </w:rPr>
              <w:t xml:space="preserve">行政法人四要件（專效不低）→ 監督密度排序（機關＞法人≧類法人＞財團法人）→ 地方自治團體vs省 → 自治事項vs委辦事項 → 均權主義 → 六都</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組織改造的策略：四化策略與5C策略、數位轉型下的新興行政組織</w:t>
            </w:r>
          </w:p>
          <w:p>
            <w:pPr>
              <w:spacing w:line="340"/>
              <w:jc w:val="both"/>
            </w:pPr>
            <w:r>
              <w:rPr>
                <w:rFonts w:ascii="微軟正黑體" w:cs="微軟正黑體" w:eastAsia="微軟正黑體" w:hAnsi="微軟正黑體"/>
                <w:sz w:val="21"/>
                <w:szCs w:val="21"/>
              </w:rPr>
              <w:t xml:space="preserve">四化策略（去地法委）→ 5C策略（核效顧控文）→ 數位發展部（一部兩署六司）→ 資通安全署由資安處升格 → 環境部農業部由署會升格</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AI鑲嵌下的行政組織轉型：主權AI架構與治理專節</w:t>
            </w:r>
          </w:p>
          <w:p>
            <w:pPr>
              <w:spacing w:line="340"/>
              <w:jc w:val="both"/>
            </w:pPr>
            <w:r>
              <w:rPr>
                <w:rFonts w:ascii="微軟正黑體" w:cs="微軟正黑體" w:eastAsia="微軟正黑體" w:hAnsi="微軟正黑體"/>
                <w:sz w:val="21"/>
                <w:szCs w:val="21"/>
              </w:rPr>
              <w:t xml:space="preserve">四主權（資算模治）→ 多頭馬車治理挑戰 → AI Safety Institute模式與監管沙盒 → AI基本法草案vs三讀版 → P3法人化的公權力 → 邊界消解與權威重構 → 四鏈七審 → 國家資通安全研究院／英國AISI更名案例</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行政組織的設計，從來不是把機關名稱換來換去，而是每一次改造都在回答同一個問題：這項公共任務，到底該由誰來做、受誰監督、向誰負責；當AI與專業治理的需求讓公權力披上法人化的外衣，我們更須追問——權威的邊界消解之後，誰還看得見那雙做決定的手。</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2026-09-02T20:42:49.291Z</dcterms:created>
  <dcterms:modified xsi:type="dcterms:W3CDTF">2026-09-02T20:42:49.291Z</dcterms:modified>
</cp:coreProperties>
</file>

<file path=docProps/custom.xml><?xml version="1.0" encoding="utf-8"?>
<Properties xmlns="http://schemas.openxmlformats.org/officeDocument/2006/custom-properties" xmlns:vt="http://schemas.openxmlformats.org/officeDocument/2006/docPropsVTypes"/>
</file>