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第十四章　政策評估與回饋</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十四章「政策評估與回饋」，內容取材自該章九節母體教材（政策評估之意涵與功能、評估種類與Raiffa四類型錯誤、管制影響評估RIA、Dunn六項評估標準與結果處理模式、評估演進與積極目的、評估障礙與政策變遷、政策溝通民意與公民參與、AI治理專節、本教科書定位）及AI鑲嵌後之權力位移專節，依國考「考點化、模組化、背誦＋應用」邏輯重新壓縮改寫為五節：第一節整合政策評估之意涵、種類與Raiffa四類型錯誤（原第一、二節）；第二節整合管制影響評估RIA與Dunn六項評估標準（原第三、四節）；第三節整合評估演進與政策變遷（原第五、六節）；第四節整合政策溝通、民意與公民參與（原第七節）；第五節整合AI鑲嵌下之政策評估：從RIA到演算法影響評估與課責赤字（原第八、九節與AI鑲嵌後內容），為本章AI內容之集中呈現處。本語料庫（107-111年）中，本章原尚未查得完全對應一般行政類科之申論真題；惟2026年9月新查得112-115年考選部公告試題後，題目一、題目二已分別改列115年國軍上校以上軍官轉任公務人員考試（一般行政）真題（政策評估之功能）與113年地方特考三等真題（斷續均衡理論，同步充實於第三節），題目三仍為依本章母體教材自行設計之模擬命題，均於各題「考題出處」或「考題出處（重要說明）」欄位明確標示，不得與真實歷屆試題混淆。自第八章起依格式定版說明，僅第一題維持三種完整答案版本，第二、三題改為標準版參考答案＋【高分加分點】；AI鑲嵌內容集中於第五節與C級綜合題。</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政策評估的意涵、種類與Raiffa四類型錯誤</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政策評估（policy evaluation）係以科學方法與系統性證據蒐集，對政策的問題認定、規劃內容、執行過程與結果影響進行價值判斷之活動。其本質具雙重特性：既重事實判斷（政策是否達成目標），亦重價值判斷（政策目標本身是否值得追求）；既具回溯性（檢討已執行政策），亦具前瞻性（作為未來政策修正依據）。</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政策評估之功能可歸納為四項：課責功能（向國會、公民與審計機關說明資源使用績效）、學習功能（作為組織學習與政策學習之基礎）、決策功能（提供調整、持續、終止或重組之依據）、正當化功能（強化政策的合理性與民主正當性，此點在AI治理中尤為重要）。依時間序列與焦點，政策評估可分三大類：預評估（Pre-evaluation，事前評估，含規劃評估、可評估性評估、修正方案評估）、過程評估（Process Evaluation，又稱形成性評估，聚焦「政策是否按原定計畫執行」）、結果評估（Outcomes Evaluation，又稱總合性評估，含產出評估與影響評估，影響評估需運用反事實推論探究「若無此政策會如何」）。</w:t>
      </w:r>
    </w:p>
    <w:p>
      <w:pPr>
        <w:pStyle w:val="ListParagraph"/>
        <w:numPr>
          <w:ilvl w:val="0"/>
          <w:numId w:val="2"/>
        </w:numPr>
        <w:spacing w:after="120" w:line="340"/>
      </w:pPr>
      <w:r>
        <w:rPr>
          <w:rFonts w:ascii="微軟正黑體" w:cs="微軟正黑體" w:eastAsia="微軟正黑體" w:hAnsi="微軟正黑體"/>
          <w:sz w:val="22"/>
          <w:szCs w:val="22"/>
        </w:rPr>
        <w:t xml:space="preserve">過程評估之重要性在於避免Howard Raiffa（1968）所稱之錯誤決策模型，其中第三類型錯誤（以正確方法解決錯誤問題）為公共政策領域最常發生之治理失靈，AI時代更為明顯：以高效能演算法解決了一個被錯誤定義的公共問題，即為典型第三類型錯誤——系統跑得再準，若問題本身就界定錯誤，終究只是精準地失敗。</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200"/>
        <w:gridCol w:w="50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錯誤類型</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定義</w:t>
            </w:r>
          </w:p>
        </w:tc>
        <w:tc>
          <w:tcPr>
            <w:tcW w:type="dxa" w:w="50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評估對應與避免策略</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第一類型錯誤</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拒絕真實的虛無假設（以真為假）</w:t>
            </w:r>
          </w:p>
        </w:tc>
        <w:tc>
          <w:tcPr>
            <w:tcW w:type="dxa" w:w="5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統計上的型一錯誤，過度嚴格而否決有效政策；需透過放寬顯著水準與質化資料互補</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第二類型錯誤</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接受錯誤的虛無假設（以假為真）</w:t>
            </w:r>
          </w:p>
        </w:tc>
        <w:tc>
          <w:tcPr>
            <w:tcW w:type="dxa" w:w="5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統計上的型二錯誤，容忍無效政策；需強化實驗設計與隨機指派</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第三類型錯誤（最關鍵）</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以正確方法解決錯誤問題</w:t>
            </w:r>
          </w:p>
        </w:tc>
        <w:tc>
          <w:tcPr>
            <w:tcW w:type="dxa" w:w="5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問題建構錯誤，解決了假問題；過程評估須重新檢視問題認定階段，避免政策精準地失敗</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第四類型錯誤</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以錯誤方法解決正確問題</w:t>
            </w:r>
          </w:p>
        </w:tc>
        <w:tc>
          <w:tcPr>
            <w:tcW w:type="dxa" w:w="5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執行或工具選擇錯誤；過程評估須檢視執行手段與標的人口配合度</w:t>
            </w:r>
          </w:p>
        </w:tc>
      </w:tr>
    </w:tbl>
    <w:p>
      <w:pPr>
        <w:spacing w:after="280" w:before="120"/>
        <w:jc w:val="center"/>
      </w:pPr>
      <w:r>
        <w:rPr>
          <w:rFonts w:ascii="微軟正黑體" w:cs="微軟正黑體" w:eastAsia="微軟正黑體" w:hAnsi="微軟正黑體"/>
          <w:i/>
          <w:iCs/>
          <w:color w:val="555555"/>
          <w:sz w:val="18"/>
          <w:szCs w:val="18"/>
        </w:rPr>
        <w:t xml:space="preserve">表14-A　Raiffa四類型決策錯誤與評估意涵</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結果評估（總合性評估）指政策執行一段時間或結束後，對其產出與影響的系統性衡量。產出評估（Output Evaluation）衡量機關直接可見的產出，如核准件數、服務人次、補助金額，產出易於量化，但不代表政策有效；影響評估（Impact Evaluation）衡量政策對標的團體行為、態度，以及對社會經濟系統所產生的有形、無形、預期與非預期影響，較產出評估更困難但更重要，需運用反事實推論，探究「若無此政策會如何」。</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預評估、過程評估、結果評估三分類</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依時間序列清楚區分評估焦點與功能，並與Raiffa四類型錯誤緊密對應，提供避免決策謬誤之系統性架構</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三類評估於實務操作上界線並非絕對分明，尤其過程評估與結果評估初期階段常有重疊，須依政策所處階段彈性判斷</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Raiffa四類型決策錯誤</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第三類型錯誤（以正確方法解決錯誤問題）之提出，精準指出「解決假問題」此一公共政策領域最常見卻最易被忽略之治理失靈</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四類型錯誤之判準仍需仰賴後見之明（結果已知後回溯判斷），事前預防仍高度仰賴問題建構階段之審慎</w:t>
            </w:r>
          </w:p>
        </w:tc>
      </w:tr>
    </w:tbl>
    <w:p>
      <w:pPr>
        <w:spacing w:after="280" w:before="120"/>
        <w:jc w:val="center"/>
      </w:pPr>
      <w:r>
        <w:rPr>
          <w:rFonts w:ascii="微軟正黑體" w:cs="微軟正黑體" w:eastAsia="微軟正黑體" w:hAnsi="微軟正黑體"/>
          <w:i/>
          <w:iCs/>
          <w:color w:val="555555"/>
          <w:sz w:val="18"/>
          <w:szCs w:val="18"/>
        </w:rPr>
        <w:t xml:space="preserve">表14-B　政策評估種類與Raiffa錯誤類型之貢獻與限制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AI輔助政策評估最大之風險，正是使第三類型錯誤更難被察覺：演算法能以極高之準確率與效率解決一個被錯誤定義的公共問題，其「精準」之表象反而掩蓋了問題建構階段之根本謬誤，過程評估須額外檢視AI系統之問題定義來源是否經過充分審視。</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我國各機關推動政策評估時，常因時程壓力僅重視結果評估（尤其產出面之量化指標，如核准件數、服務人次），而忽略過程評估對問題認定正確性之檢視，此為實務上第三類型錯誤最常見之發生情境。</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①政策評估之意涵：雙重特性（事實判斷vs價值判斷；回溯性vs前瞻性）</w:t>
            </w:r>
          </w:p>
          <w:p>
            <w:pPr>
              <w:spacing w:after="80" w:line="320"/>
            </w:pPr>
            <w:r>
              <w:rPr>
                <w:rFonts w:ascii="微軟正黑體" w:cs="微軟正黑體" w:eastAsia="微軟正黑體" w:hAnsi="微軟正黑體"/>
                <w:sz w:val="21"/>
                <w:szCs w:val="21"/>
              </w:rPr>
              <w:t xml:space="preserve">•　②政策評估四項功能：課責／學習／決策／正當化</w:t>
            </w:r>
          </w:p>
          <w:p>
            <w:pPr>
              <w:spacing w:after="80" w:line="320"/>
            </w:pPr>
            <w:r>
              <w:rPr>
                <w:rFonts w:ascii="微軟正黑體" w:cs="微軟正黑體" w:eastAsia="微軟正黑體" w:hAnsi="微軟正黑體"/>
                <w:sz w:val="21"/>
                <w:szCs w:val="21"/>
              </w:rPr>
              <w:t xml:space="preserve">•　③政策評估三大類型：預評估（含可評估性評估）／過程評估（形成性評估）／結果評估（總合性評估，含產出與影響評估）</w:t>
            </w:r>
          </w:p>
          <w:p>
            <w:pPr>
              <w:spacing w:after="80" w:line="320"/>
            </w:pPr>
            <w:r>
              <w:rPr>
                <w:rFonts w:ascii="微軟正黑體" w:cs="微軟正黑體" w:eastAsia="微軟正黑體" w:hAnsi="微軟正黑體"/>
                <w:sz w:val="21"/>
                <w:szCs w:val="21"/>
              </w:rPr>
              <w:t xml:space="preserve">•　④Raiffa四類型決策錯誤：第一類型（以真為假）／第二類型（以假為真）／第三類型（以正確方法解決錯誤問題，最關鍵）／第四類型（以錯誤方法解決正確問題）</w:t>
            </w:r>
          </w:p>
          <w:p>
            <w:pPr>
              <w:spacing w:after="0" w:line="320"/>
            </w:pPr>
            <w:r>
              <w:rPr>
                <w:rFonts w:ascii="微軟正黑體" w:cs="微軟正黑體" w:eastAsia="微軟正黑體" w:hAnsi="微軟正黑體"/>
                <w:sz w:val="21"/>
                <w:szCs w:val="21"/>
              </w:rPr>
              <w:t xml:space="preserve">•　⑤反事實推論（Counterfactual）：影響評估之核心方法論</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三大評估類型口訣：預（評估，事前）、過（程評估，事中）、結（果評估，事後）——「預過結」三字訣，依時間序列排列</w:t>
            </w:r>
          </w:p>
          <w:p>
            <w:pPr>
              <w:spacing w:after="80" w:line="320"/>
            </w:pPr>
            <w:r>
              <w:rPr>
                <w:rFonts w:ascii="微軟正黑體" w:cs="微軟正黑體" w:eastAsia="微軟正黑體" w:hAnsi="微軟正黑體"/>
                <w:sz w:val="21"/>
                <w:szCs w:val="21"/>
              </w:rPr>
              <w:t xml:space="preserve">•　Raiffa四類型錯誤記憶：一（真當假）、二（假當真）、三（方法對問題錯，最關鍵）、四（方法錯問題對）——第三類型是「精準地失敗」</w:t>
            </w:r>
          </w:p>
          <w:p>
            <w:pPr>
              <w:spacing w:after="0" w:line="320"/>
            </w:pPr>
            <w:r>
              <w:rPr>
                <w:rFonts w:ascii="微軟正黑體" w:cs="微軟正黑體" w:eastAsia="微軟正黑體" w:hAnsi="微軟正黑體"/>
                <w:sz w:val="21"/>
                <w:szCs w:val="21"/>
              </w:rPr>
              <w:t xml:space="preserve">•　產出vs影響一句話記憶：產出評估看「做了多少」，影響評估看「改變了什麼」</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過程評估」（形成性評估，政策形成至執行中之即時監測，焦點在「是否按原定計畫執行」）與「結果評估」（總合性評估，政策執行後之產出與影響衡量）常被考生混為一談——過程評估發生於政策「進行中」，結果評估發生於政策執行「一段時間後或結束後」，兩者時間點與檢視焦點皆不同。</w:t>
            </w:r>
          </w:p>
          <w:p>
            <w:pPr>
              <w:spacing w:after="0" w:line="320"/>
            </w:pPr>
            <w:r>
              <w:rPr>
                <w:rFonts w:ascii="微軟正黑體" w:cs="微軟正黑體" w:eastAsia="微軟正黑體" w:hAnsi="微軟正黑體"/>
                <w:sz w:val="21"/>
                <w:szCs w:val="21"/>
              </w:rPr>
              <w:t xml:space="preserve">•　「產出評估」（衡量機關直接可見之產出，如核准件數、服務人次）與「影響評估」（衡量政策對標的團體行為態度及社會經濟系統之實質影響）常被考生視為同一件事——本章明確指出產出易於量化但不代表政策有效，影響評估雖較困難卻更能反映政策真正之成效，作答時須清楚區辨「做了多少」與「改變了什麼」。</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第二節　管制影響評估（RIA）與Dunn六項評估標準</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管制影響評估（Regulatory Impact Analysis/Assessment, RIA），我國稱為法規影響評估，指行政機關為達成特定政策目標，針對各種備選方案（包含管制性、非管制性、維持現狀、不作為等），經由系統性蒐集證據、分析效益與成本，並與利害關係人諮商後，做成最終方案選擇之事前預評估方法，本質是「以證據為基礎的政策制定」與「良善治理」之具體化。</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RIA具兩大核心目的：其一，強化法規之合理性與正當性，檢視政府介入之必要性、手段與目的之合比例性、管制經濟與社會活動之正當性，以及社會接受性；其二，提升決策過程之透明度與課責性，透過事前揭露資訊與利害關係人諮商機制，促成雙向溝通，降低執行阻力並提升民主正當性。我國自2017年起依《法規影響評估作業指引》要求各機關對涉及重大經費、重大管制或影響人民權益之法規草案辦理RIA，並於公共政策網路參與平台公開。</w:t>
      </w:r>
    </w:p>
    <w:p>
      <w:pPr>
        <w:pStyle w:val="ListParagraph"/>
        <w:numPr>
          <w:ilvl w:val="0"/>
          <w:numId w:val="2"/>
        </w:numPr>
        <w:spacing w:after="120" w:line="340"/>
      </w:pPr>
      <w:r>
        <w:rPr>
          <w:rFonts w:ascii="微軟正黑體" w:cs="微軟正黑體" w:eastAsia="微軟正黑體" w:hAnsi="微軟正黑體"/>
          <w:sz w:val="22"/>
          <w:szCs w:val="22"/>
        </w:rPr>
        <w:t xml:space="preserve">William Dunn（2018）提出政策評估六項標準，為當代教科書最通用之架構：效能（政策達成預期結果或影響之程度）、效率（政策產出與投入成本比率）、充分性（消除既有問題之程度）、回應性（滿足標的團體需求偏好之程度）、適當性（政策目標本身價值是否合宜正當，六標準中最具規範性者）、公平性╱公正性（資源利益與成本分配是否公平）。</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3600"/>
        <w:gridCol w:w="3426"/>
      </w:tblGrid>
      <w:tr>
        <w:trPr>
          <w:tblHeader/>
        </w:trPr>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標準</w:t>
            </w:r>
          </w:p>
        </w:tc>
        <w:tc>
          <w:tcPr>
            <w:tcW w:type="dxa" w:w="3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定義與衡量焦點</w:t>
            </w:r>
          </w:p>
        </w:tc>
        <w:tc>
          <w:tcPr>
            <w:tcW w:type="dxa" w:w="34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AI時代轉譯案例</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效能 Effectiveness</w:t>
            </w:r>
          </w:p>
        </w:tc>
        <w:tc>
          <w:tcPr>
            <w:tcW w:type="dxa" w:w="3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政策達成預期結果或影響的程度，重視目標達成率</w:t>
            </w:r>
          </w:p>
        </w:tc>
        <w:tc>
          <w:tcPr>
            <w:tcW w:type="dxa" w:w="3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智慧交通號誌是否有效降低事故率</w:t>
            </w:r>
          </w:p>
        </w:tc>
      </w:tr>
      <w:tr>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效率 Efficiency</w:t>
            </w:r>
          </w:p>
        </w:tc>
        <w:tc>
          <w:tcPr>
            <w:tcW w:type="dxa" w:w="3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政策產出與投入成本比率，含技術性與經濟性效率</w:t>
            </w:r>
          </w:p>
        </w:tc>
        <w:tc>
          <w:tcPr>
            <w:tcW w:type="dxa" w:w="3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每單位預算處理之AI客服案件數與正確率</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充分性 Adequacy</w:t>
            </w:r>
          </w:p>
        </w:tc>
        <w:tc>
          <w:tcPr>
            <w:tcW w:type="dxa" w:w="3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目標達成後，消除既有問題的程度，重視問題解決徹底性</w:t>
            </w:r>
          </w:p>
        </w:tc>
        <w:tc>
          <w:tcPr>
            <w:tcW w:type="dxa" w:w="3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長照2.0是否充分填補人力缺口</w:t>
            </w:r>
          </w:p>
        </w:tc>
      </w:tr>
      <w:tr>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回應性 Responsiveness</w:t>
            </w:r>
          </w:p>
        </w:tc>
        <w:tc>
          <w:tcPr>
            <w:tcW w:type="dxa" w:w="3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政策結果滿足標的團體需求、偏好與價值的程度</w:t>
            </w:r>
          </w:p>
        </w:tc>
        <w:tc>
          <w:tcPr>
            <w:tcW w:type="dxa" w:w="3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聊天機器人是否回應高齡者可近用需求</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適當性 Appropriateness</w:t>
            </w:r>
          </w:p>
        </w:tc>
        <w:tc>
          <w:tcPr>
            <w:tcW w:type="dxa" w:w="3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政策目標本身價值是否合宜、正當，六標準中最具規範性者</w:t>
            </w:r>
          </w:p>
        </w:tc>
        <w:tc>
          <w:tcPr>
            <w:tcW w:type="dxa" w:w="3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以人臉辨識進行社福資格審查是否符合人權價值</w:t>
            </w:r>
          </w:p>
        </w:tc>
      </w:tr>
      <w:tr>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公平性╱公正性 Equity</w:t>
            </w:r>
          </w:p>
        </w:tc>
        <w:tc>
          <w:tcPr>
            <w:tcW w:type="dxa" w:w="3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資源、利益與成本分配是否公平，含個人福利最大化等四類型</w:t>
            </w:r>
          </w:p>
        </w:tc>
        <w:tc>
          <w:tcPr>
            <w:tcW w:type="dxa" w:w="3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風險評估演算法是否對特定族群產生歧視性影響</w:t>
            </w:r>
          </w:p>
        </w:tc>
      </w:tr>
    </w:tbl>
    <w:p>
      <w:pPr>
        <w:spacing w:after="280" w:before="120"/>
        <w:jc w:val="center"/>
      </w:pPr>
      <w:r>
        <w:rPr>
          <w:rFonts w:ascii="微軟正黑體" w:cs="微軟正黑體" w:eastAsia="微軟正黑體" w:hAnsi="微軟正黑體"/>
          <w:i/>
          <w:iCs/>
          <w:color w:val="555555"/>
          <w:sz w:val="18"/>
          <w:szCs w:val="18"/>
        </w:rPr>
        <w:t xml:space="preserve">表14-C　Dunn六項政策評估標準</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結果評估常使用兩大方法：成本效益分析（CBA）將效益與成本皆貨幣化，計算淨現值、益本比與內部報酬率，適用於可貨幣化之建設政策；成本效能分析（CEA）則在效益無法貨幣化時，比較每單位成本所能產生之效能，如教育、衛生政策之「每挽回一年生命所需成本」。Dunn指出評估並非終點，而是政策學習之起點，評估結果有四種處理模式：政策調整、政策持續、政策終止（在政治上最困難，常涉及滾木與肉桶政治之利益糾葛）、政策重組（此為第三類型錯誤之解方）。教科書論述轉化以「擴大引進外籍看護工」為例：該政策短期內具技術性與經濟性效率，但若未同步改善勞動條件與本國照顧者支持體系，則僅將成本轉嫁至弱勢勞動者，不符公平性原則，此類效率與公平之內在張力，需透過適當性標準進行高階價值權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64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意涵</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政策調整 Policy Adjustment</w:t>
            </w:r>
          </w:p>
        </w:tc>
        <w:tc>
          <w:tcPr>
            <w:tcW w:type="dxa" w:w="6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執行發生困難或環境變遷，修正目標、手段或標的對象，如調整補助額度</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政策持續 Policy Continuation</w:t>
            </w:r>
          </w:p>
        </w:tc>
        <w:tc>
          <w:tcPr>
            <w:tcW w:type="dxa" w:w="6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政策達成預期效果且具正當性，予以持續，並納入例行預算</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政策終止 Policy Termination</w:t>
            </w:r>
          </w:p>
        </w:tc>
        <w:tc>
          <w:tcPr>
            <w:tcW w:type="dxa" w:w="6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問題已解決、目標已達成或政策造成更多問題與成本，予以終止，終止在政治上最困難</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政策重組 Policy Restructuring</w:t>
            </w:r>
          </w:p>
        </w:tc>
        <w:tc>
          <w:tcPr>
            <w:tcW w:type="dxa" w:w="6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評估發現問題界定失當或政策因果理論錯誤，需重新啟動政策循環，此為第三類型錯誤之解方</w:t>
            </w:r>
          </w:p>
        </w:tc>
      </w:tr>
    </w:tbl>
    <w:p>
      <w:pPr>
        <w:spacing w:after="280" w:before="120"/>
        <w:jc w:val="center"/>
      </w:pPr>
      <w:r>
        <w:rPr>
          <w:rFonts w:ascii="微軟正黑體" w:cs="微軟正黑體" w:eastAsia="微軟正黑體" w:hAnsi="微軟正黑體"/>
          <w:i/>
          <w:iCs/>
          <w:color w:val="555555"/>
          <w:sz w:val="18"/>
          <w:szCs w:val="18"/>
        </w:rPr>
        <w:t xml:space="preserve">表14-D　評估結果的四種處理模式</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管制影響評估RIA</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將「以證據為基礎的政策制定」制度化為標準作業流程，結合利害關係人諮詢提升決策透明度與正當性</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我國RIA仍集中於「重大」管制事項，涵蓋範圍與強制力有限，且成本效益量化易低估難以貨幣化之公平、隱私等價值</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Dunn六項評估標準</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提供效能、效率、充分、回應、適當、公正六面向之完整評估框架，尤其適當性標準補足純技術性測量之規範性缺口</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六標準彼此可能衝突（如效率與公平），實務操作須仰賴適當性標準進行高階價值權衡，而此權衡本身具高度主觀性</w:t>
            </w:r>
          </w:p>
        </w:tc>
      </w:tr>
    </w:tbl>
    <w:p>
      <w:pPr>
        <w:spacing w:after="280" w:before="120"/>
        <w:jc w:val="center"/>
      </w:pPr>
      <w:r>
        <w:rPr>
          <w:rFonts w:ascii="微軟正黑體" w:cs="微軟正黑體" w:eastAsia="微軟正黑體" w:hAnsi="微軟正黑體"/>
          <w:i/>
          <w:iCs/>
          <w:color w:val="555555"/>
          <w:sz w:val="18"/>
          <w:szCs w:val="18"/>
        </w:rPr>
        <w:t xml:space="preserve">表14-E　RIA與Dunn六項標準之貢獻與限制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隨《人工智慧基本法》於2026年1月公布施行，數位發展部於2026年7月正式公布「人工智慧風險分類框架」v1.0，將AI應用畫分為3大類、20項子類別，並提供4大建議操作步驟，供各機關辨識其AI應用之風險等級與相應管理義務，此一發展正是RIA向演算法影響評估（AIA）過渡之具體在地實踐——法規影響評估關注「這項管制是否必要、成本效益是否合理」，風險分類框架則進一步追問「這個AI系統本身的風險等級，是否足以支撐其被賦予之決策角色」。</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自2017年起推動RIA，並於公共政策網路參與平台（Join.gov.tw）公開諮商紀錄；截至2026年上半年，勞動部、金融監督管理委員會等部會已著手檢視所轄業務如何適用人工智慧風險分類框架，顯示我國正從「法規影響評估」逐步走向「演算法影響評估」的制度化階段。</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①RIA之意涵、兩大核心目的與操作步驟；我國稱為法規影響評估</w:t>
            </w:r>
          </w:p>
          <w:p>
            <w:pPr>
              <w:spacing w:after="80" w:line="320"/>
            </w:pPr>
            <w:r>
              <w:rPr>
                <w:rFonts w:ascii="微軟正黑體" w:cs="微軟正黑體" w:eastAsia="微軟正黑體" w:hAnsi="微軟正黑體"/>
                <w:sz w:val="21"/>
                <w:szCs w:val="21"/>
              </w:rPr>
              <w:t xml:space="preserve">•　②Dunn六項評估標準：效能／效率／充分性／回應性／適當性／公平性，及其彼此可能之衝突</w:t>
            </w:r>
          </w:p>
          <w:p>
            <w:pPr>
              <w:spacing w:after="80" w:line="320"/>
            </w:pPr>
            <w:r>
              <w:rPr>
                <w:rFonts w:ascii="微軟正黑體" w:cs="微軟正黑體" w:eastAsia="微軟正黑體" w:hAnsi="微軟正黑體"/>
                <w:sz w:val="21"/>
                <w:szCs w:val="21"/>
              </w:rPr>
              <w:t xml:space="preserve">•　③CBA（成本效益分析）vs CEA（成本效能分析）之適用時機差異</w:t>
            </w:r>
          </w:p>
          <w:p>
            <w:pPr>
              <w:spacing w:after="80" w:line="320"/>
            </w:pPr>
            <w:r>
              <w:rPr>
                <w:rFonts w:ascii="微軟正黑體" w:cs="微軟正黑體" w:eastAsia="微軟正黑體" w:hAnsi="微軟正黑體"/>
                <w:sz w:val="21"/>
                <w:szCs w:val="21"/>
              </w:rPr>
              <w:t xml:space="preserve">•　④評估結果四種處理模式：政策調整／政策持續／政策終止／政策重組</w:t>
            </w:r>
          </w:p>
          <w:p>
            <w:pPr>
              <w:spacing w:after="80" w:line="320"/>
            </w:pPr>
            <w:r>
              <w:rPr>
                <w:rFonts w:ascii="微軟正黑體" w:cs="微軟正黑體" w:eastAsia="微軟正黑體" w:hAnsi="微軟正黑體"/>
                <w:sz w:val="21"/>
                <w:szCs w:val="21"/>
              </w:rPr>
              <w:t xml:space="preserve">•　⑤「擴大引進外籍看護工」案例：效率與公平衝突之經典教科書轉化論述</w:t>
            </w:r>
          </w:p>
          <w:p>
            <w:pPr>
              <w:spacing w:after="0" w:line="320"/>
            </w:pPr>
            <w:r>
              <w:rPr>
                <w:rFonts w:ascii="微軟正黑體" w:cs="微軟正黑體" w:eastAsia="微軟正黑體" w:hAnsi="微軟正黑體"/>
                <w:sz w:val="21"/>
                <w:szCs w:val="21"/>
              </w:rPr>
              <w:t xml:space="preserve">•　⑥我國「人工智慧風險分類框架」v1.0（2026年7月公布）：RIA向AIA過渡之在地實踐</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Dunn六標準口訣：效（能）、效（率）、充（分）、回（應）、適（當）、公（平）——「效效充回適公」六字訣，適當性是最具規範性之高階整合判準</w:t>
            </w:r>
          </w:p>
          <w:p>
            <w:pPr>
              <w:spacing w:after="80" w:line="320"/>
            </w:pPr>
            <w:r>
              <w:rPr>
                <w:rFonts w:ascii="微軟正黑體" w:cs="微軟正黑體" w:eastAsia="微軟正黑體" w:hAnsi="微軟正黑體"/>
                <w:sz w:val="21"/>
                <w:szCs w:val="21"/>
              </w:rPr>
              <w:t xml:space="preserve">•　評估結果四種處理模式口訣：調（整）、持（續）、終（止）、重（組）——「調持終重」四字訣，終止在政治上最困難</w:t>
            </w:r>
          </w:p>
          <w:p>
            <w:pPr>
              <w:spacing w:after="0" w:line="320"/>
            </w:pPr>
            <w:r>
              <w:rPr>
                <w:rFonts w:ascii="微軟正黑體" w:cs="微軟正黑體" w:eastAsia="微軟正黑體" w:hAnsi="微軟正黑體"/>
                <w:sz w:val="21"/>
                <w:szCs w:val="21"/>
              </w:rPr>
              <w:t xml:space="preserve">•　CBA vs CEA一句話記憶：能換算成錢就用CBA，換算不了就用CEA比「每單位花多少」</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成本效益分析CBA」（效益與成本皆貨幣化，計算淨現值、益本比）與「成本效能分析CEA」（效益無法貨幣化時，比較單位成本之效能）常被考生混為一談——CBA要求效益能夠換算成金額（如建設政策之經濟效益），CEA適用於效益難以貨幣化之情境（如教育、衛生政策之生命年數），選用時機取決於政策效益「能不能被換算成錢」。</w:t>
            </w:r>
          </w:p>
          <w:p>
            <w:pPr>
              <w:spacing w:after="0" w:line="320"/>
            </w:pPr>
            <w:r>
              <w:rPr>
                <w:rFonts w:ascii="微軟正黑體" w:cs="微軟正黑體" w:eastAsia="微軟正黑體" w:hAnsi="微軟正黑體"/>
                <w:sz w:val="21"/>
                <w:szCs w:val="21"/>
              </w:rPr>
              <w:t xml:space="preserve">•　「政策終止」（評估結果四種處理模式之一，問題已解決或政策造成更多問題而終止）與「政策重組」（評估發現問題界定失當或因果理論錯誤，需重新啟動政策循環）常被考生視為相同結果——政策終止代表政策階段性任務完成或失敗而退場，政策重組則代表問題本身仍存在但原有解方邏輯有誤，須回到問題認定階段重新開始，兩者之後續行動方向完全不同。</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第三節　評估演進與政策變遷</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Guba與Lincoln提出政策評估四代演進，揭示評估典範從技術走向政治、從單一真實走向多元建構：第一代測量導向（評估者為技術專家，以量化指標測量）、第二代描述導向（評估者為描述者，實地調查個案描述）、第三代判斷導向（評估者為價值判斷者，對目標本身價值進行評論）、第四代協商與回應建構導向（評估者為協調者與促進者，重視利害關係人主張與回應性建構主義）。</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相較於消極目的（如作為延遲決策、規避責任、象徵性交差之藉口），政策評估具有積極目的七項：作為比較各替選方案優先順序之依據、改善政策執行程序之參考、增刪執行策略與技術之參考、繼續或停止政策之參考、其他機關推動類似政策之參考、分配競爭性資源之依據、接受或拒絕政策因果理論之基礎，積極目的之實現有賴於評估獨立性與資訊公開。</w:t>
      </w:r>
    </w:p>
    <w:p>
      <w:pPr>
        <w:pStyle w:val="ListParagraph"/>
        <w:numPr>
          <w:ilvl w:val="0"/>
          <w:numId w:val="2"/>
        </w:numPr>
        <w:spacing w:after="120" w:line="340"/>
      </w:pPr>
      <w:r>
        <w:rPr>
          <w:rFonts w:ascii="微軟正黑體" w:cs="微軟正黑體" w:eastAsia="微軟正黑體" w:hAnsi="微軟正黑體"/>
          <w:sz w:val="22"/>
          <w:szCs w:val="22"/>
        </w:rPr>
        <w:t xml:space="preserve">評估之障礙包括黑箱（Black Box，源自Easton政治系統論，指轉化過程因資訊不對稱與專業壟斷而不透明，AI時代形成傳統官僚黑箱與演算法黑箱重疊之「雙重黑箱」）與鄰避情結（NIMBY，民眾支持必要性設施存在卻反對設於自身鄰近地區之集體行動困境，非單純自私，而涉及分配公平、程序公平與風險溝通不足）。政策評估之回饋可能導致政策變遷，依階段論觀點可分四類型。</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世代</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焦點與角色</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方法特徵</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第一代：測量導向</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以測量為焦點，評估者為技術專家</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量化指標測量政策對象特質</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第二代：描述導向</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以描述為焦點，評估者為描述者</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實地調查、個案描述執行過程</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第三代：判斷導向</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以判斷為焦點，評估者為價值判斷者</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對目標本身價值進行評論，引入外界標準</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第四代：協商與回應建構導向</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以協商為焦點，評估者為協調者與促進者</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重視利害關係人主張、關切與議題，回應性建構主義</w:t>
            </w:r>
          </w:p>
        </w:tc>
      </w:tr>
    </w:tbl>
    <w:p>
      <w:pPr>
        <w:spacing w:after="280" w:before="120"/>
        <w:jc w:val="center"/>
      </w:pPr>
      <w:r>
        <w:rPr>
          <w:rFonts w:ascii="微軟正黑體" w:cs="微軟正黑體" w:eastAsia="微軟正黑體" w:hAnsi="微軟正黑體"/>
          <w:i/>
          <w:iCs/>
          <w:color w:val="555555"/>
          <w:sz w:val="18"/>
          <w:szCs w:val="18"/>
        </w:rPr>
        <w:t xml:space="preserve">表14-F　Guba &amp; Lincoln政策評估四代演進</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意涵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案例</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政策創新</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終止現行政策，另立全新政策，屬非漸進式變遷</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結束新聞局媒體管制，改設NCC進行監理</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政策延續</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以現行政策為基礎進行漸進修正，原則不變</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徵兵役期由兩年縮短為一年，加入替代役設計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政策維持</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原政策不變持續執行</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健保維持強制社會保險架構</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政策終結</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終止某機關或特定政策之運作</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精省終結臺灣省政府組織、終止動員戡亂時期</w:t>
            </w:r>
          </w:p>
        </w:tc>
      </w:tr>
    </w:tbl>
    <w:p>
      <w:pPr>
        <w:spacing w:after="280" w:before="120"/>
        <w:jc w:val="center"/>
      </w:pPr>
      <w:r>
        <w:rPr>
          <w:rFonts w:ascii="微軟正黑體" w:cs="微軟正黑體" w:eastAsia="微軟正黑體" w:hAnsi="微軟正黑體"/>
          <w:i/>
          <w:iCs/>
          <w:color w:val="555555"/>
          <w:sz w:val="18"/>
          <w:szCs w:val="18"/>
        </w:rPr>
        <w:t xml:space="preserve">表14-G　政策變遷四類型</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Kingdon（1995）提出多元流程模式（MSF），認為政策變遷非理性階段序列，而是問題流（重要指標、災變、回饋顯示問題存在）、政策流（學界智庫提出解方）、政治流（民意變遷、政權輪替、利益團體施壓）三流在政策之窗開啟時匯合，由政策企業家促成議程設定與政策產出。Sabatier（1988, 2007）提出倡導聯盟架構（ACF），主張政策次系統內公私部門行動者依共同深層信念、政策信念與次級信念形成2至4個倡導聯盟，長期（十年以上）透過政策學習、外部衝擊與內部資源動員進行政策變遷，能解釋我國反核四、同志婚姻、空污管制等長期政策爭論，非短期理性模型可涵蓋。</w:t>
      </w:r>
    </w:p>
    <w:p>
      <w:pPr>
        <w:spacing w:after="200" w:line="360"/>
        <w:ind w:firstLine="431"/>
        <w:jc w:val="both"/>
      </w:pPr>
      <w:r>
        <w:rPr>
          <w:rFonts w:ascii="微軟正黑體" w:cs="微軟正黑體" w:eastAsia="微軟正黑體" w:hAnsi="微軟正黑體"/>
          <w:sz w:val="22"/>
          <w:szCs w:val="22"/>
        </w:rPr>
        <w:t xml:space="preserve">Baumgartner與Jones（1993）提出斷續均衡理論（Punctuated Equilibrium Theory），主張政策變遷並非持續漸進，而是呈現「長期穩定、偶爾劇變」之雙軌動態：多數時間，政策次系統由少數行動者壟斷議程（政策獨佔）並透過正向回饋機制鞏固現狀，僅產生漸進式微調；然而當議題被重新框架（reframing）、發生重大焦點事件，或次系統外部之政治力量（如政黨輪替、社會運動）強力介入，原有政策獨佔便可能被打破，引發急遽、非連續性的劇烈變遷（斷裂）。此一理論補足了MSF（解釋短期偶然之議程開啟）與ACF（解釋長期聯盟對立）之間的缺口，專門解釋「政策為何多數時候僅漸進修正，卻也偶有翻天覆地之改革」此一雙重現象。</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Guba &amp; Lincoln四代評估演進</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揭示評估典範從技術測量走向政治協商，第四代回應性評估與公民參與、審議民主高度相容</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第四代協商與回應建構導向耗時且易受權力影響，實務上第一、二代之量化測量仍是多數機關之預設操作模式</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多元流程模式（MSF）與倡導聯盟架構（ACF）</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MSF解釋政策變遷之偶然性（政策之窗開啟時機），ACF解釋長期政策爭論之聯盟動態，兩者互補描繪政策變遷之短期與長期樣貌</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MSF對「政策之窗」開啟時機之預測力有限，ACF所需之長期追蹤研究成本高，兩者皆屬描述性而非規範性理論，較難直接指引決策</w:t>
            </w:r>
          </w:p>
        </w:tc>
      </w:tr>
    </w:tbl>
    <w:p>
      <w:pPr>
        <w:spacing w:after="280" w:before="120"/>
        <w:jc w:val="center"/>
      </w:pPr>
      <w:r>
        <w:rPr>
          <w:rFonts w:ascii="微軟正黑體" w:cs="微軟正黑體" w:eastAsia="微軟正黑體" w:hAnsi="微軟正黑體"/>
          <w:i/>
          <w:iCs/>
          <w:color w:val="555555"/>
          <w:sz w:val="18"/>
          <w:szCs w:val="18"/>
        </w:rPr>
        <w:t xml:space="preserve">表14-H　評估演進與政策變遷理論之貢獻與限制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AI時代之黑箱具雙重意涵：傳統官僚黑箱與演算法黑箱重疊，形成「雙重黑箱」，更需可解釋性AI（XAI）與演算法審計方能打開；評估工具本身若由AI設計，其評估邏輯之演進亦須參照Guba與Lincoln之典範脈絡，朝向第五代持續、可追溯、可爭訟之演算法評估發展，此為本章第五節AI治理專節之核心議題。</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反核四、同志婚姻、空污管制等長期政策爭論，皆可運用倡導聯盟架構（ACF）分析：不同倡導聯盟依共同深層信念形成陣營，長期透過政策學習與外部衝擊（如重大事件、選舉結果）進行政策變遷，非短期理性階段模型所能涵蓋，是理解我國重大爭議政策長期演變之重要分析工具。</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①Guba &amp; Lincoln政策評估四代演進：測量導向／描述導向／判斷導向／協商與回應建構導向</w:t>
            </w:r>
          </w:p>
          <w:p>
            <w:pPr>
              <w:spacing w:after="80" w:line="320"/>
            </w:pPr>
            <w:r>
              <w:rPr>
                <w:rFonts w:ascii="微軟正黑體" w:cs="微軟正黑體" w:eastAsia="微軟正黑體" w:hAnsi="微軟正黑體"/>
                <w:sz w:val="21"/>
                <w:szCs w:val="21"/>
              </w:rPr>
              <w:t xml:space="preserve">•　②政策評估積極目的七項 vs 消極目的（延遲決策、規避責任、象徵性交差）</w:t>
            </w:r>
          </w:p>
          <w:p>
            <w:pPr>
              <w:spacing w:after="80" w:line="320"/>
            </w:pPr>
            <w:r>
              <w:rPr>
                <w:rFonts w:ascii="微軟正黑體" w:cs="微軟正黑體" w:eastAsia="微軟正黑體" w:hAnsi="微軟正黑體"/>
                <w:sz w:val="21"/>
                <w:szCs w:val="21"/>
              </w:rPr>
              <w:t xml:space="preserve">•　③評估障礙：黑箱（Easton政治系統論）與鄰避情結NIMBY</w:t>
            </w:r>
          </w:p>
          <w:p>
            <w:pPr>
              <w:spacing w:after="80" w:line="320"/>
            </w:pPr>
            <w:r>
              <w:rPr>
                <w:rFonts w:ascii="微軟正黑體" w:cs="微軟正黑體" w:eastAsia="微軟正黑體" w:hAnsi="微軟正黑體"/>
                <w:sz w:val="21"/>
                <w:szCs w:val="21"/>
              </w:rPr>
              <w:t xml:space="preserve">•　④政策變遷四類型：政策創新／政策延續／政策維持／政策終結</w:t>
            </w:r>
          </w:p>
          <w:p>
            <w:pPr>
              <w:spacing w:after="80" w:line="320"/>
            </w:pPr>
            <w:r>
              <w:rPr>
                <w:rFonts w:ascii="微軟正黑體" w:cs="微軟正黑體" w:eastAsia="微軟正黑體" w:hAnsi="微軟正黑體"/>
                <w:sz w:val="21"/>
                <w:szCs w:val="21"/>
              </w:rPr>
              <w:t xml:space="preserve">•　⑤多元流程模式（MSF，Kingdon）：問題流、政策流、政治流於政策之窗匯合</w:t>
            </w:r>
          </w:p>
          <w:p>
            <w:pPr>
              <w:spacing w:after="80" w:line="320"/>
            </w:pPr>
            <w:r>
              <w:rPr>
                <w:rFonts w:ascii="微軟正黑體" w:cs="微軟正黑體" w:eastAsia="微軟正黑體" w:hAnsi="微軟正黑體"/>
                <w:sz w:val="21"/>
                <w:szCs w:val="21"/>
              </w:rPr>
              <w:t xml:space="preserve">•　⑥倡導聯盟架構（ACF，Sabatier）：政策次系統內2至4個倡導聯盟，長期透過學習與衝擊變遷</w:t>
            </w:r>
          </w:p>
          <w:p>
            <w:pPr>
              <w:spacing w:after="0" w:line="320"/>
            </w:pPr>
            <w:r>
              <w:rPr>
                <w:rFonts w:ascii="微軟正黑體" w:cs="微軟正黑體" w:eastAsia="微軟正黑體" w:hAnsi="微軟正黑體"/>
                <w:sz w:val="21"/>
                <w:szCs w:val="21"/>
              </w:rPr>
              <w:t xml:space="preserve">•　⑦斷續均衡理論（PET，Baumgartner &amp; Jones）：長期穩定（政策獨佔＋正向回饋）與偶爾劇變（重新框架、焦點事件、外部政治力量介入打破獨佔）之雙軌動態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四代評估口訣：測（量）、描（述）、判（斷）、協（商回應）——「測描判協」四字訣，依「技術走向政治」排列</w:t>
            </w:r>
          </w:p>
          <w:p>
            <w:pPr>
              <w:spacing w:after="80" w:line="320"/>
            </w:pPr>
            <w:r>
              <w:rPr>
                <w:rFonts w:ascii="微軟正黑體" w:cs="微軟正黑體" w:eastAsia="微軟正黑體" w:hAnsi="微軟正黑體"/>
                <w:sz w:val="21"/>
                <w:szCs w:val="21"/>
              </w:rPr>
              <w:t xml:space="preserve">•　政策變遷四類型記憶：創（新，全新政策）、延（續，漸進修正）、維（持，不變）、終（結，終止機關或政策）——「創延維終」四字訣</w:t>
            </w:r>
          </w:p>
          <w:p>
            <w:pPr>
              <w:spacing w:after="0" w:line="320"/>
            </w:pPr>
            <w:r>
              <w:rPr>
                <w:rFonts w:ascii="微軟正黑體" w:cs="微軟正黑體" w:eastAsia="微軟正黑體" w:hAnsi="微軟正黑體"/>
                <w:sz w:val="21"/>
                <w:szCs w:val="21"/>
              </w:rPr>
              <w:t xml:space="preserve">•　MSF vs ACF vs PET一句話記憶：MSF看「這扇窗什麼時候開」（短期偶然），ACF看「這群人吵了多久」（長期聯盟），PET看「風平浪靜多久才會突然翻船」（長期穩定＋偶爾斷裂）</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政策創新」（終止現行政策，另立全新政策，屬非漸進式變遷）與「政策延續」（以現行政策為基礎進行漸進修正，原則不變）常被考生混為一談——政策創新是「整套換掉重來」（如新聞局改設NCC），政策延續是「維持骨架微調內容」（如役期縮短），關鍵判準在於原政策之基本框架是否被整套替換。</w:t>
            </w:r>
          </w:p>
          <w:p>
            <w:pPr>
              <w:spacing w:after="80" w:line="320"/>
            </w:pPr>
            <w:r>
              <w:rPr>
                <w:rFonts w:ascii="微軟正黑體" w:cs="微軟正黑體" w:eastAsia="微軟正黑體" w:hAnsi="微軟正黑體"/>
                <w:sz w:val="21"/>
                <w:szCs w:val="21"/>
              </w:rPr>
              <w:t xml:space="preserve">•　「多元流程模式MSF」（Kingdon，短期政策之窗開啟促成政策產出）與「倡導聯盟架構ACF」（Sabatier，長期十年以上聯盟學習與衝擊）常被考生視為可互換之政策變遷理論——本章明確指出兩者時間尺度不同：MSF解釋「為何是現在」（偶然性與時機），ACF解釋「為何吵了這麼久還沒定案」（長期信念對立），作答時應依題目所問時間尺度選用適當理論。</w:t>
            </w:r>
          </w:p>
          <w:p>
            <w:pPr>
              <w:spacing w:after="0" w:line="320"/>
            </w:pPr>
            <w:r>
              <w:rPr>
                <w:rFonts w:ascii="微軟正黑體" w:cs="微軟正黑體" w:eastAsia="微軟正黑體" w:hAnsi="微軟正黑體"/>
                <w:sz w:val="21"/>
                <w:szCs w:val="21"/>
              </w:rPr>
              <w:t xml:space="preserve">•　「多元流程模式MSF」與「斷續均衡理論PET」都能解釋政策之「突然變遷」，卻常被考生混為一談——MSF的分析起點是「議程設定」，強調三流匯合的偶然時機，較少處理變遷前的狀態；PET的分析起點則是「既有政策獨佔如何被打破」，明確區分「長期穩定」與「劇烈斷裂」兩種狀態並解釋兩者何以交替出現，答題時應點出PET對「變遷前的穩定狀態」有更完整之理論說明，此為兩者最關鍵之差異。</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第四節　政策溝通、民意與公民參與</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行政溝通指組織內部為達成目標，成員對問題、目標、任務獲取共識之過程，主要對象為組織內上級、下級、同儕；政策溝通指個人或團體透過媒介將政治性訊息傳遞給他者，影響政治認知之過程，主要對象為公民、媒體、利害關係人、國會。當代政策溝通強調「從接收者角度設計訊息」，重視透明化、即時性與敘事力，應於政策形成初期即啟動，而非僅於執行階段才進行辯護，否則易淪為政策行銷而失卻正當性。</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民意（Public Opinion）指某一特定時間內，一群人對特定公共事務表示之意見集合，具七項特性：複雜性、多變性、不普及性、不一致性、不可靠性、潛在性、容忍性。民意在政策循環五階段扮演不同角色：問題形成階段扮演議題發起與議程設定角色，規劃階段引導方案設計，合法化階段扮演競爭批判施壓角色，執行階段作為配合監督批評機制，評估階段則提供績效回饋、批判與建議。</w:t>
      </w:r>
    </w:p>
    <w:p>
      <w:pPr>
        <w:pStyle w:val="ListParagraph"/>
        <w:numPr>
          <w:ilvl w:val="0"/>
          <w:numId w:val="2"/>
        </w:numPr>
        <w:spacing w:after="120" w:line="340"/>
      </w:pPr>
      <w:r>
        <w:rPr>
          <w:rFonts w:ascii="微軟正黑體" w:cs="微軟正黑體" w:eastAsia="微軟正黑體" w:hAnsi="微軟正黑體"/>
          <w:sz w:val="22"/>
          <w:szCs w:val="22"/>
        </w:rPr>
        <w:t xml:space="preserve">公民參與涵蓋從資訊提供、諮詢，到共同決策與賦權之連續光譜（IAP2光譜）。傳統民調重意見之數量，易受「理性無知」與「自利偏誤」影響，Fishkin提出審議式民調，結合「審議」與「民調」優點：先以隨機抽樣選出代表性樣本，提供平衡資訊、邀請專家與多元立場對話，經小組審議後再行民調，測量「經充分資訊與審議後之民意」；世界咖啡館（Brown &amp; Isaacs, 2005）則為適用於跨域、複雜、具價值衝突議題之結構性對話方法，以輕鬆流動之氛圍促進集體智慧匯聚，經三回合換桌交叉授粉，強調參與學習與賦權而非僅問題解決。</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3813"/>
        <w:gridCol w:w="3813"/>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構面</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行政溝通</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政策溝通</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定義</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組織內部為達成目標，成員對問題、目標、任務獲取共識之過程</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個人或團體透過媒介將政治性訊息傳遞給他者，影響政治認知之過程</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主要對象</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組織內上級、下級、同儕</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公民、媒體、利害關係人、國會</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方向</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上行、下行、平行、斜行溝通</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單向宣導轉向雙向對話，重視社群媒體與敘事</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案例</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公文、會議、內部網路、績效面談</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施政座談會、首長信箱、Join平台、記者會、社群媒體直播</w:t>
            </w:r>
          </w:p>
        </w:tc>
      </w:tr>
    </w:tbl>
    <w:p>
      <w:pPr>
        <w:spacing w:after="280" w:before="120"/>
        <w:jc w:val="center"/>
      </w:pPr>
      <w:r>
        <w:rPr>
          <w:rFonts w:ascii="微軟正黑體" w:cs="微軟正黑體" w:eastAsia="微軟正黑體" w:hAnsi="微軟正黑體"/>
          <w:i/>
          <w:iCs/>
          <w:color w:val="555555"/>
          <w:sz w:val="18"/>
          <w:szCs w:val="18"/>
        </w:rPr>
        <w:t xml:space="preserve">表14-I　行政溝通與政策溝通之比較</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審議式民調與世界咖啡館皆為回應「參與人數多不代表參與具有代表性」此一核心命題之操作工具：前者透過隨機抽樣兼顧統計代表性，並以審議程序提升意見品質；後者則透過結構性對話設計，使參與者得以跨越專業與立場差異、貢獻多元經驗，兩者共同體現審議民主「正當性不僅來自多數決結果，也來自審議過程品質」之核心主張。</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審議式民調（Fishkin）</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結合隨機抽樣代表性與審議深度，測量「經充分資訊與審議後之民意」，有效緩解傳統民調之理性無知與自利偏誤</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耗費資源、規模有限；批判者指出審議程序本身可能有利於慣於公共辯論者，壓抑生活經驗與情緒敘事之表達</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世界咖啡館</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以輕鬆流動之對話氛圍，適用於跨域、複雜、具價值衝突之公共議題，強調參與學習與賦權而非僅問題解決</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若參與者皆為專業菁英、議題已有定見，或人數過少、時間少於90分鐘，則效益有限</w:t>
            </w:r>
          </w:p>
        </w:tc>
      </w:tr>
    </w:tbl>
    <w:p>
      <w:pPr>
        <w:spacing w:after="280" w:before="120"/>
        <w:jc w:val="center"/>
      </w:pPr>
      <w:r>
        <w:rPr>
          <w:rFonts w:ascii="微軟正黑體" w:cs="微軟正黑體" w:eastAsia="微軟正黑體" w:hAnsi="微軟正黑體"/>
          <w:i/>
          <w:iCs/>
          <w:color w:val="555555"/>
          <w:sz w:val="18"/>
          <w:szCs w:val="18"/>
        </w:rPr>
        <w:t xml:space="preserve">表14-J　審議民主參與工具之貢獻與限制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對話性質之討論教學因審議民主排他性之批判而興起，重視非正式、平等、敘事性的民主實踐；當代亦有以機器學習分群共識、生成式AI摘要轉譯輔助大規模數位審議，是傳統對話式評估工具在AI時代之數位升級，惟其分群邏輯與摘要之公正性，本身亦須受評估與監督，此為本章第五節AI治理專節所延伸探討之議題。</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國家發展委員會推動之公共政策網路參與平台（Join.gov.tw）與各地方政府試辦之公民審議會，皆為政策溝通與公民參與光譜由「單向宣導」轉向「雙向對話」之具體實踐；惟其成效仍須留意是否僅止於資訊提供層次，抑或真正達到共同決策與賦權之光譜高階，避免淪為象徵性參與。</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①行政溝通 vs 政策溝通之比較：定義、對象、方向、案例</w:t>
            </w:r>
          </w:p>
          <w:p>
            <w:pPr>
              <w:spacing w:after="80" w:line="320"/>
            </w:pPr>
            <w:r>
              <w:rPr>
                <w:rFonts w:ascii="微軟正黑體" w:cs="微軟正黑體" w:eastAsia="微軟正黑體" w:hAnsi="微軟正黑體"/>
                <w:sz w:val="21"/>
                <w:szCs w:val="21"/>
              </w:rPr>
              <w:t xml:space="preserve">•　②民意之定義與七項特性：複雜性、多變性、不普及性、不一致性、不可靠性、潛在性、容忍性</w:t>
            </w:r>
          </w:p>
          <w:p>
            <w:pPr>
              <w:spacing w:after="80" w:line="320"/>
            </w:pPr>
            <w:r>
              <w:rPr>
                <w:rFonts w:ascii="微軟正黑體" w:cs="微軟正黑體" w:eastAsia="微軟正黑體" w:hAnsi="微軟正黑體"/>
                <w:sz w:val="21"/>
                <w:szCs w:val="21"/>
              </w:rPr>
              <w:t xml:space="preserve">•　③民意在政策循環五階段之角色</w:t>
            </w:r>
          </w:p>
          <w:p>
            <w:pPr>
              <w:spacing w:after="80" w:line="320"/>
            </w:pPr>
            <w:r>
              <w:rPr>
                <w:rFonts w:ascii="微軟正黑體" w:cs="微軟正黑體" w:eastAsia="微軟正黑體" w:hAnsi="微軟正黑體"/>
                <w:sz w:val="21"/>
                <w:szCs w:val="21"/>
              </w:rPr>
              <w:t xml:space="preserve">•　④公民參與光譜（IAP2）：資訊提供→諮詢→共同決策→賦權</w:t>
            </w:r>
          </w:p>
          <w:p>
            <w:pPr>
              <w:spacing w:after="80" w:line="320"/>
            </w:pPr>
            <w:r>
              <w:rPr>
                <w:rFonts w:ascii="微軟正黑體" w:cs="微軟正黑體" w:eastAsia="微軟正黑體" w:hAnsi="微軟正黑體"/>
                <w:sz w:val="21"/>
                <w:szCs w:val="21"/>
              </w:rPr>
              <w:t xml:space="preserve">•　⑤審議式民調（Fishkin）：隨機抽樣＋審議，測量「審議後之民意」</w:t>
            </w:r>
          </w:p>
          <w:p>
            <w:pPr>
              <w:spacing w:after="0" w:line="320"/>
            </w:pPr>
            <w:r>
              <w:rPr>
                <w:rFonts w:ascii="微軟正黑體" w:cs="微軟正黑體" w:eastAsia="微軟正黑體" w:hAnsi="微軟正黑體"/>
                <w:sz w:val="21"/>
                <w:szCs w:val="21"/>
              </w:rPr>
              <w:t xml:space="preserve">•　⑥世界咖啡館（Brown &amp; Isaacs）：結構性對話七項流程，三回合換桌交叉授粉</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民意七特性口訣：複（雜）、多（變）、不普（及）、不一（致）、不可靠、潛（在）、容忍——七字排開記憶</w:t>
            </w:r>
          </w:p>
          <w:p>
            <w:pPr>
              <w:spacing w:after="80" w:line="320"/>
            </w:pPr>
            <w:r>
              <w:rPr>
                <w:rFonts w:ascii="微軟正黑體" w:cs="微軟正黑體" w:eastAsia="微軟正黑體" w:hAnsi="微軟正黑體"/>
                <w:sz w:val="21"/>
                <w:szCs w:val="21"/>
              </w:rPr>
              <w:t xml:space="preserve">•　行政溝通vs政策溝通一句話記憶：行政溝通「對內講清楚」，政策溝通「對外說服人」</w:t>
            </w:r>
          </w:p>
          <w:p>
            <w:pPr>
              <w:spacing w:after="0" w:line="320"/>
            </w:pPr>
            <w:r>
              <w:rPr>
                <w:rFonts w:ascii="微軟正黑體" w:cs="微軟正黑體" w:eastAsia="微軟正黑體" w:hAnsi="微軟正黑體"/>
                <w:sz w:val="21"/>
                <w:szCs w:val="21"/>
              </w:rPr>
              <w:t xml:space="preserve">•　審議式民調口訣：先抽樣（代表性）、再給資訊（平衡）、再審議（小組討論）、再民調（測量審議後意見）——「抽資審調」四字訣</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審議式民調」（隨機抽樣具代表性之民眾，經審議後測量意見變化，屬研究導向）與「世界咖啡館」（結構性對話方法，重參與學習與賦權，非隨機抽樣亦非以測量意見變化為目的）常被考生混為一談——審議式民調之核心產出是「量化之審議後民意數據」，世界咖啡館之核心產出是「集體智慧與行動共識之質性匯聚」，兩者方法論性質不同。</w:t>
            </w:r>
          </w:p>
          <w:p>
            <w:pPr>
              <w:spacing w:after="0" w:line="320"/>
            </w:pPr>
            <w:r>
              <w:rPr>
                <w:rFonts w:ascii="微軟正黑體" w:cs="微軟正黑體" w:eastAsia="微軟正黑體" w:hAnsi="微軟正黑體"/>
                <w:sz w:val="21"/>
                <w:szCs w:val="21"/>
              </w:rPr>
              <w:t xml:space="preserve">•　「政策溝通」（政策形成初期即應啟動之雙向對話）與「政策行銷」（研議中或已形成政策之短期共識建立，見第十三章）常被考生視為同一概念——本章明確指出，若政策溝通僅於執行階段才進行辯護，便容易淪為政策行銷而失卻正當性，兩者差異在於啟動時機（政策形成初期vs政策已定案後）與目的（雙向對話建立共識vs單向推廣既定政策）。</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第五節　AI鑲嵌下的政策評估：從RIA到演算法影響評估與課責赤字</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當AI既是管制對象又是評估工具時，傳統評估典範面臨轉型挑戰：傳統RIA可量化成本效益，但AI具學習性、黑箱與外部性，事前影響難以估計。Dunn六標準在AI脈絡下亦產生張力：AI提升效能與效率，卻可能犧牲適當性與公平性，如以人臉辨識用於社福稽查雖有效率卻損人權；以平均正確率95%掩蓋對特定弱勢群體30%錯誤率，即違反保障最小福利之公平性；充分性亦受質疑，演算法僅解標籤未解結構不平等。</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RIA向AIA轉型已成國際趨勢：加拿大AIA工具要求風險分級與緩解揭露；歐盟AI法要求高風險AI部署前完成基本權利影響評估（FRIA）；美國聯邦層級之AI治理指引則隨政黨輪替數度改版，顯示AI評估框架本身也高度受政治週期影響，此點對照本章第三節「政策變遷」理論尤具教學意義。三者共同將RIA事前、證據、諮商精神轉為資料—模型—部署—監測生命週期評估；Guba與Lincoln第四代重利害關係人協商，正演進為第五代持續、可追溯、可爭訟之演算法評估，對象轉為資料＋模型＋人機流程，評估者含獨立審計與受影響群體，時點為設計前—部署前—部署後持續監測。</w:t>
      </w:r>
    </w:p>
    <w:p>
      <w:pPr>
        <w:pStyle w:val="ListParagraph"/>
        <w:numPr>
          <w:ilvl w:val="0"/>
          <w:numId w:val="2"/>
        </w:numPr>
        <w:spacing w:after="120" w:line="340"/>
      </w:pPr>
      <w:r>
        <w:rPr>
          <w:rFonts w:ascii="微軟正黑體" w:cs="微軟正黑體" w:eastAsia="微軟正黑體" w:hAnsi="微軟正黑體"/>
          <w:sz w:val="22"/>
          <w:szCs w:val="22"/>
        </w:rPr>
        <w:t xml:space="preserve">本章之核心命題在於：政策評估階段AI鑲嵌後之核心風險，在於理由鏈之「邏輯瑕疵」與責任鏈之「課責赤字」——若評估模型與規劃、制訂、執行階段共用同一套分類邏輯與資料來源，評估便可能只是在驗證自己原有的假設，形成自我封閉的迴路；若評估結論未經具政治課責之審視即直接導入模型再訓練，回饋即由公共審議悄然轉為自動更新，使得「政策為何被判定為有效或無效」逐漸脫離民主監督的視野。</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傳統RIA</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演算法影響評估AIA</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評估對象</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管制法規草案本身</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資料＋模型＋人機部署流程之完整生命週期</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評估時點</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事前（政策執行前一次性評估）</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設計前、部署前、部署後持續監測</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評估者角色</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行政機關承辦人員與利害關係人諮詢</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獨立審計、演算法稽核者與受影響群體共同參與</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公平判準</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成本效益貨幣化之淨效益</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群體、個人與反事實公平指標並重，承認公平定義本身之衝突須經審議</w:t>
            </w:r>
          </w:p>
        </w:tc>
      </w:tr>
    </w:tbl>
    <w:p>
      <w:pPr>
        <w:spacing w:after="280" w:before="120"/>
        <w:jc w:val="center"/>
      </w:pPr>
      <w:r>
        <w:rPr>
          <w:rFonts w:ascii="微軟正黑體" w:cs="微軟正黑體" w:eastAsia="微軟正黑體" w:hAnsi="微軟正黑體"/>
          <w:i/>
          <w:iCs/>
          <w:color w:val="555555"/>
          <w:sz w:val="18"/>
          <w:szCs w:val="18"/>
        </w:rPr>
        <w:t xml:space="preserve">表14-K　RIA向演算法影響評估（AIA）轉型對照</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AI鑲嵌治理過程中存在三種權力移轉：情境建構權（P1）延伸——評估指標之設計與訓練資料之完整性，決定了哪些政策效果「可被看見」與「可被測量」，若低收入戶、偏鄉或身心障礙者之數位足跡較少，系統便可能系統性低估其政策需求或政策受害情形；行政裁量權（P2）移轉——評估者過去擁有詮釋數據、權衡標準之專業裁量，現在則可能被壓縮為對演算法評估結果之「接受╱覆寫」二選一，當評估模型與規劃、執行階段共用同一分類邏輯時，更可能形成自我驗證迴路；公權力影響力（P3）擴散——當政府以演算法產出之績效指標作為政策存續、預算分配或人員考核之依據時，模型設計者對「什麼算成功」的定義權，便具有等同於政策決定者之實質影響力，卻不必然受到與正式決策相同之課責機制拘束。三種結構性效應中，本章以理由鏈之「邏輯瑕疵」與責任鏈之「課責赤字」最為核心，此一現象亦與邊界消解相關：評估者與被評估者之邊界（政府委託私部門開發評估工具）、政策學習與模型再訓練之邊界，持續模糊化。</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演算法影響評估（AIA）與第五代評估</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將RIA之事前、證據、諮商精神延伸為資料—模型—部署—監測之完整生命週期評估，並以獨立審計與受影響群體參與強化課責</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AIA之公平性指標定義本身仍存在多元競爭觀點（如個人公平vs群體公平），須仰賴審議決定，難有放諸四海皆準之標準</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四鏈七審框架（評估階段應用）</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精準指出評估階段最核心之風險——理由鏈「邏輯瑕疵」（評估模型與規劃執行共用同一分類邏輯，形成自我驗證迴路）與責任鏈「課責赤字」</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實務應用時仍須依個案（如SyRI、荷蘭兒童福利補助案）之技術系統特性調整檢查重點，並非機械式套用</w:t>
            </w:r>
          </w:p>
        </w:tc>
      </w:tr>
    </w:tbl>
    <w:p>
      <w:pPr>
        <w:spacing w:after="280" w:before="120"/>
        <w:jc w:val="center"/>
      </w:pPr>
      <w:r>
        <w:rPr>
          <w:rFonts w:ascii="微軟正黑體" w:cs="微軟正黑體" w:eastAsia="微軟正黑體" w:hAnsi="微軟正黑體"/>
          <w:i/>
          <w:iCs/>
          <w:color w:val="555555"/>
          <w:sz w:val="18"/>
          <w:szCs w:val="18"/>
        </w:rPr>
        <w:t xml:space="preserve">表14-L　AIA與四鏈七審框架之貢獻與限制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工具箱包括：演算法審計（內部、外部、沙盒三層次，檢視資料、模型與部署流程是否符合宣稱之規範標準）、模型卡與資料卡（揭露模型╱資料集之用途限制與倫理考量，作為評估之基礎文件）、公平性指標（差異影響比、混淆矩陣分解、SHAP/LIME、反事實解釋，協助量化演算法對不同群體之差異影響）、數位民意分析（以NLP分析公共政策網路參與平台與Polis拓撲圖，辨識NIMBY與沉默多數）、演算法退場（對應政策終結，指AI系統之日落條款、人工接管與失效安全設計）。</w:t>
      </w:r>
    </w:p>
    <w:p>
      <w:pPr>
        <w:spacing w:after="140" w:before="260"/>
      </w:pPr>
      <w:r>
        <w:rPr>
          <w:rFonts w:ascii="微軟正黑體" w:cs="微軟正黑體" w:eastAsia="微軟正黑體" w:hAnsi="微軟正黑體"/>
          <w:b/>
          <w:bCs/>
          <w:color w:val="2E5C8A"/>
          <w:sz w:val="23"/>
          <w:szCs w:val="23"/>
        </w:rPr>
        <w:t xml:space="preserve">七、臺灣行政實務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26"/>
        <w:gridCol w:w="2600"/>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情境建構鏈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評估指標與訓練資料如何形成，哪些政策效果或受影響群體因資料稀疏而不可見</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資料代表性審計、隱私與資安審計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權威鏈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評估結論之法定效力，是否涵蓋政策調整、終止或重組之實質決定權，或僅供參考</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責任歸屬審計、民主課責審計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評估指標與替代因果模型之邏輯是否公開，是否可向受影響之標的團體說明並受檢驗</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評估結論未經公共審議即導入模型再訓練時，課責是否隨之消失，回饋是否仍可追溯</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表14-M　政策評估階段四鏈七審應用</w:t>
      </w:r>
    </w:p>
    <w:p>
      <w:pPr>
        <w:spacing w:after="200" w:line="360"/>
        <w:ind w:firstLine="431"/>
        <w:jc w:val="both"/>
      </w:pPr>
      <w:r>
        <w:rPr>
          <w:rFonts w:ascii="微軟正黑體" w:cs="微軟正黑體" w:eastAsia="微軟正黑體" w:hAnsi="微軟正黑體"/>
          <w:sz w:val="22"/>
          <w:szCs w:val="22"/>
        </w:rPr>
        <w:t xml:space="preserve">荷蘭SyRI風險評估系統整合稅務、社福、就業、住宅等多個政府資料庫，計算個人福利詐欺風險分數，海牙地方法院於2020年認定其違反隱私權保障，因政府未能清楚說明計算邏輯亦未能證明比例原則，勒令停止使用；荷蘭兒童福利補助詐欺認定案則以雙重國籍等身分背景納入風險判定因子，形成族裔歧視性篩選機制，時任首相呂特率內閣於2021年因本案總辭，成為全球第一起因演算法治理失靈而導致政府垮台之案例。兩案例皆顯示：當評估工具之計算邏輯未經公開、法定授權範圍未涵蓋系統實際角色、受影響者無從申訴檢驗時，理由鏈與責任鏈即同時斷裂，形成本章所稱之課責赤字。</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①RIA向AIA轉型：加拿大AIA工具／歐盟FRIA／美國OMB指引隨政黨輪替改版</w:t>
            </w:r>
          </w:p>
          <w:p>
            <w:pPr>
              <w:spacing w:after="80" w:line="320"/>
            </w:pPr>
            <w:r>
              <w:rPr>
                <w:rFonts w:ascii="微軟正黑體" w:cs="微軟正黑體" w:eastAsia="微軟正黑體" w:hAnsi="微軟正黑體"/>
                <w:sz w:val="21"/>
                <w:szCs w:val="21"/>
              </w:rPr>
              <w:t xml:space="preserve">•　②Guba &amp; Lincoln第四代→第五代演算法評估：持續、可追溯、可爭訟</w:t>
            </w:r>
          </w:p>
          <w:p>
            <w:pPr>
              <w:spacing w:after="80" w:line="320"/>
            </w:pPr>
            <w:r>
              <w:rPr>
                <w:rFonts w:ascii="微軟正黑體" w:cs="微軟正黑體" w:eastAsia="微軟正黑體" w:hAnsi="微軟正黑體"/>
                <w:sz w:val="21"/>
                <w:szCs w:val="21"/>
              </w:rPr>
              <w:t xml:space="preserve">•　③三種權力移轉：P1情境建構權（評估指標與訓練資料延伸）／P2行政裁量權（接受╱覆寫二選一，自我驗證迴路）／P3公權力影響力（模型設計者「什麼算成功」定義權之擴散）</w:t>
            </w:r>
          </w:p>
          <w:p>
            <w:pPr>
              <w:spacing w:after="80" w:line="320"/>
            </w:pPr>
            <w:r>
              <w:rPr>
                <w:rFonts w:ascii="微軟正黑體" w:cs="微軟正黑體" w:eastAsia="微軟正黑體" w:hAnsi="微軟正黑體"/>
                <w:sz w:val="21"/>
                <w:szCs w:val="21"/>
              </w:rPr>
              <w:t xml:space="preserve">•　④理由鏈「邏輯瑕疵」（評估與規劃執行共用同一分類邏輯）與責任鏈「課責赤字」（回饋由公共審議轉為自動更新）</w:t>
            </w:r>
          </w:p>
          <w:p>
            <w:pPr>
              <w:spacing w:after="80" w:line="320"/>
            </w:pPr>
            <w:r>
              <w:rPr>
                <w:rFonts w:ascii="微軟正黑體" w:cs="微軟正黑體" w:eastAsia="微軟正黑體" w:hAnsi="微軟正黑體"/>
                <w:sz w:val="21"/>
                <w:szCs w:val="21"/>
              </w:rPr>
              <w:t xml:space="preserve">•　⑤AI治理工具箱：演算法審計／模型卡與資料卡／公平性指標／數位民意分析／演算法退場</w:t>
            </w:r>
          </w:p>
          <w:p>
            <w:pPr>
              <w:spacing w:after="80" w:line="320"/>
            </w:pPr>
            <w:r>
              <w:rPr>
                <w:rFonts w:ascii="微軟正黑體" w:cs="微軟正黑體" w:eastAsia="微軟正黑體" w:hAnsi="微軟正黑體"/>
                <w:sz w:val="21"/>
                <w:szCs w:val="21"/>
              </w:rPr>
              <w:t xml:space="preserve">•　⑥我國「人工智慧風險分類框架」v1.0（2026年7月，3大類20項子類別）</w:t>
            </w:r>
          </w:p>
          <w:p>
            <w:pPr>
              <w:spacing w:after="0" w:line="320"/>
            </w:pPr>
            <w:r>
              <w:rPr>
                <w:rFonts w:ascii="微軟正黑體" w:cs="微軟正黑體" w:eastAsia="微軟正黑體" w:hAnsi="微軟正黑體"/>
                <w:sz w:val="21"/>
                <w:szCs w:val="21"/>
              </w:rPr>
              <w:t xml:space="preserve">•　⑦四鏈七審於SyRI、荷蘭兒童福利補助詐欺認定案之應用</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RIA→AIA轉型口訣：對（象）、時（點）、角（色）、判（準）——四面向皆從「一次性、事前」轉為「持續性、全生命週期」</w:t>
            </w:r>
          </w:p>
          <w:p>
            <w:pPr>
              <w:spacing w:after="80" w:line="320"/>
            </w:pPr>
            <w:r>
              <w:rPr>
                <w:rFonts w:ascii="微軟正黑體" w:cs="微軟正黑體" w:eastAsia="微軟正黑體" w:hAnsi="微軟正黑體"/>
                <w:sz w:val="21"/>
                <w:szCs w:val="21"/>
              </w:rPr>
              <w:t xml:space="preserve">•　邏輯瑕疵一句話記憶：用同一把尺量自己畫的線，量出來當然「準」——評估模型與規劃執行共用邏輯，等於自己驗證自己</w:t>
            </w:r>
          </w:p>
          <w:p>
            <w:pPr>
              <w:spacing w:after="0" w:line="320"/>
            </w:pPr>
            <w:r>
              <w:rPr>
                <w:rFonts w:ascii="微軟正黑體" w:cs="微軟正黑體" w:eastAsia="微軟正黑體" w:hAnsi="微軟正黑體"/>
                <w:sz w:val="21"/>
                <w:szCs w:val="21"/>
              </w:rPr>
              <w:t xml:space="preserve">•　課責赤字in評估階段記憶：沒人審議就讓模型自己重新訓練自己，回饋從「開會討論」變成「按下更新鍵」</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理由鏈的邏輯瑕疵」（評估模型與政策規劃、制訂、執行共用同一套分類邏輯與資料來源，形成自我驗證迴路）與「責任鏈的課責赤字」（評估結論未經公共審議即導入模型再訓練，回饋由公共審議轉為自動更新）常被考生視為同一件事——本章明確區分：邏輯瑕疵是「評估方法本身可能在驗證自己的假設」（方法論層次），課責赤字是「評估結果之後續處理過程失去民主監督」（治理程序層次），兩者可能同時發生但概念層次不同，作答時應分別扣連。</w:t>
            </w:r>
          </w:p>
          <w:p>
            <w:pPr>
              <w:spacing w:after="0" w:line="320"/>
            </w:pPr>
            <w:r>
              <w:rPr>
                <w:rFonts w:ascii="微軟正黑體" w:cs="微軟正黑體" w:eastAsia="微軟正黑體" w:hAnsi="微軟正黑體"/>
                <w:sz w:val="21"/>
                <w:szCs w:val="21"/>
              </w:rPr>
              <w:t xml:space="preserve">•　「SyRI案」（荷蘭風險評估系統違反隱私權，經法院判決停用）與「荷蘭兒童福利補助詐欺認定案」（演算法族裔歧視性篩選，導致內閣總辭）常被考生混淆其後果嚴重程度與究責層級——前者之課責回應層級是「司法（法院判決）」，後者之課責回應層級是「政治（內閣總辭）」，兩案例分別代表AI課責赤字在司法救濟與政治責任兩種不同回應路徑之極端案例。</w:t>
            </w:r>
          </w:p>
        </w:tc>
      </w:tr>
    </w:tbl>
    <w:p>
      <w:pPr>
        <w:spacing w:after="26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本章語料庫（107-111年）原尚未查得完全對應一般行政類科之申論真題；惟2026年9月新查得112-115年考選部公告試題後，題目一改列115年國軍上校以上軍官轉任公務人員考試（一般行政）真題，題目二改列113年地方特考三等真題，均附「考題出處」標示；題目三仍為依本章母體教材自行設計之模擬命題，附「考題出處（重要說明）」標示。依全書格式定版說明，僅題目一（A級）提供基本得分版、標準版、高分版三種完整答案；題目二（B級）與題目三（C級）改為提供【參考答案·標準版】單一版本，並於【得分關鍵】【常見失分】之後新增【高分加分點】。</w:t>
      </w:r>
    </w:p>
    <w:p>
      <w:pPr>
        <w:spacing w:after="180" w:before="360"/>
      </w:pPr>
      <w:r>
        <w:rPr>
          <w:rFonts w:ascii="微軟正黑體" w:cs="微軟正黑體" w:eastAsia="微軟正黑體" w:hAnsi="微軟正黑體"/>
          <w:b/>
          <w:bCs/>
          <w:color w:val="1F4E79"/>
          <w:sz w:val="26"/>
          <w:szCs w:val="26"/>
        </w:rPr>
        <w:t xml:space="preserve">題目一（A級基本題）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考題出處</w:t>
            </w:r>
          </w:p>
          <w:p>
            <w:pPr>
              <w:spacing w:line="340"/>
              <w:jc w:val="both"/>
            </w:pPr>
            <w:r>
              <w:rPr>
                <w:rFonts w:ascii="微軟正黑體" w:cs="微軟正黑體" w:eastAsia="微軟正黑體" w:hAnsi="微軟正黑體"/>
                <w:sz w:val="21"/>
                <w:szCs w:val="21"/>
              </w:rPr>
              <w:t xml:space="preserve">115年公務人員特種考試關務人員、身心障礙人員考試及115年國軍上校以上軍官轉任公務人員考試（上校轉任考試，一般行政），行政學，申論題第三題（25分）——類科標示一般行政。</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「請問「政策評估」有那些功能可有助於政府政策制定？請舉例說明之。（25分）」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功能列舉＋舉例說明題」，考生須系統性列舉政策評估對政府政策制定具有哪些功能，並輔以具體實例逐一說明——僅籠統稱「評估很重要，能幫助政府做出更好的決策」而未具體展開功能類型，屬於論述空泛。</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政策評估功能 ＋ 課責 ＋ 學習 ＋ 決策 ＋ 正當化。</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一、前言：政策評估不僅是政策循環之終點，更是下一輪循環之起點</w:t>
      </w:r>
    </w:p>
    <w:p>
      <w:pPr>
        <w:pStyle w:val="ListParagraph"/>
        <w:numPr>
          <w:ilvl w:val="0"/>
          <w:numId w:val="2"/>
        </w:numPr>
        <w:spacing w:after="120" w:line="340"/>
      </w:pPr>
      <w:r>
        <w:rPr>
          <w:rFonts w:ascii="微軟正黑體" w:cs="微軟正黑體" w:eastAsia="微軟正黑體" w:hAnsi="微軟正黑體"/>
          <w:sz w:val="22"/>
          <w:szCs w:val="22"/>
        </w:rPr>
        <w:t xml:space="preserve">二、政策評估對政策制定之四項功能，逐一說明並舉例</w:t>
      </w:r>
    </w:p>
    <w:p>
      <w:pPr>
        <w:pStyle w:val="ListParagraph"/>
        <w:numPr>
          <w:ilvl w:val="0"/>
          <w:numId w:val="2"/>
        </w:numPr>
        <w:spacing w:after="120" w:line="340"/>
      </w:pPr>
      <w:r>
        <w:rPr>
          <w:rFonts w:ascii="微軟正黑體" w:cs="微軟正黑體" w:eastAsia="微軟正黑體" w:hAnsi="微軟正黑體"/>
          <w:sz w:val="22"/>
          <w:szCs w:val="22"/>
        </w:rPr>
        <w:t xml:space="preserve">三、三大評估類型在四項功能中扮演之角色</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政策評估對政府政策制定具有多重功能，可歸納為四項：其一，課責功能（Accountability），評估提供政策執行成效之客觀依據，作為民意機關與社會大眾檢視政府施政績效之基礎，例如立法院透過決算審核要求各部會說明政策成效；其二，學習功能（Learning），評估發現之問題與成因可回饋至政策設計與執行過程，例如衛生福利部依長照2.0執行評估結果調整照顧服務給付項目；其三，決策功能（Decision-making），評估結果提供政策應調整、持續、終止或重組之判斷基礎，例如經濟部依產業補助方案成效評估決定是否延續補助；其四，正當化功能（Legitimation），評估結果可作為政府向社會說明政策合理性、爭取延續支持之依據，例如政府以健保財務評估數據向社會說明保費調整之必要性。</w:t>
      </w:r>
    </w:p>
    <w:p>
      <w:pPr>
        <w:spacing w:after="200" w:line="360"/>
        <w:ind w:firstLine="431"/>
        <w:jc w:val="both"/>
      </w:pPr>
      <w:r>
        <w:rPr>
          <w:rFonts w:ascii="微軟正黑體" w:cs="微軟正黑體" w:eastAsia="微軟正黑體" w:hAnsi="微軟正黑體"/>
          <w:sz w:val="22"/>
          <w:szCs w:val="22"/>
        </w:rPr>
        <w:t xml:space="preserve">四項功能相輔相成：課責與正當化功能面向外部（民意、社會），學習與決策功能面向內部（組織、決策者），唯有四項功能同時發揮，政策評估方能真正成為政策制定循環中不可或缺之一環，而非僅止於形式化之報告產出。</w:t>
      </w:r>
    </w:p>
    <w:p>
      <w:pPr>
        <w:spacing w:after="100" w:before="160"/>
      </w:pPr>
      <w:r>
        <w:rPr>
          <w:rFonts w:ascii="微軟正黑體" w:cs="微軟正黑體" w:eastAsia="微軟正黑體" w:hAnsi="微軟正黑體"/>
          <w:b/>
          <w:bCs/>
          <w:color w:val="444444"/>
          <w:sz w:val="21"/>
          <w:szCs w:val="21"/>
        </w:rPr>
        <w:t xml:space="preserve">【參考答案·標準版】（約1,150-1,400字，主要示範答案）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政策評估經常被誤解為政策循環之終點——政策執行完畢後，才進行事後檢討。然而，政策評估之真正價值，在於其對政府政策制定所能發揮之多重功能：它既是對外部之課責與正當化機制，也是對內部之學習與決策依據，唯有掌握此一多功能性，方能理解政策評估何以是政策制定不可或缺之環節。</w:t>
      </w:r>
    </w:p>
    <w:p>
      <w:pPr>
        <w:spacing w:after="200" w:line="360"/>
        <w:ind w:firstLine="431"/>
        <w:jc w:val="both"/>
      </w:pPr>
      <w:r>
        <w:rPr>
          <w:rFonts w:ascii="微軟正黑體" w:cs="微軟正黑體" w:eastAsia="微軟正黑體" w:hAnsi="微軟正黑體"/>
          <w:sz w:val="22"/>
          <w:szCs w:val="22"/>
        </w:rPr>
        <w:t xml:space="preserve">二、政策評估對政策制定之四項功能</w:t>
      </w:r>
    </w:p>
    <w:p>
      <w:pPr>
        <w:spacing w:after="200" w:line="360"/>
        <w:ind w:firstLine="431"/>
        <w:jc w:val="both"/>
      </w:pPr>
      <w:r>
        <w:rPr>
          <w:rFonts w:ascii="微軟正黑體" w:cs="微軟正黑體" w:eastAsia="微軟正黑體" w:hAnsi="微軟正黑體"/>
          <w:sz w:val="22"/>
          <w:szCs w:val="22"/>
        </w:rPr>
        <w:t xml:space="preserve">（一）課責功能（Accountability）：評估提供政策執行成效之客觀證據，作為民意機關、監察機關與社會大眾檢視政府施政績效之基礎，落實民主課責。例如立法院於年度決算審查時，要求各部會提出施政績效報告，說明預算執行與政策目標達成情形，即為評估課責功能之制度化實踐。</w:t>
      </w:r>
    </w:p>
    <w:p>
      <w:pPr>
        <w:spacing w:after="200" w:line="360"/>
        <w:ind w:firstLine="431"/>
        <w:jc w:val="both"/>
      </w:pPr>
      <w:r>
        <w:rPr>
          <w:rFonts w:ascii="微軟正黑體" w:cs="微軟正黑體" w:eastAsia="微軟正黑體" w:hAnsi="微軟正黑體"/>
          <w:sz w:val="22"/>
          <w:szCs w:val="22"/>
        </w:rPr>
        <w:t xml:space="preserve">（二）學習功能（Learning）：評估過程中發現之問題與其成因，可回饋至政策設計、規劃與執行階段，作為組織學習與持續改善之依據，避免同樣的錯誤反覆發生。例如衛生福利部依長照2.0政策執行評估中發現之城鄉照顧資源落差問題，據以調整偏遠地區之服務給付與人力配置設計，即為評估學習功能之具體展現。</w:t>
      </w:r>
    </w:p>
    <w:p>
      <w:pPr>
        <w:spacing w:after="200" w:line="360"/>
        <w:ind w:firstLine="431"/>
        <w:jc w:val="both"/>
      </w:pPr>
      <w:r>
        <w:rPr>
          <w:rFonts w:ascii="微軟正黑體" w:cs="微軟正黑體" w:eastAsia="微軟正黑體" w:hAnsi="微軟正黑體"/>
          <w:sz w:val="22"/>
          <w:szCs w:val="22"/>
        </w:rPr>
        <w:t xml:space="preserve">（三）決策功能（Decision-making）：評估結果提供政策應調整、持續、終止或重組之判斷基礎，直接影響後續資源配置與政策走向之決策。例如經濟部依中小企業紓困方案之成效評估，決定是否延續、擴大或調整補助對象與額度，正是評估決策功能之直接體現。</w:t>
      </w:r>
    </w:p>
    <w:p>
      <w:pPr>
        <w:spacing w:after="200" w:line="360"/>
        <w:ind w:firstLine="431"/>
        <w:jc w:val="both"/>
      </w:pPr>
      <w:r>
        <w:rPr>
          <w:rFonts w:ascii="微軟正黑體" w:cs="微軟正黑體" w:eastAsia="微軟正黑體" w:hAnsi="微軟正黑體"/>
          <w:sz w:val="22"/>
          <w:szCs w:val="22"/>
        </w:rPr>
        <w:t xml:space="preserve">（四）正當化功能（Legitimation）：評估結果可作為政府向社會大眾說明政策合理性、爭取政策延續支持之依據，強化政策之政治正當性。例如政府以健保財務精算與評估數據，向社會大眾說明保費費率調整之必要性與合理性，即為評估正當化功能之實務運用。</w:t>
      </w:r>
    </w:p>
    <w:p>
      <w:pPr>
        <w:spacing w:after="200" w:line="360"/>
        <w:ind w:firstLine="431"/>
        <w:jc w:val="both"/>
      </w:pPr>
      <w:r>
        <w:rPr>
          <w:rFonts w:ascii="微軟正黑體" w:cs="微軟正黑體" w:eastAsia="微軟正黑體" w:hAnsi="微軟正黑體"/>
          <w:sz w:val="22"/>
          <w:szCs w:val="22"/>
        </w:rPr>
        <w:t xml:space="preserve">三、三大評估類型在四項功能中扮演之角色</w:t>
      </w:r>
    </w:p>
    <w:p>
      <w:pPr>
        <w:spacing w:after="200" w:line="360"/>
        <w:ind w:firstLine="431"/>
        <w:jc w:val="both"/>
      </w:pPr>
      <w:r>
        <w:rPr>
          <w:rFonts w:ascii="微軟正黑體" w:cs="微軟正黑體" w:eastAsia="微軟正黑體" w:hAnsi="微軟正黑體"/>
          <w:sz w:val="22"/>
          <w:szCs w:val="22"/>
        </w:rPr>
        <w:t xml:space="preserve">上述四項功能之發揮，仰賴不同時機之評估類型相互配合：預評估（政策執行前，聚焦可行性）主要服務於決策功能，協助政府於政策上路前即判斷是否值得投入資源；過程評估（政策執行中，聚焦是否依計畫執行）主要服務於學習功能，即時發現執行落差並回饋調整；結果評估（政策執行後，聚焦產出與影響）則同時服務於課責功能（向外說明成效）與正當化功能（爭取延續支持），是社會大眾與民意機關最常接觸之評估類型。</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政策評估對政府政策制定所發揮之課責、學習、決策、正當化四項功能，分別對應對外之課責與正當化、對內之學習與決策，並仰賴預評估、過程評估、結果評估等不同時機之評估工具相互配合方能完整發揮。唯有掌握此一多功能性，政策評估方能真正嵌入政策制定循環，而非淪為政策執行完畢後之形式化報告產出。</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補充理論深化：可進一步引入Raiffa四類型決策錯誤，說明評估之「學習功能」若未能於過程評估階段重新檢視問題認定，即可能陷入「以正確方法解決錯誤問題」之第三類型錯誤，使學習功能徒具形式。</w:t>
      </w:r>
    </w:p>
    <w:p>
      <w:pPr>
        <w:pStyle w:val="ListParagraph"/>
        <w:numPr>
          <w:ilvl w:val="0"/>
          <w:numId w:val="2"/>
        </w:numPr>
        <w:spacing w:after="120" w:line="340"/>
      </w:pPr>
      <w:r>
        <w:rPr>
          <w:rFonts w:ascii="微軟正黑體" w:cs="微軟正黑體" w:eastAsia="微軟正黑體" w:hAnsi="微軟正黑體"/>
          <w:sz w:val="22"/>
          <w:szCs w:val="22"/>
        </w:rPr>
        <w:t xml:space="preserve">補充當代批判：可指出實務上「正當化功能」有時可能異化為「工具化評估」——政府僅選擇性引用有利於既定政策立場之評估數據，反而架空了評估原本應有之課責與學習功能，此為評估獨立性與資訊公開之重要性所在。</w:t>
      </w:r>
    </w:p>
    <w:p>
      <w:pPr>
        <w:pStyle w:val="ListParagraph"/>
        <w:numPr>
          <w:ilvl w:val="0"/>
          <w:numId w:val="2"/>
        </w:numPr>
        <w:spacing w:after="120" w:line="340"/>
      </w:pPr>
      <w:r>
        <w:rPr>
          <w:rFonts w:ascii="微軟正黑體" w:cs="微軟正黑體" w:eastAsia="微軟正黑體" w:hAnsi="微軟正黑體"/>
          <w:sz w:val="22"/>
          <w:szCs w:val="22"/>
        </w:rPr>
        <w:t xml:space="preserve">補充AI治理視角：可具體指出，AI輔助之政策評估工具（如自動化數據分析、預測模型）雖可大幅提升決策功能之時效性，但若評估邏輯之權重設定未經公開說明，亦可能削弱評估之正當化功能——民眾難以信任一個自己看不懂邏輯的「客觀」評估結果。</w:t>
      </w:r>
    </w:p>
    <w:p>
      <w:pPr>
        <w:pStyle w:val="ListParagraph"/>
        <w:numPr>
          <w:ilvl w:val="0"/>
          <w:numId w:val="2"/>
        </w:numPr>
        <w:spacing w:after="120" w:line="340"/>
      </w:pPr>
      <w:r>
        <w:rPr>
          <w:rFonts w:ascii="微軟正黑體" w:cs="微軟正黑體" w:eastAsia="微軟正黑體" w:hAnsi="微軟正黑體"/>
          <w:sz w:val="22"/>
          <w:szCs w:val="22"/>
        </w:rPr>
        <w:t xml:space="preserve">補充臺灣行政實務：我國各部會之施政計畫績效評核制度，即嘗試同時整合課責（向立法院負責）、學習（跨年度滾動修正KPI）、決策（作為下年度預算編列依據）與正當化（對外公開績效報告）四項功能於單一制度架構之中。</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須系統性列舉政策評估之功能（建議以課責、學習、決策、正當化四項功能架構作答），不可僅籠統稱「評估可以幫助政府做決策」。</w:t>
      </w:r>
    </w:p>
    <w:p>
      <w:pPr>
        <w:pStyle w:val="ListParagraph"/>
        <w:numPr>
          <w:ilvl w:val="0"/>
          <w:numId w:val="2"/>
        </w:numPr>
        <w:spacing w:after="120" w:line="340"/>
      </w:pPr>
      <w:r>
        <w:rPr>
          <w:rFonts w:ascii="微軟正黑體" w:cs="微軟正黑體" w:eastAsia="微軟正黑體" w:hAnsi="微軟正黑體"/>
          <w:sz w:val="22"/>
          <w:szCs w:val="22"/>
        </w:rPr>
        <w:t xml:space="preserve">每項功能須輔以具體實例說明，不可僅停留於抽象定義羅列。</w:t>
      </w:r>
    </w:p>
    <w:p>
      <w:pPr>
        <w:pStyle w:val="ListParagraph"/>
        <w:numPr>
          <w:ilvl w:val="0"/>
          <w:numId w:val="2"/>
        </w:numPr>
        <w:spacing w:after="120" w:line="340"/>
      </w:pPr>
      <w:r>
        <w:rPr>
          <w:rFonts w:ascii="微軟正黑體" w:cs="微軟正黑體" w:eastAsia="微軟正黑體" w:hAnsi="微軟正黑體"/>
          <w:sz w:val="22"/>
          <w:szCs w:val="22"/>
        </w:rPr>
        <w:t xml:space="preserve">若能進一步說明三大評估類型（預評估／過程評估／結果評估）分別服務於何種功能，可展現理論架構之完整掌握，是本題拉開分數差距之關鍵。</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僅籠統稱「評估很重要，能幫助政府做出更好的決策」，未具體展開功能類型。</w:t>
      </w:r>
    </w:p>
    <w:p>
      <w:pPr>
        <w:pStyle w:val="ListParagraph"/>
        <w:numPr>
          <w:ilvl w:val="0"/>
          <w:numId w:val="2"/>
        </w:numPr>
        <w:spacing w:after="120" w:line="340"/>
      </w:pPr>
      <w:r>
        <w:rPr>
          <w:rFonts w:ascii="微軟正黑體" w:cs="微軟正黑體" w:eastAsia="微軟正黑體" w:hAnsi="微軟正黑體"/>
          <w:sz w:val="22"/>
          <w:szCs w:val="22"/>
        </w:rPr>
        <w:t xml:space="preserve">❌ 四項功能僅列出名稱，未輔以具體實例說明，流於抽象背誦。</w:t>
      </w:r>
    </w:p>
    <w:p>
      <w:pPr>
        <w:pStyle w:val="ListParagraph"/>
        <w:numPr>
          <w:ilvl w:val="0"/>
          <w:numId w:val="2"/>
        </w:numPr>
        <w:spacing w:after="120" w:line="340"/>
      </w:pPr>
      <w:r>
        <w:rPr>
          <w:rFonts w:ascii="微軟正黑體" w:cs="微軟正黑體" w:eastAsia="微軟正黑體" w:hAnsi="微軟正黑體"/>
          <w:sz w:val="22"/>
          <w:szCs w:val="22"/>
        </w:rPr>
        <w:t xml:space="preserve">❌ 未區辨評估功能之「對外」（課責、正當化）與「對內」（學習、決策）兩種面向，僅平行羅列四項功能而無結構性理解。</w:t>
      </w:r>
    </w:p>
    <w:p>
      <w:pPr>
        <w:spacing w:after="220"/>
      </w:pPr>
    </w:p>
    <w:p>
      <w:pPr>
        <w:spacing w:after="180" w:before="360"/>
      </w:pPr>
      <w:r>
        <w:rPr>
          <w:rFonts w:ascii="微軟正黑體" w:cs="微軟正黑體" w:eastAsia="微軟正黑體" w:hAnsi="微軟正黑體"/>
          <w:b/>
          <w:bCs/>
          <w:color w:val="1F4E79"/>
          <w:sz w:val="26"/>
          <w:szCs w:val="26"/>
        </w:rPr>
        <w:t xml:space="preserve">題目二（B級申論題·113年地方特考三等）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考題出處</w:t>
            </w:r>
          </w:p>
          <w:p>
            <w:pPr>
              <w:spacing w:line="340"/>
              <w:jc w:val="both"/>
            </w:pPr>
            <w:r>
              <w:rPr>
                <w:rFonts w:ascii="微軟正黑體" w:cs="微軟正黑體" w:eastAsia="微軟正黑體" w:hAnsi="微軟正黑體"/>
                <w:sz w:val="21"/>
                <w:szCs w:val="21"/>
              </w:rPr>
              <w:t xml:space="preserve">113年特種考試地方政府公務人員及離島地區公務人員考試三等考試（一般行政、一般民政、原住民族行政、人事行政、法律廉政），行政學，申論題第二題（25分）——完全符合一般行政類科、三等（相當高考三級）目標等別。</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「何謂斷續均衡理論（punctuated equilibrium theory）？請闡釋斷續均衡理論如何解釋為何會發生政策變遷。（25分）」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理論定義＋因果解釋題」，考生須依序完成：界定斷續均衡理論之核心主張、說明其解釋政策變遷之具體機制、佐以政策案例印證——僅列出理論名稱英譯而未說明「長期穩定、偶爾劇變」之雙軌動態，或未具體說明打破政策獨佔之機制，均屬論述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政策獨佔（policy monopoly） ＋ 正向回饋 ＋ 議題重新框架（reframing） ＋ 焦點事件 ＋ 外部政治力量介入 ＋ 長期穩定與偶爾劇變之雙軌動態。</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一、前言：政策變遷理論之光譜定位</w:t>
      </w:r>
    </w:p>
    <w:p>
      <w:pPr>
        <w:pStyle w:val="ListParagraph"/>
        <w:numPr>
          <w:ilvl w:val="0"/>
          <w:numId w:val="2"/>
        </w:numPr>
        <w:spacing w:after="120" w:line="340"/>
      </w:pPr>
      <w:r>
        <w:rPr>
          <w:rFonts w:ascii="微軟正黑體" w:cs="微軟正黑體" w:eastAsia="微軟正黑體" w:hAnsi="微軟正黑體"/>
          <w:sz w:val="22"/>
          <w:szCs w:val="22"/>
        </w:rPr>
        <w:t xml:space="preserve">二、斷續均衡理論之核心內涵：政策獨佔與正向回饋</w:t>
      </w:r>
    </w:p>
    <w:p>
      <w:pPr>
        <w:pStyle w:val="ListParagraph"/>
        <w:numPr>
          <w:ilvl w:val="0"/>
          <w:numId w:val="2"/>
        </w:numPr>
        <w:spacing w:after="120" w:line="340"/>
      </w:pPr>
      <w:r>
        <w:rPr>
          <w:rFonts w:ascii="微軟正黑體" w:cs="微軟正黑體" w:eastAsia="微軟正黑體" w:hAnsi="微軟正黑體"/>
          <w:sz w:val="22"/>
          <w:szCs w:val="22"/>
        </w:rPr>
        <w:t xml:space="preserve">三、政策變遷之發生機制：三項打破政策獨佔之途徑</w:t>
      </w:r>
    </w:p>
    <w:p>
      <w:pPr>
        <w:pStyle w:val="ListParagraph"/>
        <w:numPr>
          <w:ilvl w:val="0"/>
          <w:numId w:val="2"/>
        </w:numPr>
        <w:spacing w:after="120" w:line="340"/>
      </w:pPr>
      <w:r>
        <w:rPr>
          <w:rFonts w:ascii="微軟正黑體" w:cs="微軟正黑體" w:eastAsia="微軟正黑體" w:hAnsi="微軟正黑體"/>
          <w:sz w:val="22"/>
          <w:szCs w:val="22"/>
        </w:rPr>
        <w:t xml:space="preserve">四、臺灣實務印證：以2014年頂新混油案為例</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【參考答案·標準版】（約1,150字）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公共政策之變遷模式，向來存在「漸進主義」與「劇烈變遷」兩種對立觀察，Baumgartner與Jones（1993）提出之斷續均衡理論（Punctuated Equilibrium Theory, PET），正是嘗試調和此一對立、同時解釋「政策為何多數時候僅緩步微調，卻也偶有天翻地覆式改革」之整合性理論架構。</w:t>
      </w:r>
    </w:p>
    <w:p>
      <w:pPr>
        <w:spacing w:after="200" w:line="360"/>
        <w:ind w:firstLine="431"/>
        <w:jc w:val="both"/>
      </w:pPr>
      <w:r>
        <w:rPr>
          <w:rFonts w:ascii="微軟正黑體" w:cs="微軟正黑體" w:eastAsia="微軟正黑體" w:hAnsi="微軟正黑體"/>
          <w:sz w:val="22"/>
          <w:szCs w:val="22"/>
        </w:rPr>
        <w:t xml:space="preserve">二、斷續均衡理論之核心內涵：政策獨佔與正向回饋</w:t>
      </w:r>
    </w:p>
    <w:p>
      <w:pPr>
        <w:spacing w:after="200" w:line="360"/>
        <w:ind w:firstLine="431"/>
        <w:jc w:val="both"/>
      </w:pPr>
      <w:r>
        <w:rPr>
          <w:rFonts w:ascii="微軟正黑體" w:cs="微軟正黑體" w:eastAsia="微軟正黑體" w:hAnsi="微軟正黑體"/>
          <w:sz w:val="22"/>
          <w:szCs w:val="22"/>
        </w:rPr>
        <w:t xml:space="preserve">PET主張政策體系呈現「長期穩定、偶爾劇變」之雙軌動態：多數時間，特定政策次系統由少數行動者（如主管機關、核心利益團體、專業社群）掌握議程設定權，形成「政策獨佔」（policy monopoly），並透過正向回饋機制（既有政策形象與制度安排不斷自我強化、排除異議框架）鞏固現狀，此階段政策僅產生漸進式微調，如同傳統漸進主義所描述。</w:t>
      </w:r>
    </w:p>
    <w:p>
      <w:pPr>
        <w:spacing w:after="200" w:line="360"/>
        <w:ind w:firstLine="431"/>
        <w:jc w:val="both"/>
      </w:pPr>
      <w:r>
        <w:rPr>
          <w:rFonts w:ascii="微軟正黑體" w:cs="微軟正黑體" w:eastAsia="微軟正黑體" w:hAnsi="微軟正黑體"/>
          <w:sz w:val="22"/>
          <w:szCs w:val="22"/>
        </w:rPr>
        <w:t xml:space="preserve">三、政策變遷之發生機制：三項打破政策獨佔之途徑</w:t>
      </w:r>
    </w:p>
    <w:p>
      <w:pPr>
        <w:spacing w:after="200" w:line="360"/>
        <w:ind w:firstLine="431"/>
        <w:jc w:val="both"/>
      </w:pPr>
      <w:r>
        <w:rPr>
          <w:rFonts w:ascii="微軟正黑體" w:cs="微軟正黑體" w:eastAsia="微軟正黑體" w:hAnsi="微軟正黑體"/>
          <w:sz w:val="22"/>
          <w:szCs w:val="22"/>
        </w:rPr>
        <w:t xml:space="preserve">然而政策獨佔並非恆常不變，當出現以下情形，原有正向回饋便可能轉為負向回饋，引發急遽、非連續性之劇烈變遷（斷裂）：其一，議題重新框架（reframing），行動者成功將議題自原有之技術性、專業性框架，轉換為涉及公眾切身利益之新框架，使原先被排除在外之行動者得以進場；其二，重大焦點事件（focusing event），如重大意外、弊案爆發、媒體大幅報導，瞬間提高議題之政治顯著性，迫使原本壟斷議程之行動者無法迴避；其三，次系統外部之政治力量介入，如政黨輪替、國會改組、社會運動施壓，自外部打破原有政策獨佔之制度性保護，引入新的價值與行動者。三者往往非單獨作用，而是相互強化，共同促成政策由穩定邁向斷裂。</w:t>
      </w:r>
    </w:p>
    <w:p>
      <w:pPr>
        <w:spacing w:after="200" w:line="360"/>
        <w:ind w:firstLine="431"/>
        <w:jc w:val="both"/>
      </w:pPr>
      <w:r>
        <w:rPr>
          <w:rFonts w:ascii="微軟正黑體" w:cs="微軟正黑體" w:eastAsia="微軟正黑體" w:hAnsi="微軟正黑體"/>
          <w:sz w:val="22"/>
          <w:szCs w:val="22"/>
        </w:rPr>
        <w:t xml:space="preserve">四、臺灣實務印證：以2014年頂新混油案為例</w:t>
      </w:r>
    </w:p>
    <w:p>
      <w:pPr>
        <w:spacing w:after="200" w:line="360"/>
        <w:ind w:firstLine="431"/>
        <w:jc w:val="both"/>
      </w:pPr>
      <w:r>
        <w:rPr>
          <w:rFonts w:ascii="微軟正黑體" w:cs="微軟正黑體" w:eastAsia="微軟正黑體" w:hAnsi="微軟正黑體"/>
          <w:sz w:val="22"/>
          <w:szCs w:val="22"/>
        </w:rPr>
        <w:t xml:space="preserve">以2014年臺灣「頂新混油案」（強冠劣質油品混充食用油事件）為例，長期以來，食品衛生管理政策由主管機關與食品業者形成相對穩定之政策獨佔，管制標準與稽查頻率僅緩步微調；然混油案爆發後，經媒體密集報導形成重大焦點事件，議題迅速自「個別廠商違規」重新框架為「政府食安治理系統性失靈」，加以社會輿論與立法院之外部政治壓力介入，三項機制同時發生，促使食品安全衛生管理法於短期內歷經重大修法（大幅提高罰則、增訂食安基金、強化溯源管理），此一「長期穩定後之急遽劇變」，正是PET雙軌動態之典型印證。</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斷續均衡理論以「政策獨佔／正向回饋」解釋政策何以長期穩定，並以「重新框架、焦點事件、外部政治力量介入」三項機制解釋政策何以偶爾發生劇烈斷裂，補足傳統漸進主義僅能解釋穩定階段之侷限，為理解政策變遷提供兼顧「連續」與「斷裂」雙重面向之整合性分析架構。</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須清楚說明「政策獨佔」與「正向回饋」兩概念如何共同解釋政策之「長期穩定」，此為理論之第一層核心。</w:t>
      </w:r>
    </w:p>
    <w:p>
      <w:pPr>
        <w:pStyle w:val="ListParagraph"/>
        <w:numPr>
          <w:ilvl w:val="0"/>
          <w:numId w:val="2"/>
        </w:numPr>
        <w:spacing w:after="120" w:line="340"/>
      </w:pPr>
      <w:r>
        <w:rPr>
          <w:rFonts w:ascii="微軟正黑體" w:cs="微軟正黑體" w:eastAsia="微軟正黑體" w:hAnsi="微軟正黑體"/>
          <w:sz w:val="22"/>
          <w:szCs w:val="22"/>
        </w:rPr>
        <w:t xml:space="preserve">三項打破政策獨佔之機制（重新框架、焦點事件、外部政治力量介入）須逐一具體說明，不可僅列名詞。</w:t>
      </w:r>
    </w:p>
    <w:p>
      <w:pPr>
        <w:pStyle w:val="ListParagraph"/>
        <w:numPr>
          <w:ilvl w:val="0"/>
          <w:numId w:val="2"/>
        </w:numPr>
        <w:spacing w:after="120" w:line="340"/>
      </w:pPr>
      <w:r>
        <w:rPr>
          <w:rFonts w:ascii="微軟正黑體" w:cs="微軟正黑體" w:eastAsia="微軟正黑體" w:hAnsi="微軟正黑體"/>
          <w:sz w:val="22"/>
          <w:szCs w:val="22"/>
        </w:rPr>
        <w:t xml:space="preserve">須以具體政策案例印證「長期穩定→劇烈斷裂」之雙軌動態，抽象論述而無案例佐證難獲高分。</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僅描述政策變遷之結果（政策改變了），未說明PET理論本身「長期穩定＋偶爾斷裂」之雙軌動態核心主張。</w:t>
      </w:r>
    </w:p>
    <w:p>
      <w:pPr>
        <w:pStyle w:val="ListParagraph"/>
        <w:numPr>
          <w:ilvl w:val="0"/>
          <w:numId w:val="2"/>
        </w:numPr>
        <w:spacing w:after="120" w:line="340"/>
      </w:pPr>
      <w:r>
        <w:rPr>
          <w:rFonts w:ascii="微軟正黑體" w:cs="微軟正黑體" w:eastAsia="微軟正黑體" w:hAnsi="微軟正黑體"/>
          <w:sz w:val="22"/>
          <w:szCs w:val="22"/>
        </w:rPr>
        <w:t xml:space="preserve">❌ 將PET與漸進主義、垃圾桶模式或MSF混淆，未能點出PET之獨特理論定位（解釋變遷前的穩定狀態為何被打破）。</w:t>
      </w:r>
    </w:p>
    <w:p>
      <w:pPr>
        <w:pStyle w:val="ListParagraph"/>
        <w:numPr>
          <w:ilvl w:val="0"/>
          <w:numId w:val="2"/>
        </w:numPr>
        <w:spacing w:after="120" w:line="340"/>
      </w:pPr>
      <w:r>
        <w:rPr>
          <w:rFonts w:ascii="微軟正黑體" w:cs="微軟正黑體" w:eastAsia="微軟正黑體" w:hAnsi="微軟正黑體"/>
          <w:sz w:val="22"/>
          <w:szCs w:val="22"/>
        </w:rPr>
        <w:t xml:space="preserve">❌ 案例僅止於敘述事件經過，未扣回政策獨佔、正向回饋、重新框架等理論概念逐一分析。</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可補充PET與MSF之比較：MSF之分析起點是「議程設定」，強調問題流、政策流、政治流三流匯合之偶然時機；PET之分析起點則是「既有政策獨佔如何被打破」，明確區分變遷前後兩種狀態，二者可互補而非互斥。</w:t>
      </w:r>
    </w:p>
    <w:p>
      <w:pPr>
        <w:pStyle w:val="ListParagraph"/>
        <w:numPr>
          <w:ilvl w:val="0"/>
          <w:numId w:val="2"/>
        </w:numPr>
        <w:spacing w:after="120" w:line="340"/>
      </w:pPr>
      <w:r>
        <w:rPr>
          <w:rFonts w:ascii="微軟正黑體" w:cs="微軟正黑體" w:eastAsia="微軟正黑體" w:hAnsi="微軟正黑體"/>
          <w:sz w:val="22"/>
          <w:szCs w:val="22"/>
        </w:rPr>
        <w:t xml:space="preserve">可補充PET與倡議聯盟架構（ACF）之理論連結：ACF所描述之長期聯盟對立本身，可視為政策獨佔之另一種樣態，當某一聯盟長期壓制另一聯盟之政策核心信念即形成穩定期，聯盟力量消長導致核心信念轉變則對應PET之斷裂階段。</w:t>
      </w:r>
    </w:p>
    <w:p>
      <w:pPr>
        <w:pStyle w:val="ListParagraph"/>
        <w:numPr>
          <w:ilvl w:val="0"/>
          <w:numId w:val="2"/>
        </w:numPr>
        <w:spacing w:after="120" w:line="340"/>
      </w:pPr>
      <w:r>
        <w:rPr>
          <w:rFonts w:ascii="微軟正黑體" w:cs="微軟正黑體" w:eastAsia="微軟正黑體" w:hAnsi="微軟正黑體"/>
          <w:sz w:val="22"/>
          <w:szCs w:val="22"/>
        </w:rPr>
        <w:t xml:space="preserve">可補充對PET之批判：PET雖能解釋政策變遷「為何」發生劇烈斷裂，但對「何時」發生斷裂之預測力較弱，此為理論限制。</w:t>
      </w:r>
    </w:p>
    <w:p>
      <w:pPr>
        <w:pStyle w:val="ListParagraph"/>
        <w:numPr>
          <w:ilvl w:val="0"/>
          <w:numId w:val="2"/>
        </w:numPr>
        <w:spacing w:after="120" w:line="340"/>
      </w:pPr>
      <w:r>
        <w:rPr>
          <w:rFonts w:ascii="微軟正黑體" w:cs="微軟正黑體" w:eastAsia="微軟正黑體" w:hAnsi="微軟正黑體"/>
          <w:sz w:val="22"/>
          <w:szCs w:val="22"/>
        </w:rPr>
        <w:t xml:space="preserve">可補充我國同婚合法化（司法院釋字第748號解釋施行法，2019年）作為另一印證案例：長期由保守價值主導之婚姻政策獨佔，經釋憲（焦點事件／外部政治力量介入）與同志人權運動之議題重新框架，促成政策劇烈斷裂，展現案例援引之廣度。</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五節母體教材「AI鑲嵌下的政策評估：從RIA到演算法影響評估與課責赤字」自行設計之模擬命題。本語料庫（107-111年）中，本章尚未查得與AI鑲嵌政策評估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當政府之政策評估模型與政策規劃、制訂、執行階段共用同一套分類邏輯與資料來源時，請說明此一現象如何導致理由鏈之『邏輯瑕疵』與責任鏈之『課責赤字』？並運用『四鏈七審』框架，設計一套防止評估淪為『自我驗證迴路』之監測機制。（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現象分析＋概念應用＋制度設計題」，考生須依序完成：說明評估模型與前階段共用分類邏輯如何導致邏輯瑕疵與課責赤字、運用四鏈七審框架逐一分析、提出具體監測機制設計——僅泛稱「評估模型有風險」而未扣連「自我驗證迴路」此一核心現象，或監測機制設計未能對應四鏈，屬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評估模型共用分類邏輯 ＋ 理由鏈邏輯瑕疵 ＋ 責任鏈課責赤字 ＋ 自我驗證迴路 ＋ 四鏈七審監測機制設計。</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一、前言：政策評估作為政策循環閉環之最後防線</w:t>
      </w:r>
    </w:p>
    <w:p>
      <w:pPr>
        <w:pStyle w:val="ListParagraph"/>
        <w:numPr>
          <w:ilvl w:val="0"/>
          <w:numId w:val="2"/>
        </w:numPr>
        <w:spacing w:after="120" w:line="340"/>
      </w:pPr>
      <w:r>
        <w:rPr>
          <w:rFonts w:ascii="微軟正黑體" w:cs="微軟正黑體" w:eastAsia="微軟正黑體" w:hAnsi="微軟正黑體"/>
          <w:sz w:val="22"/>
          <w:szCs w:val="22"/>
        </w:rPr>
        <w:t xml:space="preserve">二、自我驗證迴路：邏輯瑕疵之現象與成因</w:t>
      </w:r>
    </w:p>
    <w:p>
      <w:pPr>
        <w:pStyle w:val="ListParagraph"/>
        <w:numPr>
          <w:ilvl w:val="0"/>
          <w:numId w:val="2"/>
        </w:numPr>
        <w:spacing w:after="120" w:line="340"/>
      </w:pPr>
      <w:r>
        <w:rPr>
          <w:rFonts w:ascii="微軟正黑體" w:cs="微軟正黑體" w:eastAsia="微軟正黑體" w:hAnsi="微軟正黑體"/>
          <w:sz w:val="22"/>
          <w:szCs w:val="22"/>
        </w:rPr>
        <w:t xml:space="preserve">三、責任鏈課責赤字：從公共審議到自動更新</w:t>
      </w:r>
    </w:p>
    <w:p>
      <w:pPr>
        <w:pStyle w:val="ListParagraph"/>
        <w:numPr>
          <w:ilvl w:val="0"/>
          <w:numId w:val="2"/>
        </w:numPr>
        <w:spacing w:after="120" w:line="340"/>
      </w:pPr>
      <w:r>
        <w:rPr>
          <w:rFonts w:ascii="微軟正黑體" w:cs="微軟正黑體" w:eastAsia="微軟正黑體" w:hAnsi="微軟正黑體"/>
          <w:sz w:val="22"/>
          <w:szCs w:val="22"/>
        </w:rPr>
        <w:t xml:space="preserve">四、以四鏈七審框架設計監測機制</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政策評估與回饋是政策循環的終點，亦是下一輪循環的起點：評估結果導向政策調整、持續、終止或重組，而回饋本身如何被治理——是經公共審議後的政策學習，還是直接由模型再訓練取代——正是本題所欲探討之核心。若政策評估模型與規劃、制訂、執行階段共用同一套分類邏輯與資料來源，政策體系層自問題認定至評估回饋之完整閉環，便可能異化為自我封閉、無法自我修正之迴路。</w:t>
      </w:r>
    </w:p>
    <w:p>
      <w:pPr>
        <w:spacing w:after="200" w:line="360"/>
        <w:ind w:firstLine="431"/>
        <w:jc w:val="both"/>
      </w:pPr>
      <w:r>
        <w:rPr>
          <w:rFonts w:ascii="微軟正黑體" w:cs="微軟正黑體" w:eastAsia="微軟正黑體" w:hAnsi="微軟正黑體"/>
          <w:sz w:val="22"/>
          <w:szCs w:val="22"/>
        </w:rPr>
        <w:t xml:space="preserve">二、自我驗證迴路：邏輯瑕疵之現象與成因</w:t>
      </w:r>
    </w:p>
    <w:p>
      <w:pPr>
        <w:spacing w:after="200" w:line="360"/>
        <w:ind w:firstLine="431"/>
        <w:jc w:val="both"/>
      </w:pPr>
      <w:r>
        <w:rPr>
          <w:rFonts w:ascii="微軟正黑體" w:cs="微軟正黑體" w:eastAsia="微軟正黑體" w:hAnsi="微軟正黑體"/>
          <w:sz w:val="22"/>
          <w:szCs w:val="22"/>
        </w:rPr>
        <w:t xml:space="preserve">理由鏈之「邏輯瑕疵」，指評估指標與替代因果模型之邏輯若與政策規劃、制訂、執行階段共用同一套分類邏輯，評估便可能只是在驗證自己原有的假設：舉例而言，若政策規劃階段以某一風險模型界定標的群體，執行階段依循同一模型配置資源，評估階段又以同一模型之預測結果作為衡量政策成效之基準，則評估結論勢必傾向證實原有模型之正確性，而非提供獨立、外部之檢驗——此即「自我驗證迴路」：整個政策循環的每一階段都在用同一副眼鏡看世界，評估自然驗證了規劃者原本就相信的事。</w:t>
      </w:r>
    </w:p>
    <w:p>
      <w:pPr>
        <w:spacing w:after="200" w:line="360"/>
        <w:ind w:firstLine="431"/>
        <w:jc w:val="both"/>
      </w:pPr>
      <w:r>
        <w:rPr>
          <w:rFonts w:ascii="微軟正黑體" w:cs="微軟正黑體" w:eastAsia="微軟正黑體" w:hAnsi="微軟正黑體"/>
          <w:sz w:val="22"/>
          <w:szCs w:val="22"/>
        </w:rPr>
        <w:t xml:space="preserve">三、責任鏈課責赤字：從公共審議到自動更新</w:t>
      </w:r>
    </w:p>
    <w:p>
      <w:pPr>
        <w:spacing w:after="200" w:line="360"/>
        <w:ind w:firstLine="431"/>
        <w:jc w:val="both"/>
      </w:pPr>
      <w:r>
        <w:rPr>
          <w:rFonts w:ascii="微軟正黑體" w:cs="微軟正黑體" w:eastAsia="微軟正黑體" w:hAnsi="微軟正黑體"/>
          <w:sz w:val="22"/>
          <w:szCs w:val="22"/>
        </w:rPr>
        <w:t xml:space="preserve">責任鏈之「課責赤字」，則發生於評估結論之後續處理過程：若評估結論未經具政治課責之審視（如國會、公民團體、獨立審計之公開檢視）即直接導入模型再訓練，回饋機制便由公共審議悄然轉為自動更新——當政府以演算法產出之績效指標作為政策存續、預算分配或人員考核之依據時，模型設計者對「什麼算成功」的定義權，便具有等同於政策決定者之實質影響力，卻不必然受到與正式決策相同之課責機制拘束，使得「政策為何被判定為有效或無效」逐漸脫離民主監督的視野。</w:t>
      </w:r>
    </w:p>
    <w:p>
      <w:pPr>
        <w:spacing w:after="200" w:line="360"/>
        <w:ind w:firstLine="431"/>
        <w:jc w:val="both"/>
      </w:pPr>
      <w:r>
        <w:rPr>
          <w:rFonts w:ascii="微軟正黑體" w:cs="微軟正黑體" w:eastAsia="微軟正黑體" w:hAnsi="微軟正黑體"/>
          <w:sz w:val="22"/>
          <w:szCs w:val="22"/>
        </w:rPr>
        <w:t xml:space="preserve">四、以四鏈七審框架設計監測機制</w:t>
      </w:r>
    </w:p>
    <w:p>
      <w:pPr>
        <w:spacing w:after="200" w:line="360"/>
        <w:ind w:firstLine="431"/>
        <w:jc w:val="both"/>
      </w:pPr>
      <w:r>
        <w:rPr>
          <w:rFonts w:ascii="微軟正黑體" w:cs="微軟正黑體" w:eastAsia="微軟正黑體" w:hAnsi="微軟正黑體"/>
          <w:sz w:val="22"/>
          <w:szCs w:val="22"/>
        </w:rPr>
        <w:t xml:space="preserve">因應上述風險，可運用四鏈七審框架設計監測機制：其一，情境建構鏈，應強制要求評估階段之訓練資料與分類邏輯，須與規劃、制訂、執行階段之資料來源進行「來源獨立性」標示與交叉驗證，避免全流程共用單一資料源，並施以資料代表性審計；其二，權威鏈，應明確規範評估結論之法定效力範圍（是否具強制之政策調整、終止或重組效力，抑或僅供參考），並施以民主課責審計，確保法定授權範圍與系統實際角色相符；其三，理由鏈，應要求評估模型與替代因果模型之邏輯必須公開，並定期由獨立於原政策規劃團隊之第三方（如外部學者、審計機關）進行邏輯審查，避免陷入自我驗證迴路，施以理由說明審計與裁量邊界審計；其四，責任鏈，應明訂評估結論若涉及模型再訓練，須經具政治課責之正式審議程序（如提報立法機關或設置獨立監督委員會）方得啟動，不得由技術部門逕行自動更新，施以責任歸屬審計與組織能力審計。</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政策評估的正當性，不在於指標算得多精確、報告寫得多漂亮，而在於當評估結論與人民的真實感受出現落差時，是否仍有管道讓這個落差被看見、被追問、被修正；四鏈七審框架提供了系統性檢視評估模型是否陷入自我驗證迴路、回饋機制是否仍受民主課責拘束之操作工具，唯有情境建構、權威、理由、責任四鏈環環相扣且保有外部監督空間，方能真正維持政策體系層閉環回饋之正當性。</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邏輯瑕疵之說明須扣緊「評估模型與規劃、制訂、執行階段共用同一套分類邏輯，形成自我驗證迴路」此一核心現象，不可僅泛稱評估模型有風險。</w:t>
      </w:r>
    </w:p>
    <w:p>
      <w:pPr>
        <w:pStyle w:val="ListParagraph"/>
        <w:numPr>
          <w:ilvl w:val="0"/>
          <w:numId w:val="2"/>
        </w:numPr>
        <w:spacing w:after="120" w:line="340"/>
      </w:pPr>
      <w:r>
        <w:rPr>
          <w:rFonts w:ascii="微軟正黑體" w:cs="微軟正黑體" w:eastAsia="微軟正黑體" w:hAnsi="微軟正黑體"/>
          <w:sz w:val="22"/>
          <w:szCs w:val="22"/>
        </w:rPr>
        <w:t xml:space="preserve">課責赤字之說明須扣緊「回饋由公共審議轉為自動更新」此一核心機制，並清楚區辨其與邏輯瑕疵在概念層次上之不同。</w:t>
      </w:r>
    </w:p>
    <w:p>
      <w:pPr>
        <w:pStyle w:val="ListParagraph"/>
        <w:numPr>
          <w:ilvl w:val="0"/>
          <w:numId w:val="2"/>
        </w:numPr>
        <w:spacing w:after="120" w:line="340"/>
      </w:pPr>
      <w:r>
        <w:rPr>
          <w:rFonts w:ascii="微軟正黑體" w:cs="微軟正黑體" w:eastAsia="微軟正黑體" w:hAnsi="微軟正黑體"/>
          <w:sz w:val="22"/>
          <w:szCs w:val="22"/>
        </w:rPr>
        <w:t xml:space="preserve">四鏈七審框架須逐一分析並提出具體監測機制，每一鏈皆須有可操作之對應設計，不可僅列出四鏈名稱。</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僅描述AI評估模型之一般性風險（如黑箱、偏誤），未扣連「共用分類邏輯」與「自我驗證迴路」此一題目明確要求之核心現象。</w:t>
      </w:r>
    </w:p>
    <w:p>
      <w:pPr>
        <w:pStyle w:val="ListParagraph"/>
        <w:numPr>
          <w:ilvl w:val="0"/>
          <w:numId w:val="2"/>
        </w:numPr>
        <w:spacing w:after="120" w:line="340"/>
      </w:pPr>
      <w:r>
        <w:rPr>
          <w:rFonts w:ascii="微軟正黑體" w:cs="微軟正黑體" w:eastAsia="微軟正黑體" w:hAnsi="微軟正黑體"/>
          <w:sz w:val="22"/>
          <w:szCs w:val="22"/>
        </w:rPr>
        <w:t xml:space="preserve">❌ 未區辨理由鏈邏輯瑕疵（方法論層次）與責任鏈課責赤字（治理程序層次）之概念差異，混為一談。</w:t>
      </w:r>
    </w:p>
    <w:p>
      <w:pPr>
        <w:pStyle w:val="ListParagraph"/>
        <w:numPr>
          <w:ilvl w:val="0"/>
          <w:numId w:val="2"/>
        </w:numPr>
        <w:spacing w:after="120" w:line="340"/>
      </w:pPr>
      <w:r>
        <w:rPr>
          <w:rFonts w:ascii="微軟正黑體" w:cs="微軟正黑體" w:eastAsia="微軟正黑體" w:hAnsi="微軟正黑體"/>
          <w:sz w:val="22"/>
          <w:szCs w:val="22"/>
        </w:rPr>
        <w:t xml:space="preserve">❌ 監測機制設計僅重複「應加強外部監督」等空泛立場，未具體對應四鏈之個別檢查重點。</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具體援引SyRI案（荷蘭風險評估系統因計算邏輯未公開、違反比例原則，經法院判決停用）與荷蘭兒童福利補助詐欺認定案（族裔歧視性篩選導致內閣總辭），說明前者代表司法途徑之課責回應、後者代表政治途徑之課責回應，強化課責赤字論述之實證基礎與時事掌握度。</w:t>
      </w:r>
    </w:p>
    <w:p>
      <w:pPr>
        <w:pStyle w:val="ListParagraph"/>
        <w:numPr>
          <w:ilvl w:val="0"/>
          <w:numId w:val="2"/>
        </w:numPr>
        <w:spacing w:after="120" w:line="340"/>
      </w:pPr>
      <w:r>
        <w:rPr>
          <w:rFonts w:ascii="微軟正黑體" w:cs="微軟正黑體" w:eastAsia="微軟正黑體" w:hAnsi="微軟正黑體"/>
          <w:sz w:val="22"/>
          <w:szCs w:val="22"/>
        </w:rPr>
        <w:t xml:space="preserve">可補充Guba與Lincoln第四代至第五代評估演進，說明第五代持續、可追溯、可爭訟之演算法評估，正是回應本題所探討之自我驗證迴路風險而發展出之典範轉移，深化理論脈絡之完整性。</w:t>
      </w:r>
    </w:p>
    <w:p>
      <w:pPr>
        <w:pStyle w:val="ListParagraph"/>
        <w:numPr>
          <w:ilvl w:val="0"/>
          <w:numId w:val="2"/>
        </w:numPr>
        <w:spacing w:after="120" w:line="340"/>
      </w:pPr>
      <w:r>
        <w:rPr>
          <w:rFonts w:ascii="微軟正黑體" w:cs="微軟正黑體" w:eastAsia="微軟正黑體" w:hAnsi="微軟正黑體"/>
          <w:sz w:val="22"/>
          <w:szCs w:val="22"/>
        </w:rPr>
        <w:t xml:space="preserve">可補充我國「人工智慧風險分類框架」v1.0（2026年7月公布）與RIA向AIA轉型之在地實踐，說明我國制度發展如何回應本題所探討之課責赤字風險，展現時事掌握度。</w:t>
      </w:r>
    </w:p>
    <w:p>
      <w:pPr>
        <w:pStyle w:val="ListParagraph"/>
        <w:numPr>
          <w:ilvl w:val="0"/>
          <w:numId w:val="2"/>
        </w:numPr>
        <w:spacing w:after="120" w:line="340"/>
      </w:pPr>
      <w:r>
        <w:rPr>
          <w:rFonts w:ascii="微軟正黑體" w:cs="微軟正黑體" w:eastAsia="微軟正黑體" w:hAnsi="微軟正黑體"/>
          <w:sz w:val="22"/>
          <w:szCs w:val="22"/>
        </w:rPr>
        <w:t xml:space="preserve">可補充演算法退場（Algorithm Decommissioning）概念，說明監測機制設計亦應納入日落條款與人工接管機制，確保當評估工具本身被發現存有邏輯瑕疵時，具備明確之退場與轉換路徑，而非僅能持續沿用有瑕疵之模型。</w:t>
      </w:r>
    </w:p>
    <w:p>
      <w:pPr>
        <w:spacing w:after="30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本章語料庫原涵蓋107-111年5個年度之考選部官方公告試題（行政學／行政學概要科目），經逐題比對，原尚未查得與本章理論脈絡直接對應且完全符合一般行政類科之申論真題；惟2026年9月新查得112-115年考選部公告試題後，已查得2題完全對應之真題，分列如下，並已改列為題目一、題目二完整解題。RIA、Guba與Lincoln四代評估、政策變遷四類型、AIA與課責赤字等考點，於112-115年語料中仍尚無完全對應之申論真題，題目三仍以模擬命題呈現。</w:t>
      </w:r>
    </w:p>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900"/>
        <w:gridCol w:w="800"/>
        <w:gridCol w:w="3226"/>
        <w:gridCol w:w="1700"/>
      </w:tblGrid>
      <w:tr>
        <w:trPr>
          <w:tblHeader/>
        </w:trPr>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年度／考試</w:t>
            </w:r>
          </w:p>
        </w:tc>
        <w:tc>
          <w:tcPr>
            <w:tcW w:type="dxa" w:w="9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類科</w:t>
            </w:r>
          </w:p>
        </w:tc>
        <w:tc>
          <w:tcPr>
            <w:tcW w:type="dxa" w:w="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難度</w:t>
            </w:r>
          </w:p>
        </w:tc>
        <w:tc>
          <w:tcPr>
            <w:tcW w:type="dxa" w:w="3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考點</w:t>
            </w:r>
          </w:p>
        </w:tc>
        <w:tc>
          <w:tcPr>
            <w:tcW w:type="dxa" w:w="17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查證狀態</w:t>
            </w:r>
          </w:p>
        </w:tc>
      </w:tr>
      <w:tr>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115年公務人員特種考試關務人員、身心障礙人員考試及115年國軍上校以上軍官轉任公務人員考試（上校轉任考試）</w:t>
            </w:r>
          </w:p>
        </w:tc>
        <w:tc>
          <w:tcPr>
            <w:tcW w:type="dxa" w:w="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w:t>
            </w:r>
          </w:p>
        </w:tc>
        <w:tc>
          <w:tcPr>
            <w:tcW w:type="dxa" w:w="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w:t>
            </w:r>
          </w:p>
        </w:tc>
        <w:tc>
          <w:tcPr>
            <w:tcW w:type="dxa" w:w="3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政策評估之功能（課責、學習、決策、正當化）如何有助於政府政策制定（即題目一）</w:t>
            </w:r>
          </w:p>
        </w:tc>
        <w:tc>
          <w:tcPr>
            <w:tcW w:type="dxa" w:w="1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考選部官方公告試題，類科標示一般行政，屬軍轉文職考試，本質仍為行政學，依使用者確認納入正式真題</w:t>
            </w:r>
          </w:p>
        </w:tc>
      </w:tr>
      <w:tr>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113年特種考試地方政府公務人員及離島地區公務人員考試三等考試</w:t>
            </w:r>
          </w:p>
        </w:tc>
        <w:tc>
          <w:tcPr>
            <w:tcW w:type="dxa" w:w="9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一般行政等</w:t>
            </w:r>
          </w:p>
        </w:tc>
        <w:tc>
          <w:tcPr>
            <w:tcW w:type="dxa" w:w="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w:t>
            </w:r>
          </w:p>
        </w:tc>
        <w:tc>
          <w:tcPr>
            <w:tcW w:type="dxa" w:w="3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斷續均衡理論（punctuated equilibrium theory）之內涵及其解釋政策變遷之機制（即題目二）</w:t>
            </w:r>
          </w:p>
        </w:tc>
        <w:tc>
          <w:tcPr>
            <w:tcW w:type="dxa" w:w="1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考選部官方公告試題，一般行政符合，等別對應三等／高考三級</w:t>
            </w:r>
          </w:p>
        </w:tc>
      </w:tr>
      <w:tr>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（本章仍無對應真題）</w:t>
            </w:r>
          </w:p>
        </w:tc>
        <w:tc>
          <w:tcPr>
            <w:tcW w:type="dxa" w:w="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w:t>
            </w:r>
          </w:p>
        </w:tc>
        <w:tc>
          <w:tcPr>
            <w:tcW w:type="dxa" w:w="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w:t>
            </w:r>
          </w:p>
        </w:tc>
        <w:tc>
          <w:tcPr>
            <w:tcW w:type="dxa" w:w="3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RIA與Dunn六項評估標準、Guba&amp;Lincoln四代評估、政策變遷四類型、AIA與課責赤字等，仍為本章核心考點，惟112-115年語料中尚無完全對應之申論真題（即題目三仍為模擬命題）</w:t>
            </w:r>
          </w:p>
        </w:tc>
        <w:tc>
          <w:tcPr>
            <w:tcW w:type="dxa" w:w="1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已逐年查證，本章此部分暫無符合一般行政類科之歷屆真題</w:t>
            </w:r>
          </w:p>
        </w:tc>
      </w:tr>
    </w:tbl>
    <w:p>
      <w:pPr>
        <w:spacing w:after="280" w:before="120"/>
        <w:jc w:val="center"/>
      </w:pPr>
      <w:r>
        <w:rPr>
          <w:rFonts w:ascii="微軟正黑體" w:cs="微軟正黑體" w:eastAsia="微軟正黑體" w:hAnsi="微軟正黑體"/>
          <w:i/>
          <w:iCs/>
          <w:color w:val="555555"/>
          <w:sz w:val="18"/>
          <w:szCs w:val="18"/>
        </w:rPr>
        <w:t xml:space="preserve">表14-N　本章歷屆試題查證狀態</w:t>
      </w:r>
    </w:p>
    <w:p>
      <w:pPr>
        <w:spacing w:after="28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政策評估的意涵、種類與Raiffa四類型錯誤</w:t>
            </w:r>
          </w:p>
          <w:p>
            <w:pPr>
              <w:spacing w:line="340"/>
              <w:jc w:val="both"/>
            </w:pPr>
            <w:r>
              <w:rPr>
                <w:rFonts w:ascii="微軟正黑體" w:cs="微軟正黑體" w:eastAsia="微軟正黑體" w:hAnsi="微軟正黑體"/>
                <w:sz w:val="21"/>
                <w:szCs w:val="21"/>
              </w:rPr>
              <w:t xml:space="preserve">評估四功能（課責學習決策正當化）→ 三大類型（預評估／過程評估／結果評估）→ Raiffa四類型錯誤（第三類型最關鍵：以正確方法解決錯誤問題）→ 反事實推論</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管制影響評估（RIA）與Dunn六項評估標準</w:t>
            </w:r>
          </w:p>
          <w:p>
            <w:pPr>
              <w:spacing w:line="340"/>
              <w:jc w:val="both"/>
            </w:pPr>
            <w:r>
              <w:rPr>
                <w:rFonts w:ascii="微軟正黑體" w:cs="微軟正黑體" w:eastAsia="微軟正黑體" w:hAnsi="微軟正黑體"/>
                <w:sz w:val="21"/>
                <w:szCs w:val="21"/>
              </w:rPr>
              <w:t xml:space="preserve">RIA（法規影響評估，事前證據諮商）→ Dunn六標準（效效充回適公）→ CBA vs CEA → 評估結果四種處理模式（調持終重）</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評估演進與政策變遷</w:t>
            </w:r>
          </w:p>
          <w:p>
            <w:pPr>
              <w:spacing w:line="340"/>
              <w:jc w:val="both"/>
            </w:pPr>
            <w:r>
              <w:rPr>
                <w:rFonts w:ascii="微軟正黑體" w:cs="微軟正黑體" w:eastAsia="微軟正黑體" w:hAnsi="微軟正黑體"/>
                <w:sz w:val="21"/>
                <w:szCs w:val="21"/>
              </w:rPr>
              <w:t xml:space="preserve">Guba&amp;Lincoln四代評估（測描判協）→ 積極目的七項 → 評估障礙（黑箱／NIMBY）→ 政策變遷四類型（創延維終）→ MSF（短期政策之窗）→ ACF（長期倡導聯盟）</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政策溝通、民意與公民參與</w:t>
            </w:r>
          </w:p>
          <w:p>
            <w:pPr>
              <w:spacing w:line="340"/>
              <w:jc w:val="both"/>
            </w:pPr>
            <w:r>
              <w:rPr>
                <w:rFonts w:ascii="微軟正黑體" w:cs="微軟正黑體" w:eastAsia="微軟正黑體" w:hAnsi="微軟正黑體"/>
                <w:sz w:val="21"/>
                <w:szCs w:val="21"/>
              </w:rPr>
              <w:t xml:space="preserve">行政溝通vs政策溝通 → 民意七特性 → 公民參與光譜（IAP2）→ 審議式民調（Fishkin）→ 世界咖啡館（七流程三回合換桌）</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AI鑲嵌下的政策評估：從RIA到演算法影響評估與課責赤字</w:t>
            </w:r>
          </w:p>
          <w:p>
            <w:pPr>
              <w:spacing w:line="340"/>
              <w:jc w:val="both"/>
            </w:pPr>
            <w:r>
              <w:rPr>
                <w:rFonts w:ascii="微軟正黑體" w:cs="微軟正黑體" w:eastAsia="微軟正黑體" w:hAnsi="微軟正黑體"/>
                <w:sz w:val="21"/>
                <w:szCs w:val="21"/>
              </w:rPr>
              <w:t xml:space="preserve">RIA→AIA轉型（加拿大／歐盟FRIA／美國OMB）→ 第四代→第五代評估 → 三種權力移轉（P1指標可見性／P2接受覆寫二選一／P3成功定義權擴散）→ 理由鏈邏輯瑕疵（自我驗證迴路）→ 責任鏈課責赤字（自動更新取代公共審議）→ 四鏈七審 → SyRI／荷蘭兒童福利補助案</w:t>
            </w:r>
          </w:p>
        </w:tc>
      </w:tr>
    </w:tbl>
    <w:p>
      <w:pPr>
        <w:spacing w:after="1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政策評估的正當性，不在於指標算得多精確、報告寫得多漂亮，而在於當評估結論與人民的真實感受出現落差時，是否仍有管道讓這個落差被看見、被追問、被修正；政策評估不是政策循環的句點，而是下一輪循環的起點。</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2026-09-03T12:29:40.551Z</dcterms:created>
  <dcterms:modified xsi:type="dcterms:W3CDTF">2026-09-03T12:29:40.551Z</dcterms:modified>
</cp:coreProperties>
</file>

<file path=docProps/custom.xml><?xml version="1.0" encoding="utf-8"?>
<Properties xmlns="http://schemas.openxmlformats.org/officeDocument/2006/custom-properties" xmlns:vt="http://schemas.openxmlformats.org/officeDocument/2006/docPropsVTypes"/>
</file>