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第十三章　政策執行</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對應大學教科書《行政學》第十三章「政策執行」，內容取材自該章六節母體教材（政策執行之定義與理論演進、政策工具與傳播、政策論證監測與行銷、政策網路與民主課責、AI治理專節、本教科書定位）及AI鑲嵌後之權力位移專節，依國考「考點化、模組化、背誦＋應用」邏輯重新壓縮改寫為四節：第一節整合政策執行之定義、里程碑與執行力模式（原第一節）；第二節整合政策工具三大分類與演算法第四類（原第二節）；第三節整合政策論證、監測與行銷（原第三節）；第四節整合政策網路、鐵三角與AI鑲嵌下之課責赤字（原第四、五節與AI鑲嵌後內容），為本章AI內容之集中呈現處。本語料庫（107-111年）中，本章原尚未查得完全對應一般行政類科之申論真題；惟2026年9月新查得112-115年考選部公告試題後，題目二已改列114年國軍上校以上軍官轉任公務人員考試（一般行政）真題（政策工具與促進全民健康），題目一、題目三仍為依本章母體教材自行設計之模擬命題，均於各題「考題出處」或「考題出處（重要說明）」欄位明確標示，不得與真實歷屆試題混淆。自第八章起依格式定版說明，僅第一題維持三種完整答案版本，第二、三題改為標準版參考答案＋【高分加分點】；AI鑲嵌內容集中於第四節與C級綜合題。</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政策執行的定義、理論演進與執行力模式</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政策執行（policy implementation）指將選定之政策方案付諸實行的過程，不僅是技術性落實，更是政治性再決策過程，涉及資源配置、組織協調與標的團體順服。Pressman與Wildavsky（1973）之經典研究《執行》指出，執行從來不是政策的自動延伸，而是充滿決策點與共同行動困境的政治過程。</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Pressman與Wildavsky研究奧克蘭就業計畫發現，聯邦政策經過多個決策點層層轉譯，每一參與者同意機率若低於1，則整體成功率為連乘效果，如30個環節各0.98，成功率僅剩0.54，揭示執行落差普遍性與複雜的共同行動困境，開啟第一代研究；第二代（1980s）建立分析架構，辯論由上而下vs由下而上；第三代（1990s後）整合途徑，關注變項解釋與類型預測，引入網絡治理。</w:t>
      </w:r>
    </w:p>
    <w:p>
      <w:pPr>
        <w:pStyle w:val="ListParagraph"/>
        <w:numPr>
          <w:ilvl w:val="0"/>
          <w:numId w:val="2"/>
        </w:numPr>
        <w:spacing w:after="120" w:line="340"/>
      </w:pPr>
      <w:r>
        <w:rPr>
          <w:rFonts w:ascii="微軟正黑體" w:cs="微軟正黑體" w:eastAsia="微軟正黑體" w:hAnsi="微軟正黑體"/>
          <w:sz w:val="22"/>
          <w:szCs w:val="22"/>
        </w:rPr>
        <w:t xml:space="preserve">Sabatier區分：由上而下模式主張政策制定與執行分立，執行主導權在上級，制定者設定目標、執行者達成目標，重視法規制約與層級監督；由下而上模式主張制定與執行互動，執行主導權在基層機關與街頭官僚，決策者與執行者共同協商，強調基層裁量與實地適應。台灣長照2.0兼具兩者：中央規劃，地方與非營利組織協作落實。</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1400"/>
        <w:gridCol w:w="2200"/>
        <w:gridCol w:w="3826"/>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目標陳述</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手段決定</w:t>
            </w:r>
          </w:p>
        </w:tc>
        <w:tc>
          <w:tcPr>
            <w:tcW w:type="dxa" w:w="3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權力關係</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傳統技匠</w:t>
            </w:r>
          </w:p>
        </w:tc>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詳細</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詳細</w:t>
            </w:r>
          </w:p>
        </w:tc>
        <w:tc>
          <w:tcPr>
            <w:tcW w:type="dxa" w:w="3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制定者全權，執行者僅為技術工匠</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指導性授權</w:t>
            </w:r>
          </w:p>
        </w:tc>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詳細</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留部分裁量給執行者</w:t>
            </w:r>
          </w:p>
        </w:tc>
        <w:tc>
          <w:tcPr>
            <w:tcW w:type="dxa" w:w="3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常見於授權立法，最符合當代行政立法關係</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協商者模式</w:t>
            </w:r>
          </w:p>
        </w:tc>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模糊</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模糊但共同協商</w:t>
            </w:r>
          </w:p>
        </w:tc>
        <w:tc>
          <w:tcPr>
            <w:tcW w:type="dxa" w:w="3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制定與執行者互動協商</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官僚企業家</w:t>
            </w:r>
          </w:p>
        </w:tc>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模糊</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執行者主導</w:t>
            </w:r>
          </w:p>
        </w:tc>
        <w:tc>
          <w:tcPr>
            <w:tcW w:type="dxa" w:w="3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執行者實質塑造政策，街頭官僚典型</w:t>
            </w:r>
          </w:p>
        </w:tc>
      </w:tr>
    </w:tbl>
    <w:p>
      <w:pPr>
        <w:spacing w:after="280" w:before="120"/>
        <w:jc w:val="center"/>
      </w:pPr>
      <w:r>
        <w:rPr>
          <w:rFonts w:ascii="微軟正黑體" w:cs="微軟正黑體" w:eastAsia="微軟正黑體" w:hAnsi="微軟正黑體"/>
          <w:i/>
          <w:iCs/>
          <w:color w:val="555555"/>
          <w:sz w:val="18"/>
          <w:szCs w:val="18"/>
        </w:rPr>
        <w:t xml:space="preserve">表13-A　政策制定與執行互動之四類型</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Thompson提出多手問題（many hands problem）：政府決策與執行由許多機關與官員以不同方式實現，導致最終由誰負起責任難以確認，形成課責不明；進入AI時代，多手問題進一步延伸為「多手＋多機器」問題：形式決定者、系統設計者、資料供應者、模型訓練者與承包商共同參與，責任鏈更為分散。Van Meter與Van Horn提出六變項作為診斷執行落差之工具：政策目標與資源、執行機關特性（含資源配置、人員意願、組織氣候）、機關間溝通與活動、執行人員裁量、社會經濟政治環境、執行績效；Edwards另提出4D：溝通、資源、意向、官僚結構。</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Pressman &amp; Wildavsky執行落差理論</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揭示執行非政策自動延伸，而是充滿決策點與共同行動困境之政治過程，開啟執行研究之先河</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連乘效果之數學模型雖具啟發性，惟現實執行過程之非線性互動與回饋機制，較難以單純機率連乘完整捕捉</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由上而下vs由下而上辯論</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提供理解執行主導權歸屬（上級vs基層）之分析光譜，Van Meter與Van Horn六變項提供診斷執行落差之操作工具</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兩者實為理念型光譜之兩端，多數實際個案（如長照2.0）兼具雙重特徵，須避免二元對立之簡化</w:t>
            </w:r>
          </w:p>
        </w:tc>
      </w:tr>
    </w:tbl>
    <w:p>
      <w:pPr>
        <w:spacing w:after="280" w:before="120"/>
        <w:jc w:val="center"/>
      </w:pPr>
      <w:r>
        <w:rPr>
          <w:rFonts w:ascii="微軟正黑體" w:cs="微軟正黑體" w:eastAsia="微軟正黑體" w:hAnsi="微軟正黑體"/>
          <w:i/>
          <w:iCs/>
          <w:color w:val="555555"/>
          <w:sz w:val="18"/>
          <w:szCs w:val="18"/>
        </w:rPr>
        <w:t xml:space="preserve">表13-B　政策執行理論之貢獻與限制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Van Meter與Van Horn執行力模式至今仍是診斷執行落差的重要工具，惟在演算法嵌入後，需額外檢視「系統建議接受率」與「覆核實質性」等新變項——當執行機關績效考核與系統建議接受率掛鉤時，執行人員裁量此一變項之實質內涵已悄然改變。</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台灣長照2.0兼具由上而下與由下而上兩種模式之特徵：中央衛福部訂定整體規劃與資源配置原則（由上而下），地方政府與非營利組織則依社區實際需求協作落實服務（由下而上），是理解「由上而下—由下而上」並非二元對立、而是光譜兩端之最佳本土案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①Pressman &amp; Wildavsky執行落差與連乘效果之計算意涵（常以簡答或計算題出現）</w:t>
            </w:r>
          </w:p>
          <w:p>
            <w:pPr>
              <w:spacing w:after="80" w:line="320"/>
            </w:pPr>
            <w:r>
              <w:rPr>
                <w:rFonts w:ascii="微軟正黑體" w:cs="微軟正黑體" w:eastAsia="微軟正黑體" w:hAnsi="微軟正黑體"/>
                <w:sz w:val="21"/>
                <w:szCs w:val="21"/>
              </w:rPr>
              <w:t xml:space="preserve">•　②由上而下vs由下而上模式之比較（含台灣長照2.0定位）</w:t>
            </w:r>
          </w:p>
          <w:p>
            <w:pPr>
              <w:spacing w:after="80" w:line="320"/>
            </w:pPr>
            <w:r>
              <w:rPr>
                <w:rFonts w:ascii="微軟正黑體" w:cs="微軟正黑體" w:eastAsia="微軟正黑體" w:hAnsi="微軟正黑體"/>
                <w:sz w:val="21"/>
                <w:szCs w:val="21"/>
              </w:rPr>
              <w:t xml:space="preserve">•　③政策制定與執行互動四類型：傳統技匠／指導性授權／協商者模式／官僚企業家</w:t>
            </w:r>
          </w:p>
          <w:p>
            <w:pPr>
              <w:spacing w:after="80" w:line="320"/>
            </w:pPr>
            <w:r>
              <w:rPr>
                <w:rFonts w:ascii="微軟正黑體" w:cs="微軟正黑體" w:eastAsia="微軟正黑體" w:hAnsi="微軟正黑體"/>
                <w:sz w:val="21"/>
                <w:szCs w:val="21"/>
              </w:rPr>
              <w:t xml:space="preserve">•　④多手問題（Thompson）：政府決策與執行由眾多機關與官員實現，致最終責任歸屬難以確認</w:t>
            </w:r>
          </w:p>
          <w:p>
            <w:pPr>
              <w:spacing w:after="80" w:line="320"/>
            </w:pPr>
            <w:r>
              <w:rPr>
                <w:rFonts w:ascii="微軟正黑體" w:cs="微軟正黑體" w:eastAsia="微軟正黑體" w:hAnsi="微軟正黑體"/>
                <w:sz w:val="21"/>
                <w:szCs w:val="21"/>
              </w:rPr>
              <w:t xml:space="preserve">•　⑤Van Meter與Van Horn執行力模式六變項；Edwards 4D模式</w:t>
            </w:r>
          </w:p>
          <w:p>
            <w:pPr>
              <w:spacing w:after="0" w:line="320"/>
            </w:pPr>
            <w:r>
              <w:rPr>
                <w:rFonts w:ascii="微軟正黑體" w:cs="微軟正黑體" w:eastAsia="微軟正黑體" w:hAnsi="微軟正黑體"/>
                <w:sz w:val="21"/>
                <w:szCs w:val="21"/>
              </w:rPr>
              <w:t xml:space="preserve">•　⑥政策執行研究三代演進：個案實務→理論架構→解釋變項與類型預測</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執行力模式口訣：目（標資源）、機（關特性）、溝（通活動）、裁（量）、環（境）、績（效）——「目機溝裁環績」六字訣</w:t>
            </w:r>
          </w:p>
          <w:p>
            <w:pPr>
              <w:spacing w:after="80" w:line="320"/>
            </w:pPr>
            <w:r>
              <w:rPr>
                <w:rFonts w:ascii="微軟正黑體" w:cs="微軟正黑體" w:eastAsia="微軟正黑體" w:hAnsi="微軟正黑體"/>
                <w:sz w:val="21"/>
                <w:szCs w:val="21"/>
              </w:rPr>
              <w:t xml:space="preserve">•　互動四類型記憶：技（匠，詳細詳細）、授（權，詳細留裁量）、協（商，模糊協商）、企（業家，模糊主導）——依「裁量遞增」排列</w:t>
            </w:r>
          </w:p>
          <w:p>
            <w:pPr>
              <w:spacing w:after="0" w:line="320"/>
            </w:pPr>
            <w:r>
              <w:rPr>
                <w:rFonts w:ascii="微軟正黑體" w:cs="微軟正黑體" w:eastAsia="微軟正黑體" w:hAnsi="微軟正黑體"/>
                <w:sz w:val="21"/>
                <w:szCs w:val="21"/>
              </w:rPr>
              <w:t xml:space="preserve">•　多手問題一句話記憶：責任像接力棒，跑的人越多，最後掉在誰手上就越難查</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由上而下模式」（政策制定與執行分立，執行主導權在上級）與「指導性授權」（政策制定與執行互動四類型之一，目標詳細但留部分裁量給執行者）常被考生混為一談——前者是描述執行主導權歸屬之整體光譜（模式層次），後者是四類型中具體的一種互動樣態（類型層次），兩者分屬不同分析層次，不可直接對應。</w:t>
            </w:r>
          </w:p>
          <w:p>
            <w:pPr>
              <w:spacing w:after="0" w:line="320"/>
            </w:pPr>
            <w:r>
              <w:rPr>
                <w:rFonts w:ascii="微軟正黑體" w:cs="微軟正黑體" w:eastAsia="微軟正黑體" w:hAnsi="微軟正黑體"/>
                <w:sz w:val="21"/>
                <w:szCs w:val="21"/>
              </w:rPr>
              <w:t xml:space="preserve">•　「多手問題」（Thompson，政府決策與執行由眾多機關與官員實現，致責任歸屬難以確認）與下一章將討論之「課責赤字」（AI鑲嵌後責任鏈分散於形式決定者、系統設計者、資料供應者與承包商）常被考生視為同一概念——本章明確指出，課責赤字是多手問題在AI時代之延伸型態（「多手＋多機器」問題），兩者有繼受關係但非完全等同，作答時應注意題目是否限定於傳統多手問題或AI鑲嵌情境。</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第二節　政策工具：從三元分類到演算法第四類</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政策工具指公共政策執行過程中，為達成政策目標而採取之手段或方法，又稱治理工具，具四特性：為設計與執行間之連鎖，重心在落實；必須透過標的團體完成，標的團體態度為關鍵；非嘗試錯誤，而是系統思考之目的性行動；當代政府多為工具組合運用。</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政策工具主要有三大分類角度：Weimer &amp; Vining（福利經濟學角度）：市場自由化、市場便利化、市場模擬化、利用補貼與租稅改變誘因、設定規則、經由非市場機制提供財貨、提供保險與保障；Schneider &amp; Ingram（標的團體建構）五類：權威式工具、誘因式工具、能力建立型工具、象徵勸勉型工具、學習型工具；Howlett &amp; Ramesh（公權力介入程度）三類，為本書基礎分類，依自願、混合、強制三種介入程度區分工具組合。</w:t>
      </w:r>
    </w:p>
    <w:p>
      <w:pPr>
        <w:pStyle w:val="ListParagraph"/>
        <w:numPr>
          <w:ilvl w:val="0"/>
          <w:numId w:val="2"/>
        </w:numPr>
        <w:spacing w:after="120" w:line="340"/>
      </w:pPr>
      <w:r>
        <w:rPr>
          <w:rFonts w:ascii="微軟正黑體" w:cs="微軟正黑體" w:eastAsia="微軟正黑體" w:hAnsi="微軟正黑體"/>
          <w:sz w:val="22"/>
          <w:szCs w:val="22"/>
        </w:rPr>
        <w:t xml:space="preserve">市場失靈包括公共財、外部性、自然獨佔與資訊不對稱；政府失靈源於無知選民、滾木立法（議員交換投票形成包裹立法）、肉桶立法（全國資源分配至選區特定建設）、本位主義、競租與多手問題。NIMBY（鄰避症候群）為民眾支持公共設施價值卻反對設於鄰近，屬集體行動與外部性問題，須以能力建立與象徵勸勉化解。</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54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政府介入</w:t>
            </w:r>
          </w:p>
        </w:tc>
        <w:tc>
          <w:tcPr>
            <w:tcW w:type="dxa" w:w="54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內涵與實例</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自願性 voluntary</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幾乎不介入</w:t>
            </w:r>
          </w:p>
        </w:tc>
        <w:tc>
          <w:tcPr>
            <w:tcW w:type="dxa" w:w="5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家庭與社區：成本最低，如社區守望相助；自願性組織：志工與慈善，如慈濟資源回收；市場：民營化、解除管制</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混合性 mixed</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中度介入</w:t>
            </w:r>
          </w:p>
        </w:tc>
        <w:tc>
          <w:tcPr>
            <w:tcW w:type="dxa" w:w="5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資訊與勸誡：提供資訊民眾自決；補助：對順服者財務獎勵，如電動機車補助；財產權銷售：設定並拍賣，如污染排放權交易；徵稅與使用者付費</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強制性 compulsory</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高度介入</w:t>
            </w:r>
          </w:p>
        </w:tc>
        <w:tc>
          <w:tcPr>
            <w:tcW w:type="dxa" w:w="5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管制：法令被動遵守，含經濟與社會管制；公營企業：透過擁有管理權企業提供付費公共財；直接提供：預算直接提供，如國防、教育</w:t>
            </w:r>
          </w:p>
        </w:tc>
      </w:tr>
    </w:tbl>
    <w:p>
      <w:pPr>
        <w:spacing w:after="280" w:before="120"/>
        <w:jc w:val="center"/>
      </w:pPr>
      <w:r>
        <w:rPr>
          <w:rFonts w:ascii="微軟正黑體" w:cs="微軟正黑體" w:eastAsia="微軟正黑體" w:hAnsi="微軟正黑體"/>
          <w:i/>
          <w:iCs/>
          <w:color w:val="555555"/>
          <w:sz w:val="18"/>
          <w:szCs w:val="18"/>
        </w:rPr>
        <w:t xml:space="preserve">表13-C　Howlett &amp; Ramesh三類工具及其內涵</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防疫工具組合為政策工具「組合運用」之典型案例：權威工具為徵用口罩、禁止出口與價格管制；誘因工具為檢疫隔離經濟補償；能力建立為教導正確洗手戴口罩；社會學習為每日記者會；符號勸勉為旅遊警示與標語——顯示政府極少單一工具，須通盤設計。傳統三分類無法涵蓋資料與演算法驅動治理，故須新增第四類演算法工具，特性為自動化決策、資料驅動、可擴展、即時回饋，但伴隨黑箱與偏見，如以演算法分配口罩、預測熱區、AI客服回應。</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Howlett &amp; Ramesh三類工具分類</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依公權力介入程度提供清晰之工具選擇光譜，並可與COVID-19防疫等實際工具組合案例緊密扣合</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分類標準聚焦「介入程度」單一面向，較難完整涵蓋Schneider &amp; Ingram標的團體建構或Weimer &amp; Vining福利經濟學角度之豐富內涵</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演算法第四類工具與RegTech</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回應資料與演算法驅動治理之新興需求，補足傳統三分類無法涵蓋自動化決策工具之分類盲點</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演算法工具兼具市場自願外觀與強制實質（如自動否決福利資格），實務上仍難以精確定位其於自願—混合—強制光譜上之位置</w:t>
            </w:r>
          </w:p>
        </w:tc>
      </w:tr>
    </w:tbl>
    <w:p>
      <w:pPr>
        <w:spacing w:after="280" w:before="120"/>
        <w:jc w:val="center"/>
      </w:pPr>
      <w:r>
        <w:rPr>
          <w:rFonts w:ascii="微軟正黑體" w:cs="微軟正黑體" w:eastAsia="微軟正黑體" w:hAnsi="微軟正黑體"/>
          <w:i/>
          <w:iCs/>
          <w:color w:val="555555"/>
          <w:sz w:val="18"/>
          <w:szCs w:val="18"/>
        </w:rPr>
        <w:t xml:space="preserve">表13-D　政策工具分類架構之貢獻與限制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監管科技RegTech為監理端概念，將規則寫入程式碼，實現法遵by design，如AI掃描申報偵測詐領、衛星AI監測污染。Bovens與Zouridis（2002）指出從「街頭層官僚」（street-level bureaucracy）轉向「系統層官僚」（system-level bureaucracy）之趨勢：當演算法成為第四類工具，裁量不再只是第一線人員面對個案的即時判斷，而是預先寫入參數、閾值與訓練資料的「設計時裁量」，此一轉移若未伴隨可解釋性與覆核機制，便容易產生「形式決定者只剩簽核外觀」的課責赤字，此為本章第四節深入探討之核心議題。</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口罩實名制結合健保資料、超商通路與配額演算法，以RegTech監控重複購買，屬演算法工具嵌入公共服務之本土代表案例；財政部電子申報系統之退稅作業，已大量運用自動化規則進行案件放行，裁量從第一線審核人員轉移至制定「放行╱攔截」規則的系統設計者，具體展現演算法工具與RegTech在我國稅務行政之實踐。</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①政策工具之定義與四特性：設計執行連鎖／須經標的團體完成／目的性行動／工具組合運用</w:t>
            </w:r>
          </w:p>
          <w:p>
            <w:pPr>
              <w:spacing w:after="80" w:line="320"/>
            </w:pPr>
            <w:r>
              <w:rPr>
                <w:rFonts w:ascii="微軟正黑體" w:cs="微軟正黑體" w:eastAsia="微軟正黑體" w:hAnsi="微軟正黑體"/>
                <w:sz w:val="21"/>
                <w:szCs w:val="21"/>
              </w:rPr>
              <w:t xml:space="preserve">•　②三大分類角度：Weimer &amp; Vining（福利經濟學）／Schneider &amp; Ingram（標的團體建構）／Howlett &amp; Ramesh（公權力介入程度）</w:t>
            </w:r>
          </w:p>
          <w:p>
            <w:pPr>
              <w:spacing w:after="80" w:line="320"/>
            </w:pPr>
            <w:r>
              <w:rPr>
                <w:rFonts w:ascii="微軟正黑體" w:cs="微軟正黑體" w:eastAsia="微軟正黑體" w:hAnsi="微軟正黑體"/>
                <w:sz w:val="21"/>
                <w:szCs w:val="21"/>
              </w:rPr>
              <w:t xml:space="preserve">•　③Howlett &amp; Ramesh三類工具：自願性／混合性／強制性，及其內涵與實例</w:t>
            </w:r>
          </w:p>
          <w:p>
            <w:pPr>
              <w:spacing w:after="80" w:line="320"/>
            </w:pPr>
            <w:r>
              <w:rPr>
                <w:rFonts w:ascii="微軟正黑體" w:cs="微軟正黑體" w:eastAsia="微軟正黑體" w:hAnsi="微軟正黑體"/>
                <w:sz w:val="21"/>
                <w:szCs w:val="21"/>
              </w:rPr>
              <w:t xml:space="preserve">•　④滾木立法／肉桶立法／NIMBY之定義與政府失靈連結</w:t>
            </w:r>
          </w:p>
          <w:p>
            <w:pPr>
              <w:spacing w:after="80" w:line="320"/>
            </w:pPr>
            <w:r>
              <w:rPr>
                <w:rFonts w:ascii="微軟正黑體" w:cs="微軟正黑體" w:eastAsia="微軟正黑體" w:hAnsi="微軟正黑體"/>
                <w:sz w:val="21"/>
                <w:szCs w:val="21"/>
              </w:rPr>
              <w:t xml:space="preserve">•　⑤演算法作為第四類政策工具之特性：自動化決策、資料驅動、可擴展、即時回饋</w:t>
            </w:r>
          </w:p>
          <w:p>
            <w:pPr>
              <w:spacing w:after="0" w:line="320"/>
            </w:pPr>
            <w:r>
              <w:rPr>
                <w:rFonts w:ascii="微軟正黑體" w:cs="微軟正黑體" w:eastAsia="微軟正黑體" w:hAnsi="微軟正黑體"/>
                <w:sz w:val="21"/>
                <w:szCs w:val="21"/>
              </w:rPr>
              <w:t xml:space="preserve">•　⑥RegTech監管科技與Bovens &amp; Zouridis「系統層官僚」概念</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Howlett &amp; Ramesh三類工具口訣：自（願性，幾乎不介入）、混（合性，中度介入）、強（制性，高度介入）——「自混強」三字訣，依介入程度遞增排列</w:t>
            </w:r>
          </w:p>
          <w:p>
            <w:pPr>
              <w:spacing w:after="80" w:line="320"/>
            </w:pPr>
            <w:r>
              <w:rPr>
                <w:rFonts w:ascii="微軟正黑體" w:cs="微軟正黑體" w:eastAsia="微軟正黑體" w:hAnsi="微軟正黑體"/>
                <w:sz w:val="21"/>
                <w:szCs w:val="21"/>
              </w:rPr>
              <w:t xml:space="preserve">•　COVID-19工具組合記憶：權（威，徵用口罩）、誘（因，隔離補償）、能（力建立，教導洗手）、學（習，每日記者會）、符（號勸勉，旅遊警示）——五工具一次到位</w:t>
            </w:r>
          </w:p>
          <w:p>
            <w:pPr>
              <w:spacing w:after="0" w:line="320"/>
            </w:pPr>
            <w:r>
              <w:rPr>
                <w:rFonts w:ascii="微軟正黑體" w:cs="微軟正黑體" w:eastAsia="微軟正黑體" w:hAnsi="微軟正黑體"/>
                <w:sz w:val="21"/>
                <w:szCs w:val="21"/>
              </w:rPr>
              <w:t xml:space="preserve">•　街頭官僚vs系統層官僚記憶：街頭官僚是「人當場判斷」，系統層官僚是「參數先寫好」——裁量從「臨場反應」變成「事先設計」</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滾木立法」（議員交換投票形成包裹立法）與「肉桶立法」（全國資源分配至選區特定建設）常被考生混為一談——滾木重點在「立法過程之交換行為」（議員互相支持對方法案），肉桶重點在「資源分配之地理集中」（全國性預算流向特定選區建設），兩者常伴隨發生但概念核心不同。</w:t>
            </w:r>
          </w:p>
          <w:p>
            <w:pPr>
              <w:spacing w:after="0" w:line="320"/>
            </w:pPr>
            <w:r>
              <w:rPr>
                <w:rFonts w:ascii="微軟正黑體" w:cs="微軟正黑體" w:eastAsia="微軟正黑體" w:hAnsi="微軟正黑體"/>
                <w:sz w:val="21"/>
                <w:szCs w:val="21"/>
              </w:rPr>
              <w:t xml:space="preserve">•　「演算法工具」（第四類政策工具，具自動化決策等特性）與「RegTech監管科技」（將規則寫入程式碼之監理端概念）常被考生視為同義詞——演算法工具是政策執行端運用之工具類型，RegTech則專指監理機關端運用科技進行法令遵循監督之作法，兩者應用場域不同：前者是「用AI做事」，後者是「用科技監督做事的人」。</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第三節　政策論證、監測與行銷</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政策論證指政策運作過程中，參與者尋找有利資訊強化主張並提反證抗辯他方，以促使決策者接納或拒絕某方案之過程，要素包含資訊、主張、理由、依據、駁斥理由、可信度，常見方式有權威式、統計式、類別式、直覺式、分析重心式、解釋式、實用式、價值批判式八種。</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政策監測指製造因果關係資訊以描述實施狀況與結果關係，解釋執行情況、評估效果、確保有效執行，並作為評估先決條件，含事前、事中、事後；政策順服指人員或機關行為態度與權力者命令一致之現象，標的團體可能為避免懲罰配合，亦可能受媒體影響不配合，提升順服以教育說服、溝通、誘因為佳，積極強制與消極懲罰易生抗拒，疫情黑數反映順服與監測缺口。</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功能</w:t>
            </w:r>
          </w:p>
        </w:tc>
        <w:tc>
          <w:tcPr>
            <w:tcW w:type="dxa" w:w="6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順服 compliance</w:t>
            </w:r>
          </w:p>
        </w:tc>
        <w:tc>
          <w:tcPr>
            <w:tcW w:type="dxa" w:w="6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查核行政人員、標的團體是否遵守標準、程序與規定</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審計 auditing</w:t>
            </w:r>
          </w:p>
        </w:tc>
        <w:tc>
          <w:tcPr>
            <w:tcW w:type="dxa" w:w="6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資源與服務是否真正到達被服務者</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會計 accounting</w:t>
            </w:r>
          </w:p>
        </w:tc>
        <w:tc>
          <w:tcPr>
            <w:tcW w:type="dxa" w:w="6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是否因政策執行在政經社文產生改變及其程度</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解釋 explanation</w:t>
            </w:r>
          </w:p>
        </w:tc>
        <w:tc>
          <w:tcPr>
            <w:tcW w:type="dxa" w:w="6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解釋為何不同方案執行後有不同結果</w:t>
            </w:r>
          </w:p>
        </w:tc>
      </w:tr>
    </w:tbl>
    <w:p>
      <w:pPr>
        <w:spacing w:after="280" w:before="120"/>
        <w:jc w:val="center"/>
      </w:pPr>
      <w:r>
        <w:rPr>
          <w:rFonts w:ascii="微軟正黑體" w:cs="微軟正黑體" w:eastAsia="微軟正黑體" w:hAnsi="微軟正黑體"/>
          <w:i/>
          <w:iCs/>
          <w:color w:val="555555"/>
          <w:sz w:val="18"/>
          <w:szCs w:val="18"/>
        </w:rPr>
        <w:t xml:space="preserve">表13-E　政策監測四功能</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吳定將政策行銷定義為：政府人員採有效行銷策略，促使內外部顧客對研議中或已形成政策產生共識之動態過程，短期促成共識、長期提高競爭力，核心在交換價值。政策行銷與商品行銷差異六項：消費者不確定、生產者不確定（多手問題）、態度不明確、效果不明確、受法令道德限制（預算法禁置入性行銷）、多為無形理念。政策行銷可透過6P構面操作，並須與長期之社會行銷（促進社會理念與行為改變）相互區辨。</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構面</w:t>
            </w:r>
          </w:p>
        </w:tc>
        <w:tc>
          <w:tcPr>
            <w:tcW w:type="dxa" w:w="6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產品 Product</w:t>
            </w:r>
          </w:p>
        </w:tc>
        <w:tc>
          <w:tcPr>
            <w:tcW w:type="dxa" w:w="6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無形觀念或政策本身之說服性</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價格 Price</w:t>
            </w:r>
          </w:p>
        </w:tc>
        <w:tc>
          <w:tcPr>
            <w:tcW w:type="dxa" w:w="6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民眾順服之代價，以價制量、避免搭便車</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地點 Place</w:t>
            </w:r>
          </w:p>
        </w:tc>
        <w:tc>
          <w:tcPr>
            <w:tcW w:type="dxa" w:w="6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行銷通路，考量接觸媒介，如超商還書</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促銷 Promotion</w:t>
            </w:r>
          </w:p>
        </w:tc>
        <w:tc>
          <w:tcPr>
            <w:tcW w:type="dxa" w:w="6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推廣手段，如記者會、懶人包、短影音</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夥伴 Partnership</w:t>
            </w:r>
          </w:p>
        </w:tc>
        <w:tc>
          <w:tcPr>
            <w:tcW w:type="dxa" w:w="6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與民間合夥推動，如NPO、平台</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政策 Policy</w:t>
            </w:r>
          </w:p>
        </w:tc>
        <w:tc>
          <w:tcPr>
            <w:tcW w:type="dxa" w:w="6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非單一機關之事，需整合相關機關</w:t>
            </w:r>
          </w:p>
        </w:tc>
      </w:tr>
    </w:tbl>
    <w:p>
      <w:pPr>
        <w:spacing w:after="280" w:before="120"/>
        <w:jc w:val="center"/>
      </w:pPr>
      <w:r>
        <w:rPr>
          <w:rFonts w:ascii="微軟正黑體" w:cs="微軟正黑體" w:eastAsia="微軟正黑體" w:hAnsi="微軟正黑體"/>
          <w:i/>
          <w:iCs/>
          <w:color w:val="555555"/>
          <w:sz w:val="18"/>
          <w:szCs w:val="18"/>
        </w:rPr>
        <w:t xml:space="preserve">表13-F　政策行銷6P</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生成式AI提升政策行銷效率卻衍生行政中立爭議：政府以AI製作懶人包、短影音、客製推播，若未揭露AI生成或精準投放特定立場群體，可能違反行政中立與真實義務。依預算法禁止置入性行銷，行銷須區分廣告與新聞，採購媒體不得買新聞報導，委託製播須揭示機關名稱。AI行銷倫理原則歸納為三項：透明揭露、資訊可驗證避免幻覺、避免演算法偏見。</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各機關近年廣泛以生成式AI製作政策懶人包與短影音，惟依本節AI行銷倫理原則，仍應一致揭露AI生成標示、避免對特定立場群體精準投放，並確保內容真實可驗證，方能兼顧行銷效率與行政中立、資訊真實之法定義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①政策論證之定義與八種論證方式：權威式／統計式／類別式／直覺式／分析重心式／解釋式／實用式／價值批判式</w:t>
            </w:r>
          </w:p>
          <w:p>
            <w:pPr>
              <w:spacing w:after="80" w:line="320"/>
            </w:pPr>
            <w:r>
              <w:rPr>
                <w:rFonts w:ascii="微軟正黑體" w:cs="微軟正黑體" w:eastAsia="微軟正黑體" w:hAnsi="微軟正黑體"/>
                <w:sz w:val="21"/>
                <w:szCs w:val="21"/>
              </w:rPr>
              <w:t xml:space="preserve">•　②政策監測四功能：順服／審計／會計／解釋</w:t>
            </w:r>
          </w:p>
          <w:p>
            <w:pPr>
              <w:spacing w:after="80" w:line="320"/>
            </w:pPr>
            <w:r>
              <w:rPr>
                <w:rFonts w:ascii="微軟正黑體" w:cs="微軟正黑體" w:eastAsia="微軟正黑體" w:hAnsi="微軟正黑體"/>
                <w:sz w:val="21"/>
                <w:szCs w:val="21"/>
              </w:rPr>
              <w:t xml:space="preserve">•　③政策行銷之定義（吳定）與6P：產品／價格／地點／促銷／夥伴／政策</w:t>
            </w:r>
          </w:p>
          <w:p>
            <w:pPr>
              <w:spacing w:after="80" w:line="320"/>
            </w:pPr>
            <w:r>
              <w:rPr>
                <w:rFonts w:ascii="微軟正黑體" w:cs="微軟正黑體" w:eastAsia="微軟正黑體" w:hAnsi="微軟正黑體"/>
                <w:sz w:val="21"/>
                <w:szCs w:val="21"/>
              </w:rPr>
              <w:t xml:space="preserve">•　④政策行銷與商品行銷六項差異；政策行銷vs社會行銷之區辨</w:t>
            </w:r>
          </w:p>
          <w:p>
            <w:pPr>
              <w:spacing w:after="0" w:line="320"/>
            </w:pPr>
            <w:r>
              <w:rPr>
                <w:rFonts w:ascii="微軟正黑體" w:cs="微軟正黑體" w:eastAsia="微軟正黑體" w:hAnsi="微軟正黑體"/>
                <w:sz w:val="21"/>
                <w:szCs w:val="21"/>
              </w:rPr>
              <w:t xml:space="preserve">•　⑤AI行銷倫理三原則：透明揭露／資訊可驗證避免幻覺／避免演算法偏見</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政策監測四功能口訣：順（服）、審（計）、會（計）、解（釋）——「順審會解」四字訣</w:t>
            </w:r>
          </w:p>
          <w:p>
            <w:pPr>
              <w:spacing w:after="80" w:line="320"/>
            </w:pPr>
            <w:r>
              <w:rPr>
                <w:rFonts w:ascii="微軟正黑體" w:cs="微軟正黑體" w:eastAsia="微軟正黑體" w:hAnsi="微軟正黑體"/>
                <w:sz w:val="21"/>
                <w:szCs w:val="21"/>
              </w:rPr>
              <w:t xml:space="preserve">•　政策行銷6P口訣：產（品）、價（格）、地（點）、促（銷）、夥（伴）、政（策）——「產價地促夥政」六字訣</w:t>
            </w:r>
          </w:p>
          <w:p>
            <w:pPr>
              <w:spacing w:after="0" w:line="320"/>
            </w:pPr>
            <w:r>
              <w:rPr>
                <w:rFonts w:ascii="微軟正黑體" w:cs="微軟正黑體" w:eastAsia="微軟正黑體" w:hAnsi="微軟正黑體"/>
                <w:sz w:val="21"/>
                <w:szCs w:val="21"/>
              </w:rPr>
              <w:t xml:space="preserve">•　AI行銷倫理一句話記憶：讓人知道是AI寫的、讓人查得到根據、不要只推給特定的人看</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政策行銷」（研議中或已形成政策之短期共識建立，對象為內部執行者與外部民眾）與「社會行銷」（社會理念與行為改變之長期歷程，對象為全民或特定群體）常被考生混為一談——政策行銷重在「提高特定政策之支持率與執行成功率」，社會行銷重在「促成長期之行為或觀念改變」（如戒菸、節能減碳），兩者時間軸與目的不同。</w:t>
            </w:r>
          </w:p>
          <w:p>
            <w:pPr>
              <w:spacing w:after="0" w:line="320"/>
            </w:pPr>
            <w:r>
              <w:rPr>
                <w:rFonts w:ascii="微軟正黑體" w:cs="微軟正黑體" w:eastAsia="微軟正黑體" w:hAnsi="微軟正黑體"/>
                <w:sz w:val="21"/>
                <w:szCs w:val="21"/>
              </w:rPr>
              <w:t xml:space="preserve">•　「政策論證」（參與者尋找有利資訊強化主張、提反證抗辯他方之動態過程）與「政策監測」（製造因果關係資訊以描述實施狀況與結果關係）常被考生視為同一階段之工作——論證發生於政策仍在爭辯、尚未定案或執行中持續進行說服之過程，監測則聚焦於執行後之資訊蒐集與因果評估，兩者性質與時間點不同。</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第四節　政策網路與AI鑲嵌下的課責赤字</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Lowi（1979）提出鐵三角理論，指強勢利益團體籠絡國會議員掌控行政機關，三者共生封閉形成次級政府，成員為國會常設委員會、行政官僚、特殊利益團體，司法與公民非典型成員，特質為互惠、封閉、穩定；與之相對，議題網絡結構鬆散開放、參與者眾多，政策社群則介於兩者之間，屬中度嚴密之政策參與結構。</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Weimer定義沉默輸家為不清楚自身有利害、無力負擔參與成本或無法發聲之人，屬分配性政策之政府失靈，成因包括多數獨裁、資訊不對稱、集體行動邏輯、代間問題；俘虜現象指機關被特定團體運作致公共利益受損而團體受益；競租指為取得經濟租投入精力金錢之活動，租為數量固定、供給彈性零之報酬，關稅、配額、管制創造經濟租，滾木、肉桶、NIMBY可置於Wilson成本利益矩陣理解，集中利益與分散成本易產生此現象。</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2400"/>
        <w:gridCol w:w="3626"/>
        <w:gridCol w:w="1400"/>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結構</w:t>
            </w:r>
          </w:p>
        </w:tc>
        <w:tc>
          <w:tcPr>
            <w:tcW w:type="dxa" w:w="3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參與者</w:t>
            </w:r>
          </w:p>
        </w:tc>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變動性</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鐵三角</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嚴密、穩定、封閉</w:t>
            </w:r>
          </w:p>
        </w:tc>
        <w:tc>
          <w:tcPr>
            <w:tcW w:type="dxa" w:w="3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少數三者（國會常設委員會、行政官僚、特殊利益團體）</w:t>
            </w:r>
          </w:p>
        </w:tc>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低</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議題網絡</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鬆散、開放</w:t>
            </w:r>
          </w:p>
        </w:tc>
        <w:tc>
          <w:tcPr>
            <w:tcW w:type="dxa" w:w="3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眾多：學者、媒體、公民</w:t>
            </w:r>
          </w:p>
        </w:tc>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高</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政策社群</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中度嚴密</w:t>
            </w:r>
          </w:p>
        </w:tc>
        <w:tc>
          <w:tcPr>
            <w:tcW w:type="dxa" w:w="3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中度多元</w:t>
            </w:r>
          </w:p>
        </w:tc>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中度</w:t>
            </w:r>
          </w:p>
        </w:tc>
      </w:tr>
    </w:tbl>
    <w:p>
      <w:pPr>
        <w:spacing w:after="280" w:before="120"/>
        <w:jc w:val="center"/>
      </w:pPr>
      <w:r>
        <w:rPr>
          <w:rFonts w:ascii="微軟正黑體" w:cs="微軟正黑體" w:eastAsia="微軟正黑體" w:hAnsi="微軟正黑體"/>
          <w:i/>
          <w:iCs/>
          <w:color w:val="555555"/>
          <w:sz w:val="18"/>
          <w:szCs w:val="18"/>
        </w:rPr>
        <w:t xml:space="preserve">表13-G　鐵三角、議題網絡與政策社群比較</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政策執行階段AI鑲嵌後之核心風險，在於P3公權力影響力落地後之責任鏈「課責赤字」（accountability deficit）：當政府採用風險分數、資格模型或自動閾值嵌入資格認定、資源配置、管制與服務提供之工作流程時，原本應由具名公務員承擔的公權力決定，實質上已由演算法之參數設計預先決定，形式決定者僅剩簽核之外觀，形式決定者、系統設計者、資料供應者與承包商之責任可能分散於整條技術供應鏈之中，每一環節皆可能主張「已依規行事」或「僅提供工具╱資料」，致最終責任無人承擔。三種權力移轉分別為：情境建構權（P1）延伸——訓練資料之完整性與代表性，決定了哪些標的團體之需求或違規行為「可被看見」；行政裁量權（P2）移轉——街頭官僚過去擁有面對個案時之自由裁量，現在則被壓縮為對演算法建議之「接受╱覆寫」二選一；公權力影響力（P3）落地與擴散——此為本章最核心之權力位移樣態。政策網路鐵三角亦隨之轉為「平台鐵三角」：平台業者、資料治理機關與政治行動者共生，掌握算力與數據，更封閉且規避遊說法與政治獻金法規範。</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課責赤字概念（多手＋多機器問題）</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精確捕捉AI鑲嵌後責任鏈分散於形式決定者、系統設計者、資料供應者與承包商之現象，補足傳統多手問題理論對技術系統之分析空缺</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課責赤字之具體衡量與究責機制（如Robodebt案例之皇家調查委員會模式）仍待各國持續發展，尚無普遍適用之標準化框架</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四鏈七審框架</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提供情境建構鏈、權威鏈、理由鏈、責任鏈四個檢查點，並各自對應具體審計項目，具高度操作性</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實務應用時仍須依個案（如AFST、Robodebt）之技術系統特性調整檢查重點，並非機械式套用</w:t>
            </w:r>
          </w:p>
        </w:tc>
      </w:tr>
    </w:tbl>
    <w:p>
      <w:pPr>
        <w:spacing w:after="280" w:before="120"/>
        <w:jc w:val="center"/>
      </w:pPr>
      <w:r>
        <w:rPr>
          <w:rFonts w:ascii="微軟正黑體" w:cs="微軟正黑體" w:eastAsia="微軟正黑體" w:hAnsi="微軟正黑體"/>
          <w:i/>
          <w:iCs/>
          <w:color w:val="555555"/>
          <w:sz w:val="18"/>
          <w:szCs w:val="18"/>
        </w:rPr>
        <w:t xml:space="preserve">表13-H　課責赤字治理架構之貢獻與限制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立法院已於2025年12月三讀通過《人工智慧基本法》，2026年1月由總統公布施行，明定七大原則：永續與福祉、人類自主、隱私與資料治理、資安與安全、透明度與可解釋性、公平與不歧視、課責，中央主管機關為國家科學及技術委員會。數位發展部同步推動「政府AI應用沙盒」（TryAI平台），提供符合資安規範的AI試用環境。工具箱包括：監管沙盒（允許AI於可控場域試驗並設落日條款）、演算法影響評估AIA（事前評估隱私、公平與民主衝擊，納入利害諮商，作為合法化要件）、演算法登記簿（參考阿姆斯特丹與赫爾辛基模式，公開政府演算法之目的、資料、風險與救濟，對應監測之順服、審計、會計、解釋四功能，為平台鐵三角之透明化對策）。</w:t>
      </w:r>
    </w:p>
    <w:p>
      <w:pPr>
        <w:spacing w:after="140" w:before="260"/>
      </w:pPr>
      <w:r>
        <w:rPr>
          <w:rFonts w:ascii="微軟正黑體" w:cs="微軟正黑體" w:eastAsia="微軟正黑體" w:hAnsi="微軟正黑體"/>
          <w:b/>
          <w:bCs/>
          <w:color w:val="2E5C8A"/>
          <w:sz w:val="23"/>
          <w:szCs w:val="23"/>
        </w:rPr>
        <w:t xml:space="preserve">七、臺灣行政實務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26"/>
        <w:gridCol w:w="2600"/>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情境建構鏈</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AI風險評分、資格模型或自動閾值嵌入工作流程時，誰的資料被用於訓練、誰被系統性排除</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資料代表性審計、隱私與資安審計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權威鏈</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形式決定者之法定授權，是否涵蓋系統實際執行之資格認定與資源配置角色</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責任歸屬審計、民主課責審計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理由鏈</w:t>
            </w:r>
          </w:p>
        </w:tc>
        <w:tc>
          <w:tcPr>
            <w:tcW w:type="dxa" w:w="4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自動化決定或閾值觸發之理由，是否可向受影響之標的團體說明並受檢驗</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責任鏈</w:t>
            </w:r>
          </w:p>
        </w:tc>
        <w:tc>
          <w:tcPr>
            <w:tcW w:type="dxa" w:w="4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形式決定者、系統設計者、資料供應者與承包商之責任如何劃分，避免「課責赤字」</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表13-I　政策執行階段四鏈七審應用</w:t>
      </w:r>
    </w:p>
    <w:p>
      <w:pPr>
        <w:spacing w:after="200" w:line="360"/>
        <w:ind w:firstLine="431"/>
        <w:jc w:val="both"/>
      </w:pPr>
      <w:r>
        <w:rPr>
          <w:rFonts w:ascii="微軟正黑體" w:cs="微軟正黑體" w:eastAsia="微軟正黑體" w:hAnsi="微軟正黑體"/>
          <w:sz w:val="22"/>
          <w:szCs w:val="22"/>
        </w:rPr>
        <w:t xml:space="preserve">我國財政部電子申報系統之退稅作業，已大量運用自動化規則進行案件放行，多數申報案件經系統比對後直接核退，僅少數被標記為「例外」之案件回流人工複核；裁量從第一線審核人員轉移至制定「放行╱攔截」規則的系統設計者，是理解「交接棒風險」之最佳本土案例——例外案件回流人工複核時，承辦人是否有足夠時間、資訊與誘因進行實質審查，或僅是形式簽核以消化案件量，正是課責赤字在我國實務中之具體縮影。國際上，美國賓州阿勒格尼郡AFST兒少風險篩選工具與澳洲Robodebt機器人債務案，皆為運用四鏈七審檢視AI課責赤字之經典案例：前者訓練資料多取自公部門服務接觸紀錄，致低收入家庭較常被資料化；後者以年度稅務資料反推週期所得，忽略實際所得波動，系統性誤判大量案件，經澳洲皇家調查委員會認定該方案「粗糙、殘酷且違法」。</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①鐵三角、議題網絡、政策社群之比較（結構／參與者／變動性）</w:t>
            </w:r>
          </w:p>
          <w:p>
            <w:pPr>
              <w:spacing w:after="80" w:line="320"/>
            </w:pPr>
            <w:r>
              <w:rPr>
                <w:rFonts w:ascii="微軟正黑體" w:cs="微軟正黑體" w:eastAsia="微軟正黑體" w:hAnsi="微軟正黑體"/>
                <w:sz w:val="21"/>
                <w:szCs w:val="21"/>
              </w:rPr>
              <w:t xml:space="preserve">•　②沉默輸家（Weimer）之定義與四項成因：多數獨裁／資訊不對稱／集體行動邏輯／代間問題</w:t>
            </w:r>
          </w:p>
          <w:p>
            <w:pPr>
              <w:spacing w:after="80" w:line="320"/>
            </w:pPr>
            <w:r>
              <w:rPr>
                <w:rFonts w:ascii="微軟正黑體" w:cs="微軟正黑體" w:eastAsia="微軟正黑體" w:hAnsi="微軟正黑體"/>
                <w:sz w:val="21"/>
                <w:szCs w:val="21"/>
              </w:rPr>
              <w:t xml:space="preserve">•　③俘虜現象與競租之定義；滾木肉桶NIMBY與Wilson成本利益矩陣之連結</w:t>
            </w:r>
          </w:p>
          <w:p>
            <w:pPr>
              <w:spacing w:after="80" w:line="320"/>
            </w:pPr>
            <w:r>
              <w:rPr>
                <w:rFonts w:ascii="微軟正黑體" w:cs="微軟正黑體" w:eastAsia="微軟正黑體" w:hAnsi="微軟正黑體"/>
                <w:sz w:val="21"/>
                <w:szCs w:val="21"/>
              </w:rPr>
              <w:t xml:space="preserve">•　④課責赤字（accountability deficit）：形式決定者、系統設計者、資料供應者與承包商責任分散</w:t>
            </w:r>
          </w:p>
          <w:p>
            <w:pPr>
              <w:spacing w:after="80" w:line="320"/>
            </w:pPr>
            <w:r>
              <w:rPr>
                <w:rFonts w:ascii="微軟正黑體" w:cs="微軟正黑體" w:eastAsia="微軟正黑體" w:hAnsi="微軟正黑體"/>
                <w:sz w:val="21"/>
                <w:szCs w:val="21"/>
              </w:rPr>
              <w:t xml:space="preserve">•　⑤三種權力移轉：P1情境建構權（延伸）／P2行政裁量權（接受╱覆寫二選一）／P3公權力影響力（核心：落地與擴散）</w:t>
            </w:r>
          </w:p>
          <w:p>
            <w:pPr>
              <w:spacing w:after="80" w:line="320"/>
            </w:pPr>
            <w:r>
              <w:rPr>
                <w:rFonts w:ascii="微軟正黑體" w:cs="微軟正黑體" w:eastAsia="微軟正黑體" w:hAnsi="微軟正黑體"/>
                <w:sz w:val="21"/>
                <w:szCs w:val="21"/>
              </w:rPr>
              <w:t xml:space="preserve">•　⑥平台鐵三角：平台業者、資料治理機關、政治行動者共生，較傳統鐵三角更封閉</w:t>
            </w:r>
          </w:p>
          <w:p>
            <w:pPr>
              <w:spacing w:after="80" w:line="320"/>
            </w:pPr>
            <w:r>
              <w:rPr>
                <w:rFonts w:ascii="微軟正黑體" w:cs="微軟正黑體" w:eastAsia="微軟正黑體" w:hAnsi="微軟正黑體"/>
                <w:sz w:val="21"/>
                <w:szCs w:val="21"/>
              </w:rPr>
              <w:t xml:space="preserve">•　⑦四鏈七審框架於AFST、Robodebt、財政部電子申報案例之應用</w:t>
            </w:r>
          </w:p>
          <w:p>
            <w:pPr>
              <w:spacing w:after="0" w:line="320"/>
            </w:pPr>
            <w:r>
              <w:rPr>
                <w:rFonts w:ascii="微軟正黑體" w:cs="微軟正黑體" w:eastAsia="微軟正黑體" w:hAnsi="微軟正黑體"/>
                <w:sz w:val="21"/>
                <w:szCs w:val="21"/>
              </w:rPr>
              <w:t xml:space="preserve">•　⑧《人工智慧基本法》（2025年12月三讀通過）七項原則與國科會主管機關；監管沙盒、AIA、演算法登記簿工具箱</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三種政策參與結構口訣：鐵（三角，嚴密封閉）、議（題網絡，鬆散開放）、政（策社群，中度）——「鐵議政」三字訣，依開放程度遞增</w:t>
            </w:r>
          </w:p>
          <w:p>
            <w:pPr>
              <w:spacing w:after="80" w:line="320"/>
            </w:pPr>
            <w:r>
              <w:rPr>
                <w:rFonts w:ascii="微軟正黑體" w:cs="微軟正黑體" w:eastAsia="微軟正黑體" w:hAnsi="微軟正黑體"/>
                <w:sz w:val="21"/>
                <w:szCs w:val="21"/>
              </w:rPr>
              <w:t xml:space="preserve">•　沉默輸家成因口訣：多（數獨裁）、資（訊不對稱）、集（體行動邏輯）、代（間問題）——「多資集代」四字訣</w:t>
            </w:r>
          </w:p>
          <w:p>
            <w:pPr>
              <w:spacing w:after="80" w:line="320"/>
            </w:pPr>
            <w:r>
              <w:rPr>
                <w:rFonts w:ascii="微軟正黑體" w:cs="微軟正黑體" w:eastAsia="微軟正黑體" w:hAnsi="微軟正黑體"/>
                <w:sz w:val="21"/>
                <w:szCs w:val="21"/>
              </w:rPr>
              <w:t xml:space="preserve">•　課責赤字一句話記憶：大家都說「我只是照規定做」，結果沒有一個人真正負責</w:t>
            </w:r>
          </w:p>
          <w:p>
            <w:pPr>
              <w:spacing w:after="0" w:line="320"/>
            </w:pPr>
            <w:r>
              <w:rPr>
                <w:rFonts w:ascii="微軟正黑體" w:cs="微軟正黑體" w:eastAsia="微軟正黑體" w:hAnsi="微軟正黑體"/>
                <w:sz w:val="21"/>
                <w:szCs w:val="21"/>
              </w:rPr>
              <w:t xml:space="preserve">•　四鏈七審口訣：情（境建構）、權（威）、理（由）、責（任）——「情權理責」四字訣</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沉默輸家」（Weimer，不清楚自身有利害、無力負擔參與成本或無法發聲之人，屬分配性政策之政府失靈）與「俘虜現象」（機關被特定團體運作致公共利益受損而該團體受益）常被考生混為一談——沉默輸家聚焦「受損但發不出聲音的一方」，俘虜聚焦「機關被特定強勢團體實質掌控」，兩者常同時存在於同一政策情境（強勢團體俘虜機關的另一面，正是沉默輸家的存在），但概念指涉對象不同。</w:t>
            </w:r>
          </w:p>
          <w:p>
            <w:pPr>
              <w:spacing w:after="0" w:line="320"/>
            </w:pPr>
            <w:r>
              <w:rPr>
                <w:rFonts w:ascii="微軟正黑體" w:cs="微軟正黑體" w:eastAsia="微軟正黑體" w:hAnsi="微軟正黑體"/>
                <w:sz w:val="21"/>
                <w:szCs w:val="21"/>
              </w:rPr>
              <w:t xml:space="preserve">•　「多手問題」（傳統，責任分散於眾多機關與官員）與「課責赤字」（AI鑲嵌後，責任分散於形式決定者、系統設計者、資料供應者、承包商）常被考生視為完全相同——本章明確指出課責赤字是多手問題之AI延伸（「多手＋多機器」問題），差異在於課責赤字特別強調「技術供應鏈」上非傳統公務體系角色（系統設計者、資料供應者）之責任歸屬困境，作答時應扣緊題目是否涉及AI或演算法系統。</w:t>
            </w:r>
          </w:p>
        </w:tc>
      </w:tr>
    </w:tbl>
    <w:p>
      <w:pPr>
        <w:spacing w:after="26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本章語料庫（107-111年）原尚未查得完全對應一般行政類科之申論真題；惟2026年9月新查得112-115年考選部公告試題後，題目二改列114年國軍上校以上軍官轉任公務人員考試（一般行政）真題，附「考題出處」標示；題目一、題目三仍為依本章母體教材自行設計之模擬命題，附「考題出處（重要說明）」標示。依全書格式定版說明，僅題目一（A級）提供基本得分版、標準版、高分版三種完整答案；題目二（B級）與題目三（C級）改為提供【參考答案·標準版】單一版本，並於【得分關鍵】【常見失分】之後新增【高分加分點】。</w:t>
      </w:r>
    </w:p>
    <w:p>
      <w:pPr>
        <w:spacing w:after="180" w:before="360"/>
      </w:pPr>
      <w:r>
        <w:rPr>
          <w:rFonts w:ascii="微軟正黑體" w:cs="微軟正黑體" w:eastAsia="微軟正黑體" w:hAnsi="微軟正黑體"/>
          <w:b/>
          <w:bCs/>
          <w:color w:val="1F4E79"/>
          <w:sz w:val="26"/>
          <w:szCs w:val="26"/>
        </w:rPr>
        <w:t xml:space="preserve">題目一（A級基本題·模擬命題）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一節母體教材「政策執行之定義、理論演進與執行力模式」自行設計之模擬命題。本語料庫（107-111年）中，本章尚未查得完全對應一般行政類科且直接對應本章理論架構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「請比較政策執行『由上而下』與『由下而上』兩種模式之核心主張與權力關係，並運用Van Meter與Van Horn執行力模式，說明我國具體政策執行案例中影響執行落差之關鍵因素。（25分）」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這是一題「比較分析＋理論應用＋案例應用題」，考生須依序完成：比較由上而下與由下而上模式之核心主張、運用Van Meter與Van Horn六變項分析執行落差、結合我國具體政策案例——僅平行條列兩模式定義而未點出「權力關係」此一題目明確要求之面向，或僅背誦六變項名稱而未具體應用於案例，均屬論述不完整。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由上而下vs由下而上 ＋ 權力關係 ＋ Van Meter與Van Horn執行力模式六變項 ＋ 我國政策案例（長照2.0）。</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一、前言：政策執行作為政治過程</w:t>
      </w:r>
    </w:p>
    <w:p>
      <w:pPr>
        <w:pStyle w:val="ListParagraph"/>
        <w:numPr>
          <w:ilvl w:val="0"/>
          <w:numId w:val="2"/>
        </w:numPr>
        <w:spacing w:after="120" w:line="340"/>
      </w:pPr>
      <w:r>
        <w:rPr>
          <w:rFonts w:ascii="微軟正黑體" w:cs="微軟正黑體" w:eastAsia="微軟正黑體" w:hAnsi="微軟正黑體"/>
          <w:sz w:val="22"/>
          <w:szCs w:val="22"/>
        </w:rPr>
        <w:t xml:space="preserve">二、由上而下與由下而上模式之比較</w:t>
      </w:r>
    </w:p>
    <w:p>
      <w:pPr>
        <w:pStyle w:val="ListParagraph"/>
        <w:numPr>
          <w:ilvl w:val="0"/>
          <w:numId w:val="2"/>
        </w:numPr>
        <w:spacing w:after="120" w:line="340"/>
      </w:pPr>
      <w:r>
        <w:rPr>
          <w:rFonts w:ascii="微軟正黑體" w:cs="微軟正黑體" w:eastAsia="微軟正黑體" w:hAnsi="微軟正黑體"/>
          <w:sz w:val="22"/>
          <w:szCs w:val="22"/>
        </w:rPr>
        <w:t xml:space="preserve">三、Van Meter與Van Horn執行力模式六變項</w:t>
      </w:r>
    </w:p>
    <w:p>
      <w:pPr>
        <w:pStyle w:val="ListParagraph"/>
        <w:numPr>
          <w:ilvl w:val="0"/>
          <w:numId w:val="2"/>
        </w:numPr>
        <w:spacing w:after="120" w:line="340"/>
      </w:pPr>
      <w:r>
        <w:rPr>
          <w:rFonts w:ascii="微軟正黑體" w:cs="微軟正黑體" w:eastAsia="微軟正黑體" w:hAnsi="微軟正黑體"/>
          <w:sz w:val="22"/>
          <w:szCs w:val="22"/>
        </w:rPr>
        <w:t xml:space="preserve">四、我國政策案例應用（長照2.0）</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政策執行指將選定之政策方案付諸實行的過程，Pressman與Wildavsky（1973）指出，執行充滿決策點與共同行動困境，多決策點連乘會導致執行成功率遞減。</w:t>
      </w:r>
    </w:p>
    <w:p>
      <w:pPr>
        <w:spacing w:after="200" w:line="360"/>
        <w:ind w:firstLine="431"/>
        <w:jc w:val="both"/>
      </w:pPr>
      <w:r>
        <w:rPr>
          <w:rFonts w:ascii="微軟正黑體" w:cs="微軟正黑體" w:eastAsia="微軟正黑體" w:hAnsi="微軟正黑體"/>
          <w:sz w:val="22"/>
          <w:szCs w:val="22"/>
        </w:rPr>
        <w:t xml:space="preserve">由上而下模式主張政策制定與執行分立，執行主導權在上級，制定者設定目標、執行者達成目標，重視法規制約與層級監督；由下而上模式主張制定與執行互動，執行主導權在基層機關與街頭官僚，強調基層裁量與實地適應。</w:t>
      </w:r>
    </w:p>
    <w:p>
      <w:pPr>
        <w:spacing w:after="200" w:line="360"/>
        <w:ind w:firstLine="431"/>
        <w:jc w:val="both"/>
      </w:pPr>
      <w:r>
        <w:rPr>
          <w:rFonts w:ascii="微軟正黑體" w:cs="微軟正黑體" w:eastAsia="微軟正黑體" w:hAnsi="微軟正黑體"/>
          <w:sz w:val="22"/>
          <w:szCs w:val="22"/>
        </w:rPr>
        <w:t xml:space="preserve">Van Meter與Van Horn提出六變項作為診斷執行落差之工具：政策目標與資源、執行機關特性、機關間溝通與活動、執行人員裁量、社會經濟政治環境、執行績效。以我國長照2.0為例，中央衛福部訂定整體規劃（由上而下），地方政府與非營利組織依社區需求協作落實（由下而上），兼具兩種模式特徵；影響其執行落差之關鍵變項包括機關間溝通（中央地方協調）與執行機關特性（地方人力資源配置）。</w:t>
      </w:r>
    </w:p>
    <w:p>
      <w:pPr>
        <w:spacing w:after="100" w:before="160"/>
      </w:pPr>
      <w:r>
        <w:rPr>
          <w:rFonts w:ascii="微軟正黑體" w:cs="微軟正黑體" w:eastAsia="微軟正黑體" w:hAnsi="微軟正黑體"/>
          <w:b/>
          <w:bCs/>
          <w:color w:val="444444"/>
          <w:sz w:val="21"/>
          <w:szCs w:val="21"/>
        </w:rPr>
        <w:t xml:space="preserve">【參考答案·標準版】（約1,150-1,400字，主要示範答案）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再良善的政策意圖，若無法轉化為具體的執行行動，終究只是一紙空文。Pressman與Wildavsky於1973年之經典研究《執行》指出，執行從來不是政策的自動延伸，而是充滿決策點與共同行動困境的政治過程，此一洞見至今仍是理解政策執行之理論基礎。</w:t>
      </w:r>
    </w:p>
    <w:p>
      <w:pPr>
        <w:spacing w:after="200" w:line="360"/>
        <w:ind w:firstLine="431"/>
        <w:jc w:val="both"/>
      </w:pPr>
      <w:r>
        <w:rPr>
          <w:rFonts w:ascii="微軟正黑體" w:cs="微軟正黑體" w:eastAsia="微軟正黑體" w:hAnsi="微軟正黑體"/>
          <w:sz w:val="22"/>
          <w:szCs w:val="22"/>
        </w:rPr>
        <w:t xml:space="preserve">二、由上而下與由下而上模式之比較</w:t>
      </w:r>
    </w:p>
    <w:p>
      <w:pPr>
        <w:spacing w:after="200" w:line="360"/>
        <w:ind w:firstLine="431"/>
        <w:jc w:val="both"/>
      </w:pPr>
      <w:r>
        <w:rPr>
          <w:rFonts w:ascii="微軟正黑體" w:cs="微軟正黑體" w:eastAsia="微軟正黑體" w:hAnsi="微軟正黑體"/>
          <w:sz w:val="22"/>
          <w:szCs w:val="22"/>
        </w:rPr>
        <w:t xml:space="preserve">學者Sabatier區分兩種理念型模式：其一，由上而下模式，主張政策制定與執行分立，政策規劃在先、執行在後，執行主導權在上級，制定者設定目標，執行者達成目標，重視法規制約與層級監督，優點是目標明確、課責清晰，缺點是忽略基層實際執行之複雜性；其二，由下而上模式，主張制定與執行互動，執行主導權在基層機關與街頭官僚，決策者與執行者共同協商，強調基層裁量與實地適應，優點是貼近實務、彈性因應，缺點是可能削弱中央政策一致性與課責明確性。兩者實為理念型光譜之兩端，多數實際個案兼具雙重特徵，不宜二元對立看待。</w:t>
      </w:r>
    </w:p>
    <w:p>
      <w:pPr>
        <w:spacing w:after="200" w:line="360"/>
        <w:ind w:firstLine="431"/>
        <w:jc w:val="both"/>
      </w:pPr>
      <w:r>
        <w:rPr>
          <w:rFonts w:ascii="微軟正黑體" w:cs="微軟正黑體" w:eastAsia="微軟正黑體" w:hAnsi="微軟正黑體"/>
          <w:sz w:val="22"/>
          <w:szCs w:val="22"/>
        </w:rPr>
        <w:t xml:space="preserve">三、Van Meter與Van Horn執行力模式六變項</w:t>
      </w:r>
    </w:p>
    <w:p>
      <w:pPr>
        <w:spacing w:after="200" w:line="360"/>
        <w:ind w:firstLine="431"/>
        <w:jc w:val="both"/>
      </w:pPr>
      <w:r>
        <w:rPr>
          <w:rFonts w:ascii="微軟正黑體" w:cs="微軟正黑體" w:eastAsia="微軟正黑體" w:hAnsi="微軟正黑體"/>
          <w:sz w:val="22"/>
          <w:szCs w:val="22"/>
        </w:rPr>
        <w:t xml:space="preserve">Van Meter與Van Horn提出六變項作為診斷執行落差之經典工具：其一，政策目標與資源，目標是否明確、資源是否充足；其二，執行機關特性，含資源配置、人員意願、組織氣候；其三，機關間溝通與活動，跨機關協調品質直接影響執行一致性；其四，執行人員裁量，第一線人員之自由裁量空間；其五，社會經濟政治環境，外部環境對執行之促進或阻礙；其六，執行績效，最終呈現之執行成果。此一模式至今仍是診斷執行落差的重要工具，惟在演算法嵌入執行流程後，需額外檢視「系統建議接受率」與「覆核實質性」等新變項。</w:t>
      </w:r>
    </w:p>
    <w:p>
      <w:pPr>
        <w:spacing w:after="200" w:line="360"/>
        <w:ind w:firstLine="431"/>
        <w:jc w:val="both"/>
      </w:pPr>
      <w:r>
        <w:rPr>
          <w:rFonts w:ascii="微軟正黑體" w:cs="微軟正黑體" w:eastAsia="微軟正黑體" w:hAnsi="微軟正黑體"/>
          <w:sz w:val="22"/>
          <w:szCs w:val="22"/>
        </w:rPr>
        <w:t xml:space="preserve">四、我國政策案例應用（長照2.0）</w:t>
      </w:r>
    </w:p>
    <w:p>
      <w:pPr>
        <w:spacing w:after="200" w:line="360"/>
        <w:ind w:firstLine="431"/>
        <w:jc w:val="both"/>
      </w:pPr>
      <w:r>
        <w:rPr>
          <w:rFonts w:ascii="微軟正黑體" w:cs="微軟正黑體" w:eastAsia="微軟正黑體" w:hAnsi="微軟正黑體"/>
          <w:sz w:val="22"/>
          <w:szCs w:val="22"/>
        </w:rPr>
        <w:t xml:space="preserve">我國長照2.0政策為由上而下與由下而上模式並存之典型案例：中央衛福部訂定整體規劃、財源與資源配置原則，體現由上而下之目標設定；地方政府與眾多非營利組織則依社區實際需求與人力條件協作落實服務輸送，體現由下而上之基層裁量與實地適應。以Van Meter與Van Horn六變項分析，其執行落差之關鍵因素包括：機關間溝通（中央與地方、跨局處之協調品質）與執行機關特性（地方長照人力資源配置與組織氣候之城鄉差異），此二變項往往是決定長照服務普及率與品質是否符合政策目標之關鍵瓶頸。</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政策執行不是政策制定後的自動延伸，而是充滿決策點、裁量空間與課責挑戰的再政治化過程；由上而下與由下而上模式提供理解執行主導權歸屬之分析光譜，Van Meter與Van Horn六變項則提供具體診斷執行落差之操作工具，兩者結合方能完整掌握我國長照2.0等具體政策執行案例之成敗關鍵。</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補充理論深化：可引入Thompson多手問題（many hands problem），說明政府決策與執行由許多機關與官員以不同方式實現，導致最終責任歸屬難以確認，此與長照2.0中央地方多層次協作之課責挑戰高度相關。</w:t>
      </w:r>
    </w:p>
    <w:p>
      <w:pPr>
        <w:pStyle w:val="ListParagraph"/>
        <w:numPr>
          <w:ilvl w:val="0"/>
          <w:numId w:val="2"/>
        </w:numPr>
        <w:spacing w:after="120" w:line="340"/>
      </w:pPr>
      <w:r>
        <w:rPr>
          <w:rFonts w:ascii="微軟正黑體" w:cs="微軟正黑體" w:eastAsia="微軟正黑體" w:hAnsi="微軟正黑體"/>
          <w:sz w:val="22"/>
          <w:szCs w:val="22"/>
        </w:rPr>
        <w:t xml:space="preserve">補充研究世代脈絡：可指出政策執行研究歷經三代演進——第一代（1970s）個案實務探索、第二代（1980s）由上而下vs由下而上理論架構建立、第三代（1990s後）整合途徑並引入網絡治理，展現對學術脈絡之完整掌握。</w:t>
      </w:r>
    </w:p>
    <w:p>
      <w:pPr>
        <w:pStyle w:val="ListParagraph"/>
        <w:numPr>
          <w:ilvl w:val="0"/>
          <w:numId w:val="2"/>
        </w:numPr>
        <w:spacing w:after="120" w:line="340"/>
      </w:pPr>
      <w:r>
        <w:rPr>
          <w:rFonts w:ascii="微軟正黑體" w:cs="微軟正黑體" w:eastAsia="微軟正黑體" w:hAnsi="微軟正黑體"/>
          <w:sz w:val="22"/>
          <w:szCs w:val="22"/>
        </w:rPr>
        <w:t xml:space="preserve">補充AI治理視角：可延伸說明，當代政策執行如大量導入自動化系統（如財政部電子申報自動核退），Van Meter與Van Horn執行力模式須額外檢視「系統建議接受率」與「覆核實質性」，呼應本章第四節課責赤字之當代發展。</w:t>
      </w:r>
    </w:p>
    <w:p>
      <w:pPr>
        <w:pStyle w:val="ListParagraph"/>
        <w:numPr>
          <w:ilvl w:val="0"/>
          <w:numId w:val="2"/>
        </w:numPr>
        <w:spacing w:after="120" w:line="340"/>
      </w:pPr>
      <w:r>
        <w:rPr>
          <w:rFonts w:ascii="微軟正黑體" w:cs="微軟正黑體" w:eastAsia="微軟正黑體" w:hAnsi="微軟正黑體"/>
          <w:sz w:val="22"/>
          <w:szCs w:val="22"/>
        </w:rPr>
        <w:t xml:space="preserve">補充比較案例：可另舉口罩實名制為例，說明其結合中央（健保署系統）與地方（超商通路）之由上而下—由下而上混合特徵，與長照2.0形成對照，展現多案例對照之答題廣度。</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由上而下與由下而上模式之比較，須明確點出「權力關係」（此為題目明確要求之面向），不可僅平行條列兩模式定義。</w:t>
      </w:r>
    </w:p>
    <w:p>
      <w:pPr>
        <w:pStyle w:val="ListParagraph"/>
        <w:numPr>
          <w:ilvl w:val="0"/>
          <w:numId w:val="2"/>
        </w:numPr>
        <w:spacing w:after="120" w:line="340"/>
      </w:pPr>
      <w:r>
        <w:rPr>
          <w:rFonts w:ascii="微軟正黑體" w:cs="微軟正黑體" w:eastAsia="微軟正黑體" w:hAnsi="微軟正黑體"/>
          <w:sz w:val="22"/>
          <w:szCs w:val="22"/>
        </w:rPr>
        <w:t xml:space="preserve">Van Meter與Van Horn六變項須逐一完整說明，並具體應用於我國政策案例，不可僅背誦變項名稱。</w:t>
      </w:r>
    </w:p>
    <w:p>
      <w:pPr>
        <w:pStyle w:val="ListParagraph"/>
        <w:numPr>
          <w:ilvl w:val="0"/>
          <w:numId w:val="2"/>
        </w:numPr>
        <w:spacing w:after="120" w:line="340"/>
      </w:pPr>
      <w:r>
        <w:rPr>
          <w:rFonts w:ascii="微軟正黑體" w:cs="微軟正黑體" w:eastAsia="微軟正黑體" w:hAnsi="微軟正黑體"/>
          <w:sz w:val="22"/>
          <w:szCs w:val="22"/>
        </w:rPr>
        <w:t xml:space="preserve">案例應用須具體指出哪些變項是影響執行落差之「關鍵因素」，不可僅描述政策內容而未扣連理論分析。</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僅背誦由上而下與由下而上之定義，未點出兩者於「權力關係」上之核心差異。</w:t>
      </w:r>
    </w:p>
    <w:p>
      <w:pPr>
        <w:pStyle w:val="ListParagraph"/>
        <w:numPr>
          <w:ilvl w:val="0"/>
          <w:numId w:val="2"/>
        </w:numPr>
        <w:spacing w:after="120" w:line="340"/>
      </w:pPr>
      <w:r>
        <w:rPr>
          <w:rFonts w:ascii="微軟正黑體" w:cs="微軟正黑體" w:eastAsia="微軟正黑體" w:hAnsi="微軟正黑體"/>
          <w:sz w:val="22"/>
          <w:szCs w:val="22"/>
        </w:rPr>
        <w:t xml:space="preserve">❌ 僅列舉Van Meter與Van Horn六變項名稱，未具體說明其於長照2.0等案例中之應用。</w:t>
      </w:r>
    </w:p>
    <w:p>
      <w:pPr>
        <w:pStyle w:val="ListParagraph"/>
        <w:numPr>
          <w:ilvl w:val="0"/>
          <w:numId w:val="2"/>
        </w:numPr>
        <w:spacing w:after="120" w:line="340"/>
      </w:pPr>
      <w:r>
        <w:rPr>
          <w:rFonts w:ascii="微軟正黑體" w:cs="微軟正黑體" w:eastAsia="微軟正黑體" w:hAnsi="微軟正黑體"/>
          <w:sz w:val="22"/>
          <w:szCs w:val="22"/>
        </w:rPr>
        <w:t xml:space="preserve">❌ 案例描述與理論分析脫節，僅描述政策內容始末而未扣連執行力模式六變項。</w:t>
      </w:r>
    </w:p>
    <w:p>
      <w:pPr>
        <w:spacing w:after="220"/>
      </w:pPr>
    </w:p>
    <w:p>
      <w:pPr>
        <w:spacing w:after="180" w:before="360"/>
      </w:pPr>
      <w:r>
        <w:rPr>
          <w:rFonts w:ascii="微軟正黑體" w:cs="微軟正黑體" w:eastAsia="微軟正黑體" w:hAnsi="微軟正黑體"/>
          <w:b/>
          <w:bCs/>
          <w:color w:val="1F4E79"/>
          <w:sz w:val="26"/>
          <w:szCs w:val="26"/>
        </w:rPr>
        <w:t xml:space="preserve">題目二（B級申論題·114年上校轉任考試）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考題出處</w:t>
            </w:r>
          </w:p>
          <w:p>
            <w:pPr>
              <w:spacing w:line="340"/>
              <w:jc w:val="both"/>
            </w:pPr>
            <w:r>
              <w:rPr>
                <w:rFonts w:ascii="微軟正黑體" w:cs="微軟正黑體" w:eastAsia="微軟正黑體" w:hAnsi="微軟正黑體"/>
                <w:sz w:val="21"/>
                <w:szCs w:val="21"/>
              </w:rPr>
              <w:t xml:space="preserve">114年公務人員特種考試關務人員、身心障礙人員考試及114年國軍上校以上軍官轉任公務人員考試（上校轉任考試，一般行政），行政學，申論題第一題（25分）——類科標示一般行政，屬軍轉文職考試，本質仍為行政學，依使用者確認納入正式真題。</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「政府在面對各種社會問題時，通常可以運用那些『政策工具』（policy instruments）來應對？試以促進全民健康為例加以申論。（25分）」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闡釋＋政策領域應用題」，考生須依序完成：說明Howlett與Ramesh依公權力介入程度提出之三類政策工具、以促進全民健康為例逐一對應設計具體工具組合——僅列舉工具類型名稱而未逐一說明介入程度與特徵，或全民健康之舉例流於空泛未具體對應工具類型，均屬論述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Howlett &amp; Ramesh三類政策工具 ＋ 自願性╱混合性╱強制性 ＋ 促進全民健康之工具組合設計（policy mix）。</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一、前言：政策工具作為政府回應社會問題之連鎖</w:t>
      </w:r>
    </w:p>
    <w:p>
      <w:pPr>
        <w:pStyle w:val="ListParagraph"/>
        <w:numPr>
          <w:ilvl w:val="0"/>
          <w:numId w:val="2"/>
        </w:numPr>
        <w:spacing w:after="120" w:line="340"/>
      </w:pPr>
      <w:r>
        <w:rPr>
          <w:rFonts w:ascii="微軟正黑體" w:cs="微軟正黑體" w:eastAsia="微軟正黑體" w:hAnsi="微軟正黑體"/>
          <w:sz w:val="22"/>
          <w:szCs w:val="22"/>
        </w:rPr>
        <w:t xml:space="preserve">二、Howlett &amp; Ramesh三類政策工具之內涵</w:t>
      </w:r>
    </w:p>
    <w:p>
      <w:pPr>
        <w:pStyle w:val="ListParagraph"/>
        <w:numPr>
          <w:ilvl w:val="0"/>
          <w:numId w:val="2"/>
        </w:numPr>
        <w:spacing w:after="120" w:line="340"/>
      </w:pPr>
      <w:r>
        <w:rPr>
          <w:rFonts w:ascii="微軟正黑體" w:cs="微軟正黑體" w:eastAsia="微軟正黑體" w:hAnsi="微軟正黑體"/>
          <w:sz w:val="22"/>
          <w:szCs w:val="22"/>
        </w:rPr>
        <w:t xml:space="preserve">三、以促進全民健康為例之政策工具組合設計</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【參考答案·標準版】（約1,150字）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政策工具指政府在面對社會問題時，為達成政策目標而選擇採取之具體手段或方法，其選擇並非任意，而須依政策目標之性質、標的團體之特性，以及公權力介入之必要程度綜合判斷。Howlett與Ramesh依政府介入程度提出之三類政策工具分類，是理解政府如何回應社會問題（如促進全民健康）之基礎架構。</w:t>
      </w:r>
    </w:p>
    <w:p>
      <w:pPr>
        <w:spacing w:after="200" w:line="360"/>
        <w:ind w:firstLine="431"/>
        <w:jc w:val="both"/>
      </w:pPr>
      <w:r>
        <w:rPr>
          <w:rFonts w:ascii="微軟正黑體" w:cs="微軟正黑體" w:eastAsia="微軟正黑體" w:hAnsi="微軟正黑體"/>
          <w:sz w:val="22"/>
          <w:szCs w:val="22"/>
        </w:rPr>
        <w:t xml:space="preserve">二、Howlett &amp; Ramesh三類政策工具之內涵</w:t>
      </w:r>
    </w:p>
    <w:p>
      <w:pPr>
        <w:spacing w:after="200" w:line="360"/>
        <w:ind w:firstLine="431"/>
        <w:jc w:val="both"/>
      </w:pPr>
      <w:r>
        <w:rPr>
          <w:rFonts w:ascii="微軟正黑體" w:cs="微軟正黑體" w:eastAsia="微軟正黑體" w:hAnsi="微軟正黑體"/>
          <w:sz w:val="22"/>
          <w:szCs w:val="22"/>
        </w:rPr>
        <w:t xml:space="preserve">其一，自願性工具，政府幾乎不介入，成本最低，仰賴市場機制、社區與家庭自發運作，如民間衛生教育團體自發辦理健康講座、社區志工推動長者共餐；其二，混合性工具，政府中度介入，透過提供資訊供民眾自主決策、以財務誘因引導順服行為，如衛生福利部提供正確用藥與飲食資訊、對戒菸者提供補助、對規律運動者提供健保部分負擔優惠；其三，強制性工具，政府高度介入，透過法規強制遵守或直接提供公共財，如強制檢疫隔離、菸酒管制法規、全民健康保險之強制納保與直接提供醫療服務。三類工具依政府介入程度形成一道光譜，當代政府極少單一使用，而是視政策目標通盤設計組合運用。</w:t>
      </w:r>
    </w:p>
    <w:p>
      <w:pPr>
        <w:spacing w:after="200" w:line="360"/>
        <w:ind w:firstLine="431"/>
        <w:jc w:val="both"/>
      </w:pPr>
      <w:r>
        <w:rPr>
          <w:rFonts w:ascii="微軟正黑體" w:cs="微軟正黑體" w:eastAsia="微軟正黑體" w:hAnsi="微軟正黑體"/>
          <w:sz w:val="22"/>
          <w:szCs w:val="22"/>
        </w:rPr>
        <w:t xml:space="preserve">三、以促進全民健康為例之政策工具組合設計</w:t>
      </w:r>
    </w:p>
    <w:p>
      <w:pPr>
        <w:spacing w:after="200" w:line="360"/>
        <w:ind w:firstLine="431"/>
        <w:jc w:val="both"/>
      </w:pPr>
      <w:r>
        <w:rPr>
          <w:rFonts w:ascii="微軟正黑體" w:cs="微軟正黑體" w:eastAsia="微軟正黑體" w:hAnsi="微軟正黑體"/>
          <w:sz w:val="22"/>
          <w:szCs w:val="22"/>
        </w:rPr>
        <w:t xml:space="preserve">以促進全民健康為政策目標，政府可設計涵蓋三類工具之完整組合：自願性工具方面，鼓勵民間團體、社區與企業自發辦理健康促進活動，如職場健康操、社區樂齡運動班；混合性工具方面，以財務誘因與資訊提供引導健康行為，如菸品健康福利捐（寓禁於徵，兼具財務課徵與行為導引雙重效果）、提供正確飲食與運動資訊供民眾自主決策；強制性工具方面，以法規強制規範風險行為並提供基礎醫療保障，如公共場所禁菸法規（菸害防制法）、食品標示與添加物管制、全民健康保險強制納保並由政府直接提供醫療給付。三類工具協同運用，方能兼顧誘因引導之彈性與強制規範之基礎保障，達成促進全民健康之政策目標。</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政策工具之選擇與組合設計，須依政策目標、標的團體特性與公權力介入之必要程度綜合判斷，Howlett與Ramesh三類工具提供依介入程度區分之基礎架構；以促進全民健康為例，政府須通盤運用自願、混合、強制三類工具，方能在尊重民眾自主與確保基礎健康保障之間取得平衡，達成政策目標。</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Howlett &amp; Ramesh三類政策工具須逐一完整說明其介入程度與具體實例，不可僅列出類型名稱。</w:t>
      </w:r>
    </w:p>
    <w:p>
      <w:pPr>
        <w:pStyle w:val="ListParagraph"/>
        <w:numPr>
          <w:ilvl w:val="0"/>
          <w:numId w:val="2"/>
        </w:numPr>
        <w:spacing w:after="120" w:line="340"/>
      </w:pPr>
      <w:r>
        <w:rPr>
          <w:rFonts w:ascii="微軟正黑體" w:cs="微軟正黑體" w:eastAsia="微軟正黑體" w:hAnsi="微軟正黑體"/>
          <w:sz w:val="22"/>
          <w:szCs w:val="22"/>
        </w:rPr>
        <w:t xml:space="preserve">促進全民健康之舉例須逐一對應三類工具，不可籠統帶過而未具體區分類型。</w:t>
      </w:r>
    </w:p>
    <w:p>
      <w:pPr>
        <w:pStyle w:val="ListParagraph"/>
        <w:numPr>
          <w:ilvl w:val="0"/>
          <w:numId w:val="2"/>
        </w:numPr>
        <w:spacing w:after="120" w:line="340"/>
      </w:pPr>
      <w:r>
        <w:rPr>
          <w:rFonts w:ascii="微軟正黑體" w:cs="微軟正黑體" w:eastAsia="微軟正黑體" w:hAnsi="微軟正黑體"/>
          <w:sz w:val="22"/>
          <w:szCs w:val="22"/>
        </w:rPr>
        <w:t xml:space="preserve">若能指出當代政府多採「工具組合」（policy mix）而非單一工具，展現對政策工具理論之整體掌握，是本題拉開分數差距之關鍵。</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僅列舉工具類型名稱（自願、混合、強制），未說明各類型之介入程度與具體特徵。</w:t>
      </w:r>
    </w:p>
    <w:p>
      <w:pPr>
        <w:pStyle w:val="ListParagraph"/>
        <w:numPr>
          <w:ilvl w:val="0"/>
          <w:numId w:val="2"/>
        </w:numPr>
        <w:spacing w:after="120" w:line="340"/>
      </w:pPr>
      <w:r>
        <w:rPr>
          <w:rFonts w:ascii="微軟正黑體" w:cs="微軟正黑體" w:eastAsia="微軟正黑體" w:hAnsi="微軟正黑體"/>
          <w:sz w:val="22"/>
          <w:szCs w:val="22"/>
        </w:rPr>
        <w:t xml:space="preserve">❌ 全民健康舉例流於空泛（如僅稱「政府應該宣導健康觀念」），未具體對應政策工具類型。</w:t>
      </w:r>
    </w:p>
    <w:p>
      <w:pPr>
        <w:pStyle w:val="ListParagraph"/>
        <w:numPr>
          <w:ilvl w:val="0"/>
          <w:numId w:val="2"/>
        </w:numPr>
        <w:spacing w:after="120" w:line="340"/>
      </w:pPr>
      <w:r>
        <w:rPr>
          <w:rFonts w:ascii="微軟正黑體" w:cs="微軟正黑體" w:eastAsia="微軟正黑體" w:hAnsi="微軟正黑體"/>
          <w:sz w:val="22"/>
          <w:szCs w:val="22"/>
        </w:rPr>
        <w:t xml:space="preserve">❌ 未能舉出具體我國健康政策實例（如菸捐、全民健保、健康促進計畫）佐證，流於抽象論述。</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演算法作為「第四類政策工具」之特性（自動化決策、資料驅動、可擴展）與RegTech（監理科技）之意涵，說明當代健康政策（如健保署AI輔助審查、疾管署疫情預警系統）已逐漸納入第四類工具，展現理論之當代延伸，呼應本章第二節與第四節之AI鑲嵌內容。</w:t>
      </w:r>
    </w:p>
    <w:p>
      <w:pPr>
        <w:pStyle w:val="ListParagraph"/>
        <w:numPr>
          <w:ilvl w:val="0"/>
          <w:numId w:val="2"/>
        </w:numPr>
        <w:spacing w:after="120" w:line="340"/>
      </w:pPr>
      <w:r>
        <w:rPr>
          <w:rFonts w:ascii="微軟正黑體" w:cs="微軟正黑體" w:eastAsia="微軟正黑體" w:hAnsi="微軟正黑體"/>
          <w:sz w:val="22"/>
          <w:szCs w:val="22"/>
        </w:rPr>
        <w:t xml:space="preserve">可補充比較Weimer &amp; Vining（福利經濟學角度）與Schneider &amp; Ingram（標的團體建構）兩種工具分類角度，展現對政策工具理論多元光譜之掌握。</w:t>
      </w:r>
    </w:p>
    <w:p>
      <w:pPr>
        <w:pStyle w:val="ListParagraph"/>
        <w:numPr>
          <w:ilvl w:val="0"/>
          <w:numId w:val="2"/>
        </w:numPr>
        <w:spacing w:after="120" w:line="340"/>
      </w:pPr>
      <w:r>
        <w:rPr>
          <w:rFonts w:ascii="微軟正黑體" w:cs="微軟正黑體" w:eastAsia="微軟正黑體" w:hAnsi="微軟正黑體"/>
          <w:sz w:val="22"/>
          <w:szCs w:val="22"/>
        </w:rPr>
        <w:t xml:space="preserve">可補充「工具組合」（policy mix）之具體案例，以我國菸害防制政策為例（菸捐屬混合性工具之財務課徵、菸品健康警示屬資訊性工具、公共場所禁菸屬強制性管制），說明單一政策領域常需多類工具協同運用方能達成目標。</w:t>
      </w:r>
    </w:p>
    <w:p>
      <w:pPr>
        <w:pStyle w:val="ListParagraph"/>
        <w:numPr>
          <w:ilvl w:val="0"/>
          <w:numId w:val="2"/>
        </w:numPr>
        <w:spacing w:after="120" w:line="340"/>
      </w:pPr>
      <w:r>
        <w:rPr>
          <w:rFonts w:ascii="微軟正黑體" w:cs="微軟正黑體" w:eastAsia="微軟正黑體" w:hAnsi="微軟正黑體"/>
          <w:sz w:val="22"/>
          <w:szCs w:val="22"/>
        </w:rPr>
        <w:t xml:space="preserve">可補充NIMBY（鄰避症候群）與滾木肉桶概念在健康政策設施選址（如療養機構、成癮治療中心）之應用，深化政策工具與政府失靈議題之跨節整合。</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四節母體教材「政策網路與AI鑲嵌下的課責赤字」與「四鏈七審框架」自行設計之模擬命題。本語料庫（107-111年）中，本章尚未查得與AI鑲嵌政策執行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「當政府採購民間開發之AI風險評分系統，並將其嵌入政策執行工作流程（如社福資格認定或稅務核退），請說明此一現象如何導致責任鏈之『課責赤字』（accountability deficit）？並運用『四鏈七審』框架，設計一套具體的執行監測機制以降低課責赤字風險。（25分）」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現象分析＋概念應用＋制度設計題」，考生須依序完成：說明AI風險評分系統嵌入執行工作流程如何導致課責赤字、運用四鏈七審框架逐一分析、提出具體監測機制設計——僅泛稱「AI有風險」而未扣連「責任鏈分散」此一課責赤字之核心定義，或監測機制設計未逐一對應四鏈，屬論述深度不足。</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AI風險評分系統 ＋ 責任鏈課責赤字 ＋ 四鏈七審框架 ＋ 執行監測機制設計。</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一、前言：政策執行階段AI鑲嵌之課責挑戰</w:t>
      </w:r>
    </w:p>
    <w:p>
      <w:pPr>
        <w:pStyle w:val="ListParagraph"/>
        <w:numPr>
          <w:ilvl w:val="0"/>
          <w:numId w:val="2"/>
        </w:numPr>
        <w:spacing w:after="120" w:line="340"/>
      </w:pPr>
      <w:r>
        <w:rPr>
          <w:rFonts w:ascii="微軟正黑體" w:cs="微軟正黑體" w:eastAsia="微軟正黑體" w:hAnsi="微軟正黑體"/>
          <w:sz w:val="22"/>
          <w:szCs w:val="22"/>
        </w:rPr>
        <w:t xml:space="preserve">二、課責赤字之現象與成因分析</w:t>
      </w:r>
    </w:p>
    <w:p>
      <w:pPr>
        <w:pStyle w:val="ListParagraph"/>
        <w:numPr>
          <w:ilvl w:val="0"/>
          <w:numId w:val="2"/>
        </w:numPr>
        <w:spacing w:after="120" w:line="340"/>
      </w:pPr>
      <w:r>
        <w:rPr>
          <w:rFonts w:ascii="微軟正黑體" w:cs="微軟正黑體" w:eastAsia="微軟正黑體" w:hAnsi="微軟正黑體"/>
          <w:sz w:val="22"/>
          <w:szCs w:val="22"/>
        </w:rPr>
        <w:t xml:space="preserve">三、以四鏈七審框架逐一分析責任斷裂點</w:t>
      </w:r>
    </w:p>
    <w:p>
      <w:pPr>
        <w:pStyle w:val="ListParagraph"/>
        <w:numPr>
          <w:ilvl w:val="0"/>
          <w:numId w:val="2"/>
        </w:numPr>
        <w:spacing w:after="120" w:line="340"/>
      </w:pPr>
      <w:r>
        <w:rPr>
          <w:rFonts w:ascii="微軟正黑體" w:cs="微軟正黑體" w:eastAsia="微軟正黑體" w:hAnsi="微軟正黑體"/>
          <w:sz w:val="22"/>
          <w:szCs w:val="22"/>
        </w:rPr>
        <w:t xml:space="preserve">四、具體執行監測機制設計</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政策執行是P3公權力決定之實質影響力移轉落地的關鍵節點：政策一旦通過合法化程序，便須轉化為資格認定、資源配置、管制與服務提供等具體行政行為。當政府採購民間開發之AI風險評分系統並嵌入此一工作流程時，形式決定者、系統設計者、資料供應者與承包商之責任可能分散，形成本章所稱之責任鏈「課責赤字」（accountability deficit）。</w:t>
      </w:r>
    </w:p>
    <w:p>
      <w:pPr>
        <w:spacing w:after="200" w:line="360"/>
        <w:ind w:firstLine="431"/>
        <w:jc w:val="both"/>
      </w:pPr>
      <w:r>
        <w:rPr>
          <w:rFonts w:ascii="微軟正黑體" w:cs="微軟正黑體" w:eastAsia="微軟正黑體" w:hAnsi="微軟正黑體"/>
          <w:sz w:val="22"/>
          <w:szCs w:val="22"/>
        </w:rPr>
        <w:t xml:space="preserve">二、課責赤字之現象與成因分析</w:t>
      </w:r>
    </w:p>
    <w:p>
      <w:pPr>
        <w:spacing w:after="200" w:line="360"/>
        <w:ind w:firstLine="431"/>
        <w:jc w:val="both"/>
      </w:pPr>
      <w:r>
        <w:rPr>
          <w:rFonts w:ascii="微軟正黑體" w:cs="微軟正黑體" w:eastAsia="微軟正黑體" w:hAnsi="微軟正黑體"/>
          <w:sz w:val="22"/>
          <w:szCs w:val="22"/>
        </w:rPr>
        <w:t xml:space="preserve">課責赤字之核心成因，在於Thompson所提出之多手問題（many hands problem）於AI時代之延伸——「多手＋多機器」問題：政府決策與執行原已由許多機關與官員以不同方式實現，導致責任歸屬本已不易確認；當AI風險評分系統加入後，系統設計者（撰寫演算法與設定閾值者）、資料供應者（提供訓練資料者）、模型訓練者、承包商（負責系統維運者）等技術供應鏈上之角色，與形式決定者（具名公務員）共同參與決定過程，卻分屬不同法律關係與課責機制。當執行結果出現爭議或損害（如誤判資格、誤發債務通知）時，每一環節皆可能主張「已依規行事」或「僅提供工具╱資料」，致最終責任無人真正承擔，即便個別環節皆「依規行事」，整體結果仍可能無人負責。</w:t>
      </w:r>
    </w:p>
    <w:p>
      <w:pPr>
        <w:spacing w:after="200" w:line="360"/>
        <w:ind w:firstLine="431"/>
        <w:jc w:val="both"/>
      </w:pPr>
      <w:r>
        <w:rPr>
          <w:rFonts w:ascii="微軟正黑體" w:cs="微軟正黑體" w:eastAsia="微軟正黑體" w:hAnsi="微軟正黑體"/>
          <w:sz w:val="22"/>
          <w:szCs w:val="22"/>
        </w:rPr>
        <w:t xml:space="preserve">三、以四鏈七審框架逐一分析責任斷裂點</w:t>
      </w:r>
    </w:p>
    <w:p>
      <w:pPr>
        <w:spacing w:after="200" w:line="360"/>
        <w:ind w:firstLine="431"/>
        <w:jc w:val="both"/>
      </w:pPr>
      <w:r>
        <w:rPr>
          <w:rFonts w:ascii="微軟正黑體" w:cs="微軟正黑體" w:eastAsia="微軟正黑體" w:hAnsi="微軟正黑體"/>
          <w:sz w:val="22"/>
          <w:szCs w:val="22"/>
        </w:rPr>
        <w:t xml:space="preserve">以四鏈七審框架逐一檢視：其一，情境建構鏈，須檢視AI風險評分系統之訓練資料是否具代表性，何種標的團體之資料因較常接觸公部門服務而被過度資料化、何種群體因資料稀疏而不可見，對應資料代表性審計與隱私資安審計；其二，權威鏈，須檢視系統產出之風險分數是否具強制篩入效力，抑或僅供參考，形式決定者之法定授權範圍是否明確涵蓋系統實際執行之角色，對應責任歸屬審計與民主課責審計；其三，理由鏈，須檢視風險分數之計算邏輯與變項權重，是否可向受影響之標的團體提供可理解之說明，對應理由說明審計與裁量邊界審計；其四，責任鏈，須檢視形式決定者是否仍保有覆核並調整系統建議之實質空間，或僅剩形式覆核，此為責任歸屬審計與組織能力審計之核心。四個鏈之中，最容易斷裂之處往往在「交接棒」的地方——系統建議轉交人工複核之環節。</w:t>
      </w:r>
    </w:p>
    <w:p>
      <w:pPr>
        <w:spacing w:after="200" w:line="360"/>
        <w:ind w:firstLine="431"/>
        <w:jc w:val="both"/>
      </w:pPr>
      <w:r>
        <w:rPr>
          <w:rFonts w:ascii="微軟正黑體" w:cs="微軟正黑體" w:eastAsia="微軟正黑體" w:hAnsi="微軟正黑體"/>
          <w:sz w:val="22"/>
          <w:szCs w:val="22"/>
        </w:rPr>
        <w:t xml:space="preserve">四、具體執行監測機制設計</w:t>
      </w:r>
    </w:p>
    <w:p>
      <w:pPr>
        <w:spacing w:after="200" w:line="360"/>
        <w:ind w:firstLine="431"/>
        <w:jc w:val="both"/>
      </w:pPr>
      <w:r>
        <w:rPr>
          <w:rFonts w:ascii="微軟正黑體" w:cs="微軟正黑體" w:eastAsia="微軟正黑體" w:hAnsi="微軟正黑體"/>
          <w:sz w:val="22"/>
          <w:szCs w:val="22"/>
        </w:rPr>
        <w:t xml:space="preserve">因應上述斷裂點，可設計以下具體監測機制：其一，事前納入演算法影響評估（AIA），於系統上線前評估其隱私、公平與民主衝擊；其二，建立演算法登記簿，公開政府採購之AI系統目的、資料來源、風險與救濟管道，強化透明度；其三，明訂人工覆核之最低比例與品質標準，並定期抽樣審計已放行案件，避免「形式覆核」取代「實質覆核」；其四，建立可申訴之更正機制，使受影響之標的團體得對系統決定提出異議並要求人工重新審查；其五，於採購契約中明確劃分政府、承包商與資料供應者之責任分工，避免因採購外包而使公權力責任被稀釋轉嫁。</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政策執行之正當性，不在於系統跑得多快、案件消化得多順暢，而在於當結果出錯時，是否仍有一個具名的人，願意也能夠說清楚為什麼；四鏈七審框架提供了系統性檢視AI風險評分系統嵌入執行流程後責任歸屬之操作工具，唯有情境建構、權威、理由、責任四鏈環環相扣、可追溯課責，方能真正降低課責赤字之風險。</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課責赤字之說明須扣緊「責任鏈分散於形式決定者、系統設計者、資料供應者與承包商」此一核心定義，不可僅泛稱AI風險。</w:t>
      </w:r>
    </w:p>
    <w:p>
      <w:pPr>
        <w:pStyle w:val="ListParagraph"/>
        <w:numPr>
          <w:ilvl w:val="0"/>
          <w:numId w:val="2"/>
        </w:numPr>
        <w:spacing w:after="120" w:line="340"/>
      </w:pPr>
      <w:r>
        <w:rPr>
          <w:rFonts w:ascii="微軟正黑體" w:cs="微軟正黑體" w:eastAsia="微軟正黑體" w:hAnsi="微軟正黑體"/>
          <w:sz w:val="22"/>
          <w:szCs w:val="22"/>
        </w:rPr>
        <w:t xml:space="preserve">四鏈七審框架須逐一分析，每一鏈皆須具體指出其於AI風險評分系統情境中之斷裂點與對應審計項目，不可僅列出四鏈名稱。</w:t>
      </w:r>
    </w:p>
    <w:p>
      <w:pPr>
        <w:pStyle w:val="ListParagraph"/>
        <w:numPr>
          <w:ilvl w:val="0"/>
          <w:numId w:val="2"/>
        </w:numPr>
        <w:spacing w:after="120" w:line="340"/>
      </w:pPr>
      <w:r>
        <w:rPr>
          <w:rFonts w:ascii="微軟正黑體" w:cs="微軟正黑體" w:eastAsia="微軟正黑體" w:hAnsi="微軟正黑體"/>
          <w:sz w:val="22"/>
          <w:szCs w:val="22"/>
        </w:rPr>
        <w:t xml:space="preserve">監測機制設計須具體可操作，並能對應前述四鏈分析所指出之斷裂點，形成前後呼應之完整論述。</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僅描述AI風險評分系統之一般性風險（如偏誤、黑箱），未扣連「責任鏈分散」此一課責赤字之核心概念。</w:t>
      </w:r>
    </w:p>
    <w:p>
      <w:pPr>
        <w:pStyle w:val="ListParagraph"/>
        <w:numPr>
          <w:ilvl w:val="0"/>
          <w:numId w:val="2"/>
        </w:numPr>
        <w:spacing w:after="120" w:line="340"/>
      </w:pPr>
      <w:r>
        <w:rPr>
          <w:rFonts w:ascii="微軟正黑體" w:cs="微軟正黑體" w:eastAsia="微軟正黑體" w:hAnsi="微軟正黑體"/>
          <w:sz w:val="22"/>
          <w:szCs w:val="22"/>
        </w:rPr>
        <w:t xml:space="preserve">❌ 四鏈七審框架僅列出名稱，未具體分析各鏈於AI風險評分系統情境中之斷裂點。</w:t>
      </w:r>
    </w:p>
    <w:p>
      <w:pPr>
        <w:pStyle w:val="ListParagraph"/>
        <w:numPr>
          <w:ilvl w:val="0"/>
          <w:numId w:val="2"/>
        </w:numPr>
        <w:spacing w:after="120" w:line="340"/>
      </w:pPr>
      <w:r>
        <w:rPr>
          <w:rFonts w:ascii="微軟正黑體" w:cs="微軟正黑體" w:eastAsia="微軟正黑體" w:hAnsi="微軟正黑體"/>
          <w:sz w:val="22"/>
          <w:szCs w:val="22"/>
        </w:rPr>
        <w:t xml:space="preserve">❌ 監測機制設計與前述四鏈分析脫節，僅重複「應加強AI監管」等空泛立場。</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具體援引AFST兒少風險篩選工具（美國賓州阿勒格尼郡）與Robodebt機器人債務案（澳洲）兩項國際案例，說明前者訓練資料偏誤致低收入家庭被過度資料化、後者舉證責任轉嫁予當事人致系統性誤判，並指出Robodebt案經皇家調查委員會認定「粗糙、殘酷且違法」，仍難完整釐清個別決策者責任，強化課責赤字論述之實證基礎與時事掌握度。</w:t>
      </w:r>
    </w:p>
    <w:p>
      <w:pPr>
        <w:pStyle w:val="ListParagraph"/>
        <w:numPr>
          <w:ilvl w:val="0"/>
          <w:numId w:val="2"/>
        </w:numPr>
        <w:spacing w:after="120" w:line="340"/>
      </w:pPr>
      <w:r>
        <w:rPr>
          <w:rFonts w:ascii="微軟正黑體" w:cs="微軟正黑體" w:eastAsia="微軟正黑體" w:hAnsi="微軟正黑體"/>
          <w:sz w:val="22"/>
          <w:szCs w:val="22"/>
        </w:rPr>
        <w:t xml:space="preserve">可補充「平台鐵三角」概念，說明平台業者、資料治理機關與政治行動者共生，掌握算力與數據，較傳統鐵三角更封閉且規避既有遊說法與政治獻金法規範，深化政策網路理論與AI課責之跨節整合。</w:t>
      </w:r>
    </w:p>
    <w:p>
      <w:pPr>
        <w:pStyle w:val="ListParagraph"/>
        <w:numPr>
          <w:ilvl w:val="0"/>
          <w:numId w:val="2"/>
        </w:numPr>
        <w:spacing w:after="120" w:line="340"/>
      </w:pPr>
      <w:r>
        <w:rPr>
          <w:rFonts w:ascii="微軟正黑體" w:cs="微軟正黑體" w:eastAsia="微軟正黑體" w:hAnsi="微軟正黑體"/>
          <w:sz w:val="22"/>
          <w:szCs w:val="22"/>
        </w:rPr>
        <w:t xml:space="preserve">可補充《人工智慧基本法》（2025年12月三讀通過）七項治理原則中之「課責」原則與主管機關國科會，說明我國最新法制發展如何回應本題所探討之課責赤字風險，展現時事掌握度。</w:t>
      </w:r>
    </w:p>
    <w:p>
      <w:pPr>
        <w:pStyle w:val="ListParagraph"/>
        <w:numPr>
          <w:ilvl w:val="0"/>
          <w:numId w:val="2"/>
        </w:numPr>
        <w:spacing w:after="120" w:line="340"/>
      </w:pPr>
      <w:r>
        <w:rPr>
          <w:rFonts w:ascii="微軟正黑體" w:cs="微軟正黑體" w:eastAsia="微軟正黑體" w:hAnsi="微軟正黑體"/>
          <w:sz w:val="22"/>
          <w:szCs w:val="22"/>
        </w:rPr>
        <w:t xml:space="preserve">可補充系統層官僚（Bovens &amp; Zouridis）概念，說明裁量預先寫入演算法參數之「設計時裁量」，若未伴隨可解釋性與覆核機制，即容易產生「形式決定者只剩簽核外觀」之課責赤字，強化理論深度。</w:t>
      </w:r>
    </w:p>
    <w:p>
      <w:pPr>
        <w:spacing w:after="30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本章語料庫原涵蓋107-111年5個年度之考選部官方公告試題（行政學／行政學概要科目），經逐題比對，原尚未查得與本章理論脈絡直接對應且完全符合一般行政類科之申論真題；惟2026年9月新查得112-115年考選部公告試題後，已查得1題完全對應之真題，已改列為題目二完整解題。由上而下由下而上模式、演算法第四類工具、政策網路與課責赤字等考點，於112-115年語料中仍尚無完全對應之申論真題，題目一、題目三仍以模擬命題呈現。</w:t>
      </w:r>
    </w:p>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900"/>
        <w:gridCol w:w="800"/>
        <w:gridCol w:w="3226"/>
        <w:gridCol w:w="1700"/>
      </w:tblGrid>
      <w:tr>
        <w:trPr>
          <w:tblHeader/>
        </w:trPr>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年度／考試</w:t>
            </w:r>
          </w:p>
        </w:tc>
        <w:tc>
          <w:tcPr>
            <w:tcW w:type="dxa" w:w="9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類科</w:t>
            </w:r>
          </w:p>
        </w:tc>
        <w:tc>
          <w:tcPr>
            <w:tcW w:type="dxa" w:w="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難度</w:t>
            </w:r>
          </w:p>
        </w:tc>
        <w:tc>
          <w:tcPr>
            <w:tcW w:type="dxa" w:w="3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考點</w:t>
            </w:r>
          </w:p>
        </w:tc>
        <w:tc>
          <w:tcPr>
            <w:tcW w:type="dxa" w:w="17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查證狀態</w:t>
            </w:r>
          </w:p>
        </w:tc>
      </w:tr>
      <w:tr>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114年公務人員特種考試關務人員、身心障礙人員考試及114年國軍上校以上軍官轉任公務人員考試（上校轉任考試）</w:t>
            </w:r>
          </w:p>
        </w:tc>
        <w:tc>
          <w:tcPr>
            <w:tcW w:type="dxa" w:w="9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w:t>
            </w:r>
          </w:p>
        </w:tc>
        <w:tc>
          <w:tcPr>
            <w:tcW w:type="dxa" w:w="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w:t>
            </w:r>
          </w:p>
        </w:tc>
        <w:tc>
          <w:tcPr>
            <w:tcW w:type="dxa" w:w="3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政策工具（policy instruments）之類型，以促進全民健康為例（即題目二）</w:t>
            </w:r>
          </w:p>
        </w:tc>
        <w:tc>
          <w:tcPr>
            <w:tcW w:type="dxa" w:w="17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考選部官方公告試題，類科標示一般行政，屬軍轉文職考試，本質仍為行政學，依使用者確認納入正式真題</w:t>
            </w:r>
          </w:p>
        </w:tc>
      </w:tr>
      <w:tr>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（本章仍無對應真題）</w:t>
            </w:r>
          </w:p>
        </w:tc>
        <w:tc>
          <w:tcPr>
            <w:tcW w:type="dxa" w:w="9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w:t>
            </w:r>
          </w:p>
        </w:tc>
        <w:tc>
          <w:tcPr>
            <w:tcW w:type="dxa" w:w="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w:t>
            </w:r>
          </w:p>
        </w:tc>
        <w:tc>
          <w:tcPr>
            <w:tcW w:type="dxa" w:w="3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由上而下由下而上模式、演算法第四類工具與RegTech、政策網路與課責赤字等，仍為本章核心考點，惟112-115年語料中尚無完全對應之申論真題（即題目一、題目三仍為模擬命題）</w:t>
            </w:r>
          </w:p>
        </w:tc>
        <w:tc>
          <w:tcPr>
            <w:tcW w:type="dxa" w:w="17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已逐年查證，本章此部分暫無符合一般行政類科之歷屆真題</w:t>
            </w:r>
          </w:p>
        </w:tc>
      </w:tr>
    </w:tbl>
    <w:p>
      <w:pPr>
        <w:spacing w:after="280" w:before="120"/>
        <w:jc w:val="center"/>
      </w:pPr>
      <w:r>
        <w:rPr>
          <w:rFonts w:ascii="微軟正黑體" w:cs="微軟正黑體" w:eastAsia="微軟正黑體" w:hAnsi="微軟正黑體"/>
          <w:i/>
          <w:iCs/>
          <w:color w:val="555555"/>
          <w:sz w:val="18"/>
          <w:szCs w:val="18"/>
        </w:rPr>
        <w:t xml:space="preserve">表13-J　本章歷屆試題查證狀態</w:t>
      </w:r>
    </w:p>
    <w:p>
      <w:pPr>
        <w:spacing w:after="28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政策執行的定義、理論演進與執行力模式</w:t>
            </w:r>
          </w:p>
          <w:p>
            <w:pPr>
              <w:spacing w:line="340"/>
              <w:jc w:val="both"/>
            </w:pPr>
            <w:r>
              <w:rPr>
                <w:rFonts w:ascii="微軟正黑體" w:cs="微軟正黑體" w:eastAsia="微軟正黑體" w:hAnsi="微軟正黑體"/>
                <w:sz w:val="21"/>
                <w:szCs w:val="21"/>
              </w:rPr>
              <w:t xml:space="preserve">執行非自動延伸，是充滿決策點的政治過程（Pressman &amp; Wildavsky連乘效果）→ 由上而下vs由下而上（權力關係光譜）→ 多手問題（Thompson）→ Van Meter與Van Horn六變項</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政策工具：從三元分類到演算法第四類</w:t>
            </w:r>
          </w:p>
          <w:p>
            <w:pPr>
              <w:spacing w:line="340"/>
              <w:jc w:val="both"/>
            </w:pPr>
            <w:r>
              <w:rPr>
                <w:rFonts w:ascii="微軟正黑體" w:cs="微軟正黑體" w:eastAsia="微軟正黑體" w:hAnsi="微軟正黑體"/>
                <w:sz w:val="21"/>
                <w:szCs w:val="21"/>
              </w:rPr>
              <w:t xml:space="preserve">工具四特性（設計執行連鎖）→ 三大分類角度（Weimer&amp;Vining／Schneider&amp;Ingram／Howlett&amp;Ramesh）→ 自願╱混合╱強制三類 → 演算法第四類工具與RegTech → 系統層官僚（Bovens&amp;Zouridis）</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政策論證、監測與行銷</w:t>
            </w:r>
          </w:p>
          <w:p>
            <w:pPr>
              <w:spacing w:line="340"/>
              <w:jc w:val="both"/>
            </w:pPr>
            <w:r>
              <w:rPr>
                <w:rFonts w:ascii="微軟正黑體" w:cs="微軟正黑體" w:eastAsia="微軟正黑體" w:hAnsi="微軟正黑體"/>
                <w:sz w:val="21"/>
                <w:szCs w:val="21"/>
              </w:rPr>
              <w:t xml:space="preserve">政策論證八方式 → 監測四功能（順審會解）→ 政策行銷6P → 政策行銷vs社會行銷 → AI行銷倫理三原則</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政策網路與AI鑲嵌下的課責赤字</w:t>
            </w:r>
          </w:p>
          <w:p>
            <w:pPr>
              <w:spacing w:line="340"/>
              <w:jc w:val="both"/>
            </w:pPr>
            <w:r>
              <w:rPr>
                <w:rFonts w:ascii="微軟正黑體" w:cs="微軟正黑體" w:eastAsia="微軟正黑體" w:hAnsi="微軟正黑體"/>
                <w:sz w:val="21"/>
                <w:szCs w:val="21"/>
              </w:rPr>
              <w:t xml:space="preserve">鐵三角╱議題網絡╱政策社群 → 沉默輸家╱俘虜╱競租 → 課責赤字（多手＋多機器）→ 三種權力移轉（P3落地擴散為核心）→ 平台鐵三角 → 四鏈七審 → 人工智慧基本法（2025.12三讀）</w:t>
            </w:r>
          </w:p>
        </w:tc>
      </w:tr>
    </w:tbl>
    <w:p>
      <w:pPr>
        <w:spacing w:after="1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政策執行的正當性，不在於系統跑得多快、案件消化得多順暢，而在於當結果出錯時，是否仍有一個具名的人，願意也能夠說清楚為什麼；政策執行不是政策制定後的自動延伸，而是充滿決策點、裁量空間與課責挑戰的再政治化過程。</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2026-09-03T12:33:26.778Z</dcterms:created>
  <dcterms:modified xsi:type="dcterms:W3CDTF">2026-09-03T12:33:26.778Z</dcterms:modified>
</cp:coreProperties>
</file>

<file path=docProps/custom.xml><?xml version="1.0" encoding="utf-8"?>
<Properties xmlns="http://schemas.openxmlformats.org/officeDocument/2006/custom-properties" xmlns:vt="http://schemas.openxmlformats.org/officeDocument/2006/docPropsVTypes"/>
</file>