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0"/>
          <w:szCs w:val="40"/>
        </w:rPr>
        <w:t xml:space="preserve">國家考試行政學：從行政學理論到申論實戰</w:t>
      </w:r>
    </w:p>
    <w:p>
      <w:pPr>
        <w:spacing w:after="60"/>
        <w:jc w:val="center"/>
      </w:pPr>
      <w:r>
        <w:rPr>
          <w:rFonts w:ascii="微軟正黑體" w:cs="微軟正黑體" w:eastAsia="微軟正黑體" w:hAnsi="微軟正黑體"/>
          <w:b/>
          <w:bCs/>
          <w:color w:val="444444"/>
          <w:sz w:val="28"/>
          <w:szCs w:val="28"/>
        </w:rPr>
        <w:t xml:space="preserve">第十二章　政策制訂</w:t>
      </w:r>
    </w:p>
    <w:p>
      <w:pPr>
        <w:spacing w:after="400"/>
        <w:jc w:val="center"/>
      </w:pPr>
      <w:r>
        <w:rPr>
          <w:rFonts w:ascii="微軟正黑體" w:cs="微軟正黑體" w:eastAsia="微軟正黑體" w:hAnsi="微軟正黑體"/>
          <w:i/>
          <w:iCs/>
          <w:color w:val="777777"/>
          <w:sz w:val="22"/>
          <w:szCs w:val="22"/>
        </w:rPr>
        <w:t xml:space="preserve">適用：高考三級／普考　一般行政類科　行政學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本章定位</w:t>
            </w:r>
          </w:p>
          <w:p>
            <w:pPr>
              <w:spacing w:line="340"/>
              <w:jc w:val="both"/>
            </w:pPr>
            <w:r>
              <w:rPr>
                <w:rFonts w:ascii="微軟正黑體" w:cs="微軟正黑體" w:eastAsia="微軟正黑體" w:hAnsi="微軟正黑體"/>
                <w:sz w:val="21"/>
                <w:szCs w:val="21"/>
              </w:rPr>
              <w:t xml:space="preserve">本章對應大學教科書《行政學》第十二章「政策制訂」，內容取材自該章五節母體教材（政策合法化的意涵與策略、行政裁量與政策制訂的正當性基礎、審議民主與公民參與、AI治理專節、本教科書定位）及AI鑲嵌後之權力位移專節，依國考「考點化、模組化、背誦＋應用」邏輯重新壓縮改寫為四節：第一節整合政策合法化之意涵、四重意涵與三策略（原第一節）；第二節整合行政裁量與K.C. Davis裁量控制三機制（原第二節）；第三節整合審議民主與公民參與（原第三節）；第四節整合AI鑲嵌下之政策制訂：裁量權移轉與權威鏈正當性危機（原第四節與AI鑲嵌後內容），為本章AI內容之集中呈現處。本語料庫（107-111年）中，本章尚未查得完全對應一般行政類科之申論真題，故【申論解題】三題全數為依本章母體教材自行設計之模擬命題，均於各題「考題出處（重要說明）」欄位明確標示，不得與真實歷屆試題混淆。自本章起依格式定版說明，僅第一題維持三種完整答案版本，第二、三題改為標準版參考答案＋【高分加分點】；AI鑲嵌內容集中於第四節與C級綜合題。</w:t>
            </w:r>
          </w:p>
        </w:tc>
      </w:tr>
    </w:tbl>
    <w:p>
      <w:pPr>
        <w:spacing w:after="200"/>
      </w:pPr>
    </w:p>
    <w:p>
      <w:pPr>
        <w:spacing w:after="180" w:before="360"/>
      </w:pPr>
      <w:r>
        <w:rPr>
          <w:rFonts w:ascii="微軟正黑體" w:cs="微軟正黑體" w:eastAsia="微軟正黑體" w:hAnsi="微軟正黑體"/>
          <w:b/>
          <w:bCs/>
          <w:color w:val="1F4E79"/>
          <w:sz w:val="26"/>
          <w:szCs w:val="26"/>
        </w:rPr>
        <w:t xml:space="preserve">第一節　政策合法化的意涵與策略</w:t>
      </w:r>
    </w:p>
    <w:p>
      <w:pPr>
        <w:spacing w:after="140" w:before="260"/>
      </w:pPr>
      <w:r>
        <w:rPr>
          <w:rFonts w:ascii="微軟正黑體" w:cs="微軟正黑體" w:eastAsia="微軟正黑體" w:hAnsi="微軟正黑體"/>
          <w:b/>
          <w:bCs/>
          <w:color w:val="2E5C8A"/>
          <w:sz w:val="23"/>
          <w:szCs w:val="23"/>
        </w:rPr>
        <w:t xml:space="preserve">一、核心概念</w:t>
      </w:r>
    </w:p>
    <w:p>
      <w:pPr>
        <w:pStyle w:val="ListParagraph"/>
        <w:numPr>
          <w:ilvl w:val="0"/>
          <w:numId w:val="2"/>
        </w:numPr>
        <w:spacing w:after="120" w:line="340"/>
      </w:pPr>
      <w:r>
        <w:rPr>
          <w:rFonts w:ascii="微軟正黑體" w:cs="微軟正黑體" w:eastAsia="微軟正黑體" w:hAnsi="微軟正黑體"/>
          <w:sz w:val="22"/>
          <w:szCs w:val="22"/>
        </w:rPr>
        <w:t xml:space="preserve">政策合法化（policy legitimation）指政府機關將政策方案提經有權核准之機關、團體或個人，進行審議、核准，完成立法或行政程序，以取得正式合法地位，得以付諸執行之動態過程，其不僅是法律程序，更是正當性建構過程。</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政策合法化具有四重意涵：公共性（政策牽涉大眾事務，涉及成本與效益在利害關係人間之重分配，須透過公開程序處理）、選擇性（從眾多方案中擇一，排除其他，產生贏家與輸家）、正當性（透過法定程序取得合法地位，包含程序正當與實質正當）、威權性（合法化後具有拘束力，標的團體需順服，正當性不等於合意，而是可接受性）。</w:t>
      </w:r>
    </w:p>
    <w:p>
      <w:pPr>
        <w:pStyle w:val="ListParagraph"/>
        <w:numPr>
          <w:ilvl w:val="0"/>
          <w:numId w:val="2"/>
        </w:numPr>
        <w:spacing w:after="120" w:line="340"/>
      </w:pPr>
      <w:r>
        <w:rPr>
          <w:rFonts w:ascii="微軟正黑體" w:cs="微軟正黑體" w:eastAsia="微軟正黑體" w:hAnsi="微軟正黑體"/>
          <w:sz w:val="22"/>
          <w:szCs w:val="22"/>
        </w:rPr>
        <w:t xml:space="preserve">合法性（legality）指政策是否由有權機關依照法定權限與程序作成，正當性（legitimacy）則指政策是否具有可被社會接受與公開辯護之理由——一項政策可能具備形式合法性，卻缺乏實質正當性，例如機關依法定程序完成政策制訂，但事前未提供充分資訊、未給予受影響者表達意見之機會，此時政策可能「合法」卻仍面臨正當性不足之問題。合法性回答「有沒有權限」，正當性回答「是否值得接受」。</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5426"/>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策略類型</w:t>
            </w:r>
          </w:p>
        </w:tc>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核心手法</w:t>
            </w:r>
          </w:p>
        </w:tc>
        <w:tc>
          <w:tcPr>
            <w:tcW w:type="dxa" w:w="54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內涵與案例</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包容策略</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諮商、建立聯盟、妥協</w:t>
            </w:r>
          </w:p>
        </w:tc>
        <w:tc>
          <w:tcPr>
            <w:tcW w:type="dxa" w:w="5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透過擴大參與、納入多元利害關係人以降低阻力，如舉行公聽會、與黨團協商、採折衷方案換取支持</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排除策略</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繞道、保持秘密、欺騙</w:t>
            </w:r>
          </w:p>
        </w:tc>
        <w:tc>
          <w:tcPr>
            <w:tcW w:type="dxa" w:w="54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透過程序控制或資訊不對稱排除反對者，如選擇有利之審查委員會、控制議程設定時機，學理上具爭議</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說服策略</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雄辯、分析、抗議</w:t>
            </w:r>
          </w:p>
        </w:tc>
        <w:tc>
          <w:tcPr>
            <w:tcW w:type="dxa" w:w="54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運用政策論證與溝通爭取多數，如以數據分析證明政策效益、動員支持者以抗議製造民意壓力，為民主體制主要機制</w:t>
            </w:r>
          </w:p>
        </w:tc>
      </w:tr>
    </w:tbl>
    <w:p>
      <w:pPr>
        <w:spacing w:after="280" w:before="120"/>
        <w:jc w:val="center"/>
      </w:pPr>
      <w:r>
        <w:rPr>
          <w:rFonts w:ascii="微軟正黑體" w:cs="微軟正黑體" w:eastAsia="微軟正黑體" w:hAnsi="微軟正黑體"/>
          <w:i/>
          <w:iCs/>
          <w:color w:val="555555"/>
          <w:sz w:val="18"/>
          <w:szCs w:val="18"/>
        </w:rPr>
        <w:t xml:space="preserve">表12-A　政策合法化三策略</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合法化成敗取決於說服，三項關鍵技巧為：了解參與者立場（掌握其利益、意識形態與權力資源，進行利害關係人分析）、建立支持多數（透過政策論證、議價協商、遊說與聯盟，建構最小獲勝聯盟）、採取適當作法（時機選擇、舞台管理與論述框架化）。政策制訂之正式程序可拆解為六階段：提出方案→確認權責→利害關係人協商→合法性審查→正式決定→公布與理由說明。</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政策合法化四重意涵</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釐清合法化程序同時涉及公共性、選擇性、正當性、威權性四個不同層次，避免將合法化簡化為單純程序性動作</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四重意涵於實務操作上仍須綜合判斷其權重，尤其「正當性」之衡量標準較具主觀性</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合法化三策略（包容／排除／說服）</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提供觀察政治操作之分析工具，兼顧描述現實政治過程與規範性倫理界線之雙重功能</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排除策略之倫理界線判定不易，須依個案具體情形（如是否隱匿不利證據）逐一檢視</w:t>
            </w:r>
          </w:p>
        </w:tc>
      </w:tr>
    </w:tbl>
    <w:p>
      <w:pPr>
        <w:spacing w:after="280" w:before="120"/>
        <w:jc w:val="center"/>
      </w:pPr>
      <w:r>
        <w:rPr>
          <w:rFonts w:ascii="微軟正黑體" w:cs="微軟正黑體" w:eastAsia="微軟正黑體" w:hAnsi="微軟正黑體"/>
          <w:i/>
          <w:iCs/>
          <w:color w:val="555555"/>
          <w:sz w:val="18"/>
          <w:szCs w:val="18"/>
        </w:rPr>
        <w:t xml:space="preserve">表12-B　政策合法化理論之貢獻與限制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排除策略若涉及故意隱匿對政策不利之證據、以不合理程序限制特定群體參與、操縱議程使反對意見無法進入正式討論等情形，通常具有高度正當性疑慮；相對地，排除重複或明顯與議題無關之內容、依事先公布規則安排發言時間、保護個人隱私等，則屬正當之程序管理——程序管理可以整理參與，但不能消除反對；資訊治理可以保護隱私，但不能隱藏不利證據。</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行政院於重大修法前舉行公聽會、與立法院黨團協商，即為包容策略之具體實踐；《人工智慧基本法》立法過程歷經行政院版本與國家科學及技術委員會版本之角力協商，最終於2025年12月經立法院三讀通過，即為包容、排除、說服三策略綜合運用之鮮活案例。</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①政策合法化之定義與四重意涵：公共性／選擇性／正當性／威權性</w:t>
            </w:r>
          </w:p>
          <w:p>
            <w:pPr>
              <w:spacing w:after="80" w:line="320"/>
            </w:pPr>
            <w:r>
              <w:rPr>
                <w:rFonts w:ascii="微軟正黑體" w:cs="微軟正黑體" w:eastAsia="微軟正黑體" w:hAnsi="微軟正黑體"/>
                <w:sz w:val="21"/>
                <w:szCs w:val="21"/>
              </w:rPr>
              <w:t xml:space="preserve">•　②合法性（legality）vs. 正當性（legitimacy）之區別：有沒有權限 vs. 是否值得接受</w:t>
            </w:r>
          </w:p>
          <w:p>
            <w:pPr>
              <w:spacing w:after="80" w:line="320"/>
            </w:pPr>
            <w:r>
              <w:rPr>
                <w:rFonts w:ascii="微軟正黑體" w:cs="微軟正黑體" w:eastAsia="微軟正黑體" w:hAnsi="微軟正黑體"/>
                <w:sz w:val="21"/>
                <w:szCs w:val="21"/>
              </w:rPr>
              <w:t xml:space="preserve">•　③合法化三策略：包容策略／排除策略／說服策略（核心手法與案例）</w:t>
            </w:r>
          </w:p>
          <w:p>
            <w:pPr>
              <w:spacing w:after="80" w:line="320"/>
            </w:pPr>
            <w:r>
              <w:rPr>
                <w:rFonts w:ascii="微軟正黑體" w:cs="微軟正黑體" w:eastAsia="微軟正黑體" w:hAnsi="微軟正黑體"/>
                <w:sz w:val="21"/>
                <w:szCs w:val="21"/>
              </w:rPr>
              <w:t xml:space="preserve">•　④說服參與者三項技巧：利害關係人分析／建構最小獲勝聯盟／時機與框架化</w:t>
            </w:r>
          </w:p>
          <w:p>
            <w:pPr>
              <w:spacing w:after="80" w:line="320"/>
            </w:pPr>
            <w:r>
              <w:rPr>
                <w:rFonts w:ascii="微軟正黑體" w:cs="微軟正黑體" w:eastAsia="微軟正黑體" w:hAnsi="微軟正黑體"/>
                <w:sz w:val="21"/>
                <w:szCs w:val="21"/>
              </w:rPr>
              <w:t xml:space="preserve">•　⑤政策制訂六階段：提出方案→確認權責→利害關係人協商→合法性審查→正式決定→公布說理</w:t>
            </w:r>
          </w:p>
          <w:p>
            <w:pPr>
              <w:spacing w:after="0" w:line="320"/>
            </w:pPr>
            <w:r>
              <w:rPr>
                <w:rFonts w:ascii="微軟正黑體" w:cs="微軟正黑體" w:eastAsia="微軟正黑體" w:hAnsi="微軟正黑體"/>
                <w:sz w:val="21"/>
                <w:szCs w:val="21"/>
              </w:rPr>
              <w:t xml:space="preserve">•　⑥排除策略之倫理界線：程序管理 vs. 隱匿證據之區辨</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合法化三策略口訣：包（容，諮商聯盟）、排（除，繞道保密）、說（服，雄辯分析）——「包排說」三字訣</w:t>
            </w:r>
          </w:p>
          <w:p>
            <w:pPr>
              <w:spacing w:after="80" w:line="320"/>
            </w:pPr>
            <w:r>
              <w:rPr>
                <w:rFonts w:ascii="微軟正黑體" w:cs="微軟正黑體" w:eastAsia="微軟正黑體" w:hAnsi="微軟正黑體"/>
                <w:sz w:val="21"/>
                <w:szCs w:val="21"/>
              </w:rPr>
              <w:t xml:space="preserve">•　四重意涵口訣：公（共性）、選（擇性）、正（當性）、威（權性）——「公選正威」四字訣</w:t>
            </w:r>
          </w:p>
          <w:p>
            <w:pPr>
              <w:spacing w:after="0" w:line="320"/>
            </w:pPr>
            <w:r>
              <w:rPr>
                <w:rFonts w:ascii="微軟正黑體" w:cs="微軟正黑體" w:eastAsia="微軟正黑體" w:hAnsi="微軟正黑體"/>
                <w:sz w:val="21"/>
                <w:szCs w:val="21"/>
              </w:rPr>
              <w:t xml:space="preserve">•　六階段程序記憶：提（出方案）、確（認權責）、協（商）、審（查）、決（定）、說（理）——「提確協審決說」六字訣</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合法性」（legality，是否由有權機關依法定程序作成）與「正當性」（legitimacy，是否具有可被社會接受與公開辯護之理由）常被考生視為同義詞——本章明確舉例說明，機關依法定程序完成政策制訂，但未提供充分資訊或未給予受影響者表達意見機會，此時政策可能「合法」卻「不正當」，兩者可以分離，須分別檢視。</w:t>
            </w:r>
          </w:p>
          <w:p>
            <w:pPr>
              <w:spacing w:after="0" w:line="320"/>
            </w:pPr>
            <w:r>
              <w:rPr>
                <w:rFonts w:ascii="微軟正黑體" w:cs="微軟正黑體" w:eastAsia="微軟正黑體" w:hAnsi="微軟正黑體"/>
                <w:sz w:val="21"/>
                <w:szCs w:val="21"/>
              </w:rPr>
              <w:t xml:space="preserve">•　「排除策略」（合法化三策略之一，繞道、保密、資訊控制）與正當之「程序管理」（排除重複發言、依規則安排時間、保護隱私）常被考生混為一談——本章明確劃出倫理界線：前者涉及故意隱匿不利證據或操縱議程排除反對意見，具高度正當性疑慮；後者僅是整理參與秩序、不涉及消除實質反對聲音，兩者性質不同。</w:t>
            </w:r>
          </w:p>
        </w:tc>
      </w:tr>
    </w:tbl>
    <w:p>
      <w:pPr>
        <w:spacing w:after="220"/>
      </w:pPr>
    </w:p>
    <w:p>
      <w:pPr>
        <w:spacing w:after="180" w:before="360"/>
      </w:pPr>
      <w:r>
        <w:rPr>
          <w:rFonts w:ascii="微軟正黑體" w:cs="微軟正黑體" w:eastAsia="微軟正黑體" w:hAnsi="微軟正黑體"/>
          <w:b/>
          <w:bCs/>
          <w:color w:val="1F4E79"/>
          <w:sz w:val="26"/>
          <w:szCs w:val="26"/>
        </w:rPr>
        <w:t xml:space="preserve">第二節　行政裁量與政策制訂的正當性基礎</w:t>
      </w:r>
    </w:p>
    <w:p>
      <w:pPr>
        <w:spacing w:after="140" w:before="260"/>
      </w:pPr>
      <w:r>
        <w:rPr>
          <w:rFonts w:ascii="微軟正黑體" w:cs="微軟正黑體" w:eastAsia="微軟正黑體" w:hAnsi="微軟正黑體"/>
          <w:b/>
          <w:bCs/>
          <w:color w:val="2E5C8A"/>
          <w:sz w:val="23"/>
          <w:szCs w:val="23"/>
        </w:rPr>
        <w:t xml:space="preserve">一、核心概念</w:t>
      </w:r>
    </w:p>
    <w:p>
      <w:pPr>
        <w:pStyle w:val="ListParagraph"/>
        <w:numPr>
          <w:ilvl w:val="0"/>
          <w:numId w:val="2"/>
        </w:numPr>
        <w:spacing w:after="120" w:line="340"/>
      </w:pPr>
      <w:r>
        <w:rPr>
          <w:rFonts w:ascii="微軟正黑體" w:cs="微軟正黑體" w:eastAsia="微軟正黑體" w:hAnsi="微軟正黑體"/>
          <w:sz w:val="22"/>
          <w:szCs w:val="22"/>
        </w:rPr>
        <w:t xml:space="preserve">行政裁量（administrative discretion）指法規未能窮盡規範所有情境，行政機關與公務人員於法律授權範圍內，依專業判斷選擇行動方案之權限。裁量並非法治之漏洞，而是法治不可或缺之一部分——如同K.C. Davis（1969）在《自由裁量的正義》中所指出，規則永遠無法涵蓋所有現實情境，裁量正是規則與現實之間的必要橋樑。</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政策制訂階段之裁量，不同於基層執行時之個案裁量，而是法定決定者對於「是否採納、如何調整、能否否決」替選方案之最終判斷權——這正是政策制訂與政策執行在裁量議題上之分工：制訂階段之裁量關乎正當性，執行階段之裁量則關乎個案適用。然而裁量若無適當規制，亦可能成為恣意、偏私與課責落空之來源。</w:t>
      </w:r>
    </w:p>
    <w:p>
      <w:pPr>
        <w:pStyle w:val="ListParagraph"/>
        <w:numPr>
          <w:ilvl w:val="0"/>
          <w:numId w:val="2"/>
        </w:numPr>
        <w:spacing w:after="120" w:line="340"/>
      </w:pPr>
      <w:r>
        <w:rPr>
          <w:rFonts w:ascii="微軟正黑體" w:cs="微軟正黑體" w:eastAsia="微軟正黑體" w:hAnsi="微軟正黑體"/>
          <w:sz w:val="22"/>
          <w:szCs w:val="22"/>
        </w:rPr>
        <w:t xml:space="preserve">為避免裁量流於恣意，K.C. Davis（1969）提出三種相輔相成之控制機制，至今仍是行政法與公共行政課程討論裁量課責之經典架構：確認裁量範圍（Confining，以法規、命令與行政規則劃定裁量之外部邊界，防止恣意逾越）、建立裁量結構（Structuring，以計畫、政策指導、公開程序與說理義務，規制裁量之行使方式）、事後審查（Checking，以上級審查、司法救濟、監察與外部監督檢視裁量結果）。</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控制機制</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核心作法</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政策制訂階段之應用</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確認裁量範圍（Confining）</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以法規、命令與行政規則劃定裁量之外部邊界，防止恣意逾越</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立法授權時明訂制訂機關得裁量之事項範圍與例外情形</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建立裁量結構（Structuring）</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以計畫、政策指導、公開程序與說理義務，規制裁量之行使方式</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要求AI輔助建議之採納或不採納皆須附具理由，建立可稽核之決策軌跡</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事後審查（Checking）</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以上級審查、司法救濟、監察與外部監督檢視裁量結果</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國會質詢、審計、行政訴訟與資訊公開，檢視制訂者是否僅為系統背書</w:t>
            </w:r>
          </w:p>
        </w:tc>
      </w:tr>
    </w:tbl>
    <w:p>
      <w:pPr>
        <w:spacing w:after="280" w:before="120"/>
        <w:jc w:val="center"/>
      </w:pPr>
      <w:r>
        <w:rPr>
          <w:rFonts w:ascii="微軟正黑體" w:cs="微軟正黑體" w:eastAsia="微軟正黑體" w:hAnsi="微軟正黑體"/>
          <w:i/>
          <w:iCs/>
          <w:color w:val="555555"/>
          <w:sz w:val="18"/>
          <w:szCs w:val="18"/>
        </w:rPr>
        <w:t xml:space="preserve">表12-C　行政裁量的三種控制機制（K.C. Davis, 1969）</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政策制訂者之裁量之所以攸關正當性，關鍵在於：合法化程序之所以具有說服力，是因為社會相信「有一個具名、負責之決定者，在充分資訊下做出了獨立判斷」。若制訂者之裁量實質上已被前一階段之規劃工具所窄化，合法化程序即便形式完備，也可能淪為對既定結論之儀式性追認。</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行政裁量之意涵與功能</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說明裁量並非法治漏洞而是必要橋樑，提供理解官僚體系運作彈性之理論基礎</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裁量之正當範圍認定，仍須依具體法規授權與個案脈絡判斷，抽象原則不能取代個案分析</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K.C. Davis裁量控制三機制</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提供確認範圍、建立結構、事後審查三層次之操作性架構，是評估裁量規制完整性之經典工具</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三機制須同時並用方能發揮效果，單獨仰賴其中一項（如僅有事後審查）仍可能無法有效防範恣意</w:t>
            </w:r>
          </w:p>
        </w:tc>
      </w:tr>
    </w:tbl>
    <w:p>
      <w:pPr>
        <w:spacing w:after="280" w:before="120"/>
        <w:jc w:val="center"/>
      </w:pPr>
      <w:r>
        <w:rPr>
          <w:rFonts w:ascii="微軟正黑體" w:cs="微軟正黑體" w:eastAsia="微軟正黑體" w:hAnsi="微軟正黑體"/>
          <w:i/>
          <w:iCs/>
          <w:color w:val="555555"/>
          <w:sz w:val="18"/>
          <w:szCs w:val="18"/>
        </w:rPr>
        <w:t xml:space="preserve">表12-D　行政裁量控制架構之貢獻與限制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AI輔助政策制訂最核心的問題，不只是模型是否準確，而是決策者能否說明為何採納該方案。正式政策文件至少應說明：政策要處理的公共問題為何、為何選擇此方案而非其他替選方案、方案對不同群體之利益與負擔如何分配、使用了哪些資料模型與預測方法、AI在決策過程中扮演何種角色、哪些判斷由人員作成哪些內容由系統輔助、方案具有哪些不確定性、未來何種情況下會重新檢討——「AI建議某方案較佳」不是充分理由。</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我國各級政府於重大政策決策過程中，愈來愈多導入資料分析與AI輔助工具，惟依K.C. Davis裁量控制三機制之精神，這些工具之採用仍須明訂其僅供參考、不得代替法定決定者作成正式決定，並保留人工覆核、異議處理與理由記錄程序，方能符合裁量規制之基本要求。</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①行政裁量之意涵：裁量是規則與現實之間的必要橋樑（K.C. Davis, 1969）</w:t>
            </w:r>
          </w:p>
          <w:p>
            <w:pPr>
              <w:spacing w:after="80" w:line="320"/>
            </w:pPr>
            <w:r>
              <w:rPr>
                <w:rFonts w:ascii="微軟正黑體" w:cs="微軟正黑體" w:eastAsia="微軟正黑體" w:hAnsi="微軟正黑體"/>
                <w:sz w:val="21"/>
                <w:szCs w:val="21"/>
              </w:rPr>
              <w:t xml:space="preserve">•　②K.C. Davis裁量控制三機制：確認裁量範圍（Confining）／建立裁量結構（Structuring）／事後審查（Checking）</w:t>
            </w:r>
          </w:p>
          <w:p>
            <w:pPr>
              <w:spacing w:after="80" w:line="320"/>
            </w:pPr>
            <w:r>
              <w:rPr>
                <w:rFonts w:ascii="微軟正黑體" w:cs="微軟正黑體" w:eastAsia="微軟正黑體" w:hAnsi="微軟正黑體"/>
                <w:sz w:val="21"/>
                <w:szCs w:val="21"/>
              </w:rPr>
              <w:t xml:space="preserve">•　③政策制訂階段裁量 vs. 政策執行階段裁量之區辨：正當性 vs. 個案適用</w:t>
            </w:r>
          </w:p>
          <w:p>
            <w:pPr>
              <w:spacing w:after="0" w:line="320"/>
            </w:pPr>
            <w:r>
              <w:rPr>
                <w:rFonts w:ascii="微軟正黑體" w:cs="微軟正黑體" w:eastAsia="微軟正黑體" w:hAnsi="微軟正黑體"/>
                <w:sz w:val="21"/>
                <w:szCs w:val="21"/>
              </w:rPr>
              <w:t xml:space="preserve">•　④制訂者最低說理義務之八項內容</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K.C. Davis三機制口訣：確（認範圍）、建（立結構）、審（事後審查）——「確建審」三字訣</w:t>
            </w:r>
          </w:p>
          <w:p>
            <w:pPr>
              <w:spacing w:after="80" w:line="320"/>
            </w:pPr>
            <w:r>
              <w:rPr>
                <w:rFonts w:ascii="微軟正黑體" w:cs="微軟正黑體" w:eastAsia="微軟正黑體" w:hAnsi="微軟正黑體"/>
                <w:sz w:val="21"/>
                <w:szCs w:val="21"/>
              </w:rPr>
              <w:t xml:space="preserve">•　三機制記憶技巧：確認範圍是「畫邊界」（事前）、建立結構是「定程序」（事中）、事後審查是「查結果」（事後）——依「時間軸」排列</w:t>
            </w:r>
          </w:p>
          <w:p>
            <w:pPr>
              <w:spacing w:after="0" w:line="320"/>
            </w:pPr>
            <w:r>
              <w:rPr>
                <w:rFonts w:ascii="微軟正黑體" w:cs="微軟正黑體" w:eastAsia="微軟正黑體" w:hAnsi="微軟正黑體"/>
                <w:sz w:val="21"/>
                <w:szCs w:val="21"/>
              </w:rPr>
              <w:t xml:space="preserve">•　裁量兩層次記憶：制訂階段裁量管「正當性」（要不要採納方案），執行階段裁量管「個案適用」（怎麼套用到具體案件）</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確認裁量範圍」（Confining，事前劃定外部邊界）與「建立裁量結構」（Structuring，規制裁量之行使方式）常被考生混為一談——前者回答「裁量可以用在哪些事項」（範圍界線），後者回答「裁量應該怎麼被行使」（程序與說理義務），兩者分屬不同的規制層次，須分別檢視而非合併討論。</w:t>
            </w:r>
          </w:p>
          <w:p>
            <w:pPr>
              <w:spacing w:after="0" w:line="320"/>
            </w:pPr>
            <w:r>
              <w:rPr>
                <w:rFonts w:ascii="微軟正黑體" w:cs="微軟正黑體" w:eastAsia="微軟正黑體" w:hAnsi="微軟正黑體"/>
                <w:sz w:val="21"/>
                <w:szCs w:val="21"/>
              </w:rPr>
              <w:t xml:space="preserve">•　「政策制訂階段的裁量」（法定決定者對是否採納方案之最終判斷權，關乎正當性）與「政策執行階段的裁量」（基層官僚對個案之適用裁量，關乎個案公平）常被考生視為同一概念——本章明確區辨兩者分工不同：前者是本章與下一章「政策執行」分工之關鍵界線，作答時應注意題目問的是「制訂」還是「執行」階段之裁量。</w:t>
            </w:r>
          </w:p>
        </w:tc>
      </w:tr>
    </w:tbl>
    <w:p>
      <w:pPr>
        <w:spacing w:after="220"/>
      </w:pPr>
    </w:p>
    <w:p>
      <w:pPr>
        <w:spacing w:after="180" w:before="360"/>
      </w:pPr>
      <w:r>
        <w:rPr>
          <w:rFonts w:ascii="微軟正黑體" w:cs="微軟正黑體" w:eastAsia="微軟正黑體" w:hAnsi="微軟正黑體"/>
          <w:b/>
          <w:bCs/>
          <w:color w:val="1F4E79"/>
          <w:sz w:val="26"/>
          <w:szCs w:val="26"/>
        </w:rPr>
        <w:t xml:space="preserve">第三節　審議民主與公民參與</w:t>
      </w:r>
    </w:p>
    <w:p>
      <w:pPr>
        <w:spacing w:after="140" w:before="260"/>
      </w:pPr>
      <w:r>
        <w:rPr>
          <w:rFonts w:ascii="微軟正黑體" w:cs="微軟正黑體" w:eastAsia="微軟正黑體" w:hAnsi="微軟正黑體"/>
          <w:b/>
          <w:bCs/>
          <w:color w:val="2E5C8A"/>
          <w:sz w:val="23"/>
          <w:szCs w:val="23"/>
        </w:rPr>
        <w:t xml:space="preserve">一、核心概念</w:t>
      </w:r>
    </w:p>
    <w:p>
      <w:pPr>
        <w:pStyle w:val="ListParagraph"/>
        <w:numPr>
          <w:ilvl w:val="0"/>
          <w:numId w:val="2"/>
        </w:numPr>
        <w:spacing w:after="120" w:line="340"/>
      </w:pPr>
      <w:r>
        <w:rPr>
          <w:rFonts w:ascii="微軟正黑體" w:cs="微軟正黑體" w:eastAsia="微軟正黑體" w:hAnsi="微軟正黑體"/>
          <w:sz w:val="22"/>
          <w:szCs w:val="22"/>
        </w:rPr>
        <w:t xml:space="preserve">審議民主（deliberative democracy）主張政策正當性不僅來自多數決之結果，也來自審議過程本身之品質。哈伯瑪斯（Habermas, 1996）之溝通理性（communicative rationality）與論述理論（discourse theory）認為，唯有在資訊公開、發言機會平等、且參與者願意因更好的論證而修正立場之溝通情境下達成的共識，才具有真正的正當性，而非僅是權力或資源優勢之產物。</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此一主張與合法化三策略中之「說服策略」相呼應——審議民主可視為將說服提升為制度化、程序化之公共論辯機制；審議民主的理念，在實務上發展出多種可操作之工具：審議式民調（Deliberative Polling，Fishkin, 1991，隨機抽樣具代表性之民眾，提供平衡資訊後進行分組審議討論）、公民審議會（Citizens' Assembly，以抽籤方式組成具代表性之公民小組，就特定議題進行多日審議並提出建議）、線上公共政策參與平台（如我國join平台，提供連署、提案與意見徵集功能）。</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3213"/>
        <w:gridCol w:w="3213"/>
      </w:tblGrid>
      <w:tr>
        <w:trPr>
          <w:tblHeader/>
        </w:trPr>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工具</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核心特徵</w:t>
            </w:r>
          </w:p>
        </w:tc>
        <w:tc>
          <w:tcPr>
            <w:tcW w:type="dxa" w:w="32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侷限</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審議式民調（Fishkin, 1991）</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隨機抽樣具代表性之民眾，提供平衡資訊後分組審議，比較審議前後之意見變化</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耗費資源、規模有限，難以涵蓋全體利害關係人</w:t>
            </w:r>
          </w:p>
        </w:tc>
      </w:tr>
      <w:tr>
        <w:tc>
          <w:tcPr>
            <w:tcW w:type="dxa" w:w="2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公民審議會</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以抽籤方式組成具代表性之公民小組，就特定議題進行多日審議並提出建議</w:t>
            </w:r>
          </w:p>
        </w:tc>
        <w:tc>
          <w:tcPr>
            <w:tcW w:type="dxa" w:w="32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建議通常不具法律拘束力，採納與否仍取決於決策者</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線上公共政策參與平台</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如我國join平台，提供連署、提案與意見徵集功能，降低參與門檻</w:t>
            </w:r>
          </w:p>
        </w:tc>
        <w:tc>
          <w:tcPr>
            <w:tcW w:type="dxa" w:w="32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5"/>
                <w:szCs w:val="15"/>
              </w:rPr>
              <w:t xml:space="preserve">數位落差與網路動員易使意見代表性失真</w:t>
            </w:r>
          </w:p>
        </w:tc>
      </w:tr>
    </w:tbl>
    <w:p>
      <w:pPr>
        <w:spacing w:after="280" w:before="120"/>
        <w:jc w:val="center"/>
      </w:pPr>
      <w:r>
        <w:rPr>
          <w:rFonts w:ascii="微軟正黑體" w:cs="微軟正黑體" w:eastAsia="微軟正黑體" w:hAnsi="微軟正黑體"/>
          <w:i/>
          <w:iCs/>
          <w:color w:val="555555"/>
          <w:sz w:val="18"/>
          <w:szCs w:val="18"/>
        </w:rPr>
        <w:t xml:space="preserve">表12-E　審議民主工具比較</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參與人數多，不代表參與具有代表性。評估公民參與品質時，至少應區辨三種代表性：統計代表性（參與者的人口組成是否接近整體人口）、利益代表性（不同利益與立場是否都有機會表達）、經驗代表性（真正受到政策影響的人是否被納入）。三者缺一不可，僅追求參與人數之提升未必等同於審議品質之提升。</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審議民主理論（Habermas溝通理性）</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提供評估「同意是否真實」之規範性判準，超越單純多數決之正當性基礎</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審議理想情境（資訊對等、發言機會平等）於現實政治過程中難以完全達成</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審議民主工具（審議式民調／公民審議會／線上平台）</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擴大包容策略之參與基礎，提供多元管道使公民意見進入政策制訂過程</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各工具皆面臨代表性侷限，須與傳統立法協商、利害關係人諮商相輔相成而非取代</w:t>
            </w:r>
          </w:p>
        </w:tc>
      </w:tr>
    </w:tbl>
    <w:p>
      <w:pPr>
        <w:spacing w:after="280" w:before="120"/>
        <w:jc w:val="center"/>
      </w:pPr>
      <w:r>
        <w:rPr>
          <w:rFonts w:ascii="微軟正黑體" w:cs="微軟正黑體" w:eastAsia="微軟正黑體" w:hAnsi="微軟正黑體"/>
          <w:i/>
          <w:iCs/>
          <w:color w:val="555555"/>
          <w:sz w:val="18"/>
          <w:szCs w:val="18"/>
        </w:rPr>
        <w:t xml:space="preserve">表12-F　審議民主理論與工具之貢獻與限制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我國國家發展委員會依《公共政策網路參與實施要點》（2018年修正）推動join平台，提供公共政策提案、附議與機關回應機制；部分地方政府亦曾試辦公民審議會，就特定公共議題（如都市計畫、社會福利政策）邀集抽籤產生之公民代表進行多日審議。</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join平台提供公民提案連署機制，惟其成效仍受限於數位落差與網路動員之代表性疑慮；地方政府試辦之公民審議會（如都市計畫爭議之審議），則展現審議民主工具在地方治理層次之實踐可能性，惟建議通常不具法律拘束力，最終仍須交由法定決策機關參酌採納。</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①審議民主之基本主張：Habermas溝通理性與論述理論，正當性來自審議過程品質而非僅多數決結果</w:t>
            </w:r>
          </w:p>
          <w:p>
            <w:pPr>
              <w:spacing w:after="80" w:line="320"/>
            </w:pPr>
            <w:r>
              <w:rPr>
                <w:rFonts w:ascii="微軟正黑體" w:cs="微軟正黑體" w:eastAsia="微軟正黑體" w:hAnsi="微軟正黑體"/>
                <w:sz w:val="21"/>
                <w:szCs w:val="21"/>
              </w:rPr>
              <w:t xml:space="preserve">•　②三種審議民主工具：審議式民調（Fishkin）／公民審議會／線上公共政策參與平台</w:t>
            </w:r>
          </w:p>
          <w:p>
            <w:pPr>
              <w:spacing w:after="80" w:line="320"/>
            </w:pPr>
            <w:r>
              <w:rPr>
                <w:rFonts w:ascii="微軟正黑體" w:cs="微軟正黑體" w:eastAsia="微軟正黑體" w:hAnsi="微軟正黑體"/>
                <w:sz w:val="21"/>
                <w:szCs w:val="21"/>
              </w:rPr>
              <w:t xml:space="preserve">•　③公民參與代表性三類型：統計代表性／利益代表性／經驗代表性</w:t>
            </w:r>
          </w:p>
          <w:p>
            <w:pPr>
              <w:spacing w:after="0" w:line="320"/>
            </w:pPr>
            <w:r>
              <w:rPr>
                <w:rFonts w:ascii="微軟正黑體" w:cs="微軟正黑體" w:eastAsia="微軟正黑體" w:hAnsi="微軟正黑體"/>
                <w:sz w:val="21"/>
                <w:szCs w:val="21"/>
              </w:rPr>
              <w:t xml:space="preserve">•　④我國join平台與地方公民審議會實務案例</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三種審議工具口訣：審（議式民調）、公（民審議會）、線（上參與平台）——「審公線」三字訣</w:t>
            </w:r>
          </w:p>
          <w:p>
            <w:pPr>
              <w:spacing w:after="80" w:line="320"/>
            </w:pPr>
            <w:r>
              <w:rPr>
                <w:rFonts w:ascii="微軟正黑體" w:cs="微軟正黑體" w:eastAsia="微軟正黑體" w:hAnsi="微軟正黑體"/>
                <w:sz w:val="21"/>
                <w:szCs w:val="21"/>
              </w:rPr>
              <w:t xml:space="preserve">•　代表性三類型記憶：統（計代表性，人口組成）、利（益代表性，立場表達）、經（驗代表性，真正受影響者）——「統利經」三字訣</w:t>
            </w:r>
          </w:p>
          <w:p>
            <w:pPr>
              <w:spacing w:after="0" w:line="320"/>
            </w:pPr>
            <w:r>
              <w:rPr>
                <w:rFonts w:ascii="微軟正黑體" w:cs="微軟正黑體" w:eastAsia="微軟正黑體" w:hAnsi="微軟正黑體"/>
                <w:sz w:val="21"/>
                <w:szCs w:val="21"/>
              </w:rPr>
              <w:t xml:space="preserve">•　審議民主核心一句話記憶：正當性不是「多數說了算」，而是「有沒有經過好的討論」</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審議式民調」（隨機抽樣具代表性之民眾，提供平衡資訊後分組討論，比較審議前後意見變化）與「公民審議會」（以抽籤方式組成具代表性之公民小組，進行多日審議並提出建議）常被考生混為一談——審議式民調重點在「測量意見如何隨審議而改變」（研究導向），公民審議會重點在「產出具體政策建議」（決策導向），兩者操作目的不同。</w:t>
            </w:r>
          </w:p>
          <w:p>
            <w:pPr>
              <w:spacing w:after="0" w:line="320"/>
            </w:pPr>
            <w:r>
              <w:rPr>
                <w:rFonts w:ascii="微軟正黑體" w:cs="微軟正黑體" w:eastAsia="微軟正黑體" w:hAnsi="微軟正黑體"/>
                <w:sz w:val="21"/>
                <w:szCs w:val="21"/>
              </w:rPr>
              <w:t xml:space="preserve">•　「參與人數」與「代表性」常被考生視為正相關（參與人數越多代表性越高）——本章明確指出參與人數多不代表參與具有代表性，須同時檢視統計代表性、利益代表性、經驗代表性三個面向，尤其AI意見統整工具可能將少數但重要之意見視為「低頻噪音」而忽略經驗代表性。</w:t>
            </w:r>
          </w:p>
        </w:tc>
      </w:tr>
    </w:tbl>
    <w:p>
      <w:pPr>
        <w:spacing w:after="260"/>
      </w:pPr>
    </w:p>
    <w:p>
      <w:pPr>
        <w:spacing w:after="180" w:before="360"/>
      </w:pPr>
      <w:r>
        <w:rPr>
          <w:rFonts w:ascii="微軟正黑體" w:cs="微軟正黑體" w:eastAsia="微軟正黑體" w:hAnsi="微軟正黑體"/>
          <w:b/>
          <w:bCs/>
          <w:color w:val="1F4E79"/>
          <w:sz w:val="26"/>
          <w:szCs w:val="26"/>
        </w:rPr>
        <w:t xml:space="preserve">第四節　AI鑲嵌下的政策制訂：裁量權移轉與權威鏈正當性危機</w:t>
      </w:r>
    </w:p>
    <w:p>
      <w:pPr>
        <w:spacing w:after="140" w:before="260"/>
      </w:pPr>
      <w:r>
        <w:rPr>
          <w:rFonts w:ascii="微軟正黑體" w:cs="微軟正黑體" w:eastAsia="微軟正黑體" w:hAnsi="微軟正黑體"/>
          <w:b/>
          <w:bCs/>
          <w:color w:val="2E5C8A"/>
          <w:sz w:val="23"/>
          <w:szCs w:val="23"/>
        </w:rPr>
        <w:t xml:space="preserve">一、核心概念</w:t>
      </w:r>
    </w:p>
    <w:p>
      <w:pPr>
        <w:pStyle w:val="ListParagraph"/>
        <w:numPr>
          <w:ilvl w:val="0"/>
          <w:numId w:val="2"/>
        </w:numPr>
        <w:spacing w:after="120" w:line="340"/>
      </w:pPr>
      <w:r>
        <w:rPr>
          <w:rFonts w:ascii="微軟正黑體" w:cs="微軟正黑體" w:eastAsia="微軟正黑體" w:hAnsi="微軟正黑體"/>
          <w:sz w:val="22"/>
          <w:szCs w:val="22"/>
        </w:rPr>
        <w:t xml:space="preserve">AI輔助決策系統若在規劃階段已對替選方案附加效率或風險標籤，制訂者在合法化階段面對的往往不再是一組中性的選項，而是一份已經隱含建議答案的清單。若制訂者未經獨立審視即予採納，合法化程序形式上完備（通過審議、完成法定程序），實質上卻可能只是對演算法建議的背書，構成本章所稱之權威鏈「正當性危機」——法定授權範圍從未涵蓋、也未預見技術系統實際承擔之框定角色。</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合法化三策略可轉化為可解釋性說服：包容策略擴大至演算法審議與資料當事人參與；排除策略中之黑箱問題，以強制性透明與模型卡揭露反制；說服策略則從單純之價值雄辯，轉為要求AI系統提供可理解、可檢驗之建議理由。裁量控制機制之AI轉譯：確認裁量範圍延伸為明訂AI輔助系統之建議效力（僅供參考或具推定效力）；建立裁量結構延伸為要求採納或不採納AI建議皆須留下書面理由；事後審查延伸為納入演算法影響評估與外部稽核。</w:t>
      </w:r>
    </w:p>
    <w:p>
      <w:pPr>
        <w:pStyle w:val="ListParagraph"/>
        <w:numPr>
          <w:ilvl w:val="0"/>
          <w:numId w:val="2"/>
        </w:numPr>
        <w:spacing w:after="120" w:line="340"/>
      </w:pPr>
      <w:r>
        <w:rPr>
          <w:rFonts w:ascii="微軟正黑體" w:cs="微軟正黑體" w:eastAsia="微軟正黑體" w:hAnsi="微軟正黑體"/>
          <w:sz w:val="22"/>
          <w:szCs w:val="22"/>
        </w:rPr>
        <w:t xml:space="preserve">依中央社、數位發展部與法源法律網等公開報導，立法院已於2025年12月三讀通過《人工智慧基本法》，並經總統公布施行，明定主管機關為國家科學及技術委員會（國科會），並訂定政府推動人工智慧應遵循之七項治理原則。此立法過程本身即為政策合法化之鮮活案例：草案歷經行政院版本與國科會版本之角力與協商，體現包容、排除、說服三策略之綜合運用。惟具體施行細則與後續配套子法仍陸續訂定中，詳細規範應以立法院公報與國科會最新公告為準。</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000"/>
        <w:gridCol w:w="2200"/>
        <w:gridCol w:w="2200"/>
        <w:gridCol w:w="3626"/>
      </w:tblGrid>
      <w:tr>
        <w:trPr>
          <w:tblHeader/>
        </w:trPr>
        <w:tc>
          <w:tcPr>
            <w:tcW w:type="dxa" w:w="10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等級</w:t>
            </w:r>
          </w:p>
        </w:tc>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AI功能</w:t>
            </w:r>
          </w:p>
        </w:tc>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人員角色</w:t>
            </w:r>
          </w:p>
        </w:tc>
        <w:tc>
          <w:tcPr>
            <w:tcW w:type="dxa" w:w="36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課責要求</w:t>
            </w:r>
          </w:p>
        </w:tc>
      </w:tr>
      <w:tr>
        <w:tc>
          <w:tcPr>
            <w:tcW w:type="dxa" w:w="1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第一級</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資料搜尋與摘要</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全程判斷</w:t>
            </w:r>
          </w:p>
        </w:tc>
        <w:tc>
          <w:tcPr>
            <w:tcW w:type="dxa" w:w="3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查核來源與引用</w:t>
            </w:r>
          </w:p>
        </w:tc>
      </w:tr>
      <w:tr>
        <w:tc>
          <w:tcPr>
            <w:tcW w:type="dxa" w:w="1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第二級</w:t>
            </w:r>
          </w:p>
        </w:tc>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方案生成與比較</w:t>
            </w:r>
          </w:p>
        </w:tc>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選擇分析框架</w:t>
            </w:r>
          </w:p>
        </w:tc>
        <w:tc>
          <w:tcPr>
            <w:tcW w:type="dxa" w:w="36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保存提示與輸出紀錄</w:t>
            </w:r>
          </w:p>
        </w:tc>
      </w:tr>
      <w:tr>
        <w:tc>
          <w:tcPr>
            <w:tcW w:type="dxa" w:w="1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第三級</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風險評分與排序</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審查模型假設</w:t>
            </w:r>
          </w:p>
        </w:tc>
        <w:tc>
          <w:tcPr>
            <w:tcW w:type="dxa" w:w="3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公開權重、限制與偏誤</w:t>
            </w:r>
          </w:p>
        </w:tc>
      </w:tr>
      <w:tr>
        <w:tc>
          <w:tcPr>
            <w:tcW w:type="dxa" w:w="10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第四級</w:t>
            </w:r>
          </w:p>
        </w:tc>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個案准駁或資源配置建議</w:t>
            </w:r>
          </w:p>
        </w:tc>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實質覆核與決定</w:t>
            </w:r>
          </w:p>
        </w:tc>
        <w:tc>
          <w:tcPr>
            <w:tcW w:type="dxa" w:w="36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法定授權、人工介入、申訴與外部審查</w:t>
            </w:r>
          </w:p>
        </w:tc>
      </w:tr>
    </w:tbl>
    <w:p>
      <w:pPr>
        <w:spacing w:after="280" w:before="120"/>
        <w:jc w:val="center"/>
      </w:pPr>
      <w:r>
        <w:rPr>
          <w:rFonts w:ascii="微軟正黑體" w:cs="微軟正黑體" w:eastAsia="微軟正黑體" w:hAnsi="微軟正黑體"/>
          <w:i/>
          <w:iCs/>
          <w:color w:val="555555"/>
          <w:sz w:val="18"/>
          <w:szCs w:val="18"/>
        </w:rPr>
        <w:t xml:space="preserve">表12-G　AI輔助政策制訂分級</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AI鑲嵌治理過程中存在三種權力移轉：情境建構權（P1，規劃階段已完成之方案排序與風險標籤，在制訂階段被直接沿用為審議素材，制訂者實際審視的往往是已被AI重新框定過之選項組合）、行政裁量與價值判斷權（P2，本章最主要之權力位移樣態——制訂者形式上仍握有「核准或否決」之權力，但若AI建議已附加明確風險或效益標籤，實質判斷可能已在制訂者接觸方案之前完成，裁量的「內容」被架空，只剩裁量的「形式」）、公權力影響力（P3，AI輔助決策工具由私部門開發、政府採購使用時，工具背後之參數設計實質上具有形塑政策走向之準公權力性質，卻通常未進入立法審議或公開課責程序）。三種結構性效應中，本章以權威重構最為核心：法源權威、專業（制訂者）權威與模型效能權威三者持續競合，制訂者可能傾向信任預測準確率較高之AI建議，形成技術權威悄然取代民主權威之風險，治理鏈斷裂即發生於權威鏈——法定授權範圍從未涵蓋、也未預見技術系統實際承擔之框定或裁量角色，形成「正當性危機」。</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架構</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貢獻</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限制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AI輔助政策制訂分級（四級課責架構）</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依AI功能之風險程度（從資料搜尋到個案准駁）建立差異化課責要求，避免齊頭式規範</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分級判準於新興AI應用態樣出現時，仍須持續檢討更新，避免既有分級無法涵蓋新型態應用</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權威重構與權威鏈正當性危機分析</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揭示AI輔助決策如何悄然掏空制訂者裁量之實質內容，補足傳統合法化理論對技術系統角色之分析空缺</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「正當性危機」之具體衡量指標仍待建立，實務上須仰賴個案分析而非抽象原則自動判定</w:t>
            </w:r>
          </w:p>
        </w:tc>
      </w:tr>
    </w:tbl>
    <w:p>
      <w:pPr>
        <w:spacing w:after="280" w:before="120"/>
        <w:jc w:val="center"/>
      </w:pPr>
      <w:r>
        <w:rPr>
          <w:rFonts w:ascii="微軟正黑體" w:cs="微軟正黑體" w:eastAsia="微軟正黑體" w:hAnsi="微軟正黑體"/>
          <w:i/>
          <w:iCs/>
          <w:color w:val="555555"/>
          <w:sz w:val="18"/>
          <w:szCs w:val="18"/>
        </w:rPr>
        <w:t xml:space="preserve">表12-H　AI鑲嵌政策制訂架構之貢獻與限制</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政府不能因為AI由外部廠商提供，就將政策責任全部轉嫁給廠商——採購外包改變的是工作分配，不是公權力責任的歸屬。政策制訂過程中之責任應如下配置：政治首長（決定政策方向並承擔政治責任）、法定決策機關（確認權限、程序與正式決定）、承辦與分析人員（查核資料、揭露限制並提出專業判斷）、AI系統開發者（說明系統功能、限制、測試與更新紀錄）、資料提供者（確保資料來源合法、品質適當）、外部審查者（進行偏誤、資安、隱私與程序審查）、受影響者（享有知情、申訴、補正與重新審查之權利）。工具箱另包括監管沙盒、演算法影響評估（AIA）、可解釋AI說服框架、AI輔助公民審議平台。</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我國《氣候變遷因應法》碳費機制之合法化過程，展現三策略之綜合運用：包容策略體現於費率審議會納入產業界、環保團體與學者代表之諮商程序；說服策略則展現於環境部以碳洩漏風險、國際碳邊境調整機制（CBAM）等論證，爭取產業界對碳有價化之支持。某地方政府若導入AI輔助社會住宅資格初篩系統（教學參考情境），其治理難點在於：當AI初篩之准駁建議準確率長期偏高時，承辦人是否仍會、仍能對個案進行獨立審視，此為權威鏈正當性危機之具體縮影。</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①AI建議如何模糊化制訂者裁量空間：從中性選項清單變為隱含建議答案之清單</w:t>
            </w:r>
          </w:p>
          <w:p>
            <w:pPr>
              <w:spacing w:after="80" w:line="320"/>
            </w:pPr>
            <w:r>
              <w:rPr>
                <w:rFonts w:ascii="微軟正黑體" w:cs="微軟正黑體" w:eastAsia="微軟正黑體" w:hAnsi="微軟正黑體"/>
                <w:sz w:val="21"/>
                <w:szCs w:val="21"/>
              </w:rPr>
              <w:t xml:space="preserve">•　②裁量控制機制之AI轉譯：確認範圍（僅供參考或具推定效力）／建立結構（書面理由）／事後審查（AIA與外部稽核）</w:t>
            </w:r>
          </w:p>
          <w:p>
            <w:pPr>
              <w:spacing w:after="80" w:line="320"/>
            </w:pPr>
            <w:r>
              <w:rPr>
                <w:rFonts w:ascii="微軟正黑體" w:cs="微軟正黑體" w:eastAsia="微軟正黑體" w:hAnsi="微軟正黑體"/>
                <w:sz w:val="21"/>
                <w:szCs w:val="21"/>
              </w:rPr>
              <w:t xml:space="preserve">•　③《人工智慧基本法》（2025年12月三讀通過）：主管機關國科會、七項治理原則</w:t>
            </w:r>
          </w:p>
          <w:p>
            <w:pPr>
              <w:spacing w:after="80" w:line="320"/>
            </w:pPr>
            <w:r>
              <w:rPr>
                <w:rFonts w:ascii="微軟正黑體" w:cs="微軟正黑體" w:eastAsia="微軟正黑體" w:hAnsi="微軟正黑體"/>
                <w:sz w:val="21"/>
                <w:szCs w:val="21"/>
              </w:rPr>
              <w:t xml:space="preserve">•　④AI輔助政策制訂分級：第一至四級（資料搜尋→方案比較→風險排序→個案准駁），課責要求依風險遞增</w:t>
            </w:r>
          </w:p>
          <w:p>
            <w:pPr>
              <w:spacing w:after="80" w:line="320"/>
            </w:pPr>
            <w:r>
              <w:rPr>
                <w:rFonts w:ascii="微軟正黑體" w:cs="微軟正黑體" w:eastAsia="微軟正黑體" w:hAnsi="微軟正黑體"/>
                <w:sz w:val="21"/>
                <w:szCs w:val="21"/>
              </w:rPr>
              <w:t xml:space="preserve">•　⑤三種權力移轉：P1情境建構權（延伸）／P2行政裁量與價值判斷權（核心）／P3公權力影響力（擴散）</w:t>
            </w:r>
          </w:p>
          <w:p>
            <w:pPr>
              <w:spacing w:after="80" w:line="320"/>
            </w:pPr>
            <w:r>
              <w:rPr>
                <w:rFonts w:ascii="微軟正黑體" w:cs="微軟正黑體" w:eastAsia="微軟正黑體" w:hAnsi="微軟正黑體"/>
                <w:sz w:val="21"/>
                <w:szCs w:val="21"/>
              </w:rPr>
              <w:t xml:space="preserve">•　⑥權威重構：法源權威、專業權威、模型效能權威三者競合；權威鏈正當性危機</w:t>
            </w:r>
          </w:p>
          <w:p>
            <w:pPr>
              <w:spacing w:after="0" w:line="320"/>
            </w:pPr>
            <w:r>
              <w:rPr>
                <w:rFonts w:ascii="微軟正黑體" w:cs="微軟正黑體" w:eastAsia="微軟正黑體" w:hAnsi="微軟正黑體"/>
                <w:sz w:val="21"/>
                <w:szCs w:val="21"/>
              </w:rPr>
              <w:t xml:space="preserve">•　⑦政策制訂責任配置七類行動者：政治首長／法定決策機關／承辦分析人員／AI開發者／資料提供者／外部審查者／受影響者</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AI四級分級口訣：搜（尋摘要）、比（方案比較）、排（風險排序）、准（個案准駁）——「搜比排准」四字訣，課責要求依序遞增</w:t>
            </w:r>
          </w:p>
          <w:p>
            <w:pPr>
              <w:spacing w:after="80" w:line="320"/>
            </w:pPr>
            <w:r>
              <w:rPr>
                <w:rFonts w:ascii="微軟正黑體" w:cs="微軟正黑體" w:eastAsia="微軟正黑體" w:hAnsi="微軟正黑體"/>
                <w:sz w:val="21"/>
                <w:szCs w:val="21"/>
              </w:rPr>
              <w:t xml:space="preserve">•　裁量「內容」vs.「形式」記憶：制訂者仍握有核准或否決的「形式」權力，但若AI已預先標好答案，裁量的「內容」早已被架空——「有蓋章權，沒判斷權」</w:t>
            </w:r>
          </w:p>
          <w:p>
            <w:pPr>
              <w:spacing w:after="0" w:line="320"/>
            </w:pPr>
            <w:r>
              <w:rPr>
                <w:rFonts w:ascii="微軟正黑體" w:cs="微軟正黑體" w:eastAsia="微軟正黑體" w:hAnsi="微軟正黑體"/>
                <w:sz w:val="21"/>
                <w:szCs w:val="21"/>
              </w:rPr>
              <w:t xml:space="preserve">•　責任配置七類行動者口訣：首（長）、機（關）、承（辦）、開（發者）、資（料提供者）、審（查者）、受（影響者）——「首機承開資審受」七字訣</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裁量的形式」（制訂者仍擁有核准或否決之法定權力）與「裁量的內容」（制訂者是否真正進行獨立判斷）常被考生混為一談——本章明確指出，AI輔助決策系統之最大風險，正在於使兩者脫鉤：制訂者形式上仍握有蓋章權，但實質判斷可能已在接觸方案之前，由模型之風險或效益標籤預先完成，作答時應清楚區辨「有沒有蓋章」與「有沒有真正判斷」是兩回事。</w:t>
            </w:r>
          </w:p>
          <w:p>
            <w:pPr>
              <w:spacing w:after="0" w:line="320"/>
            </w:pPr>
            <w:r>
              <w:rPr>
                <w:rFonts w:ascii="微軟正黑體" w:cs="微軟正黑體" w:eastAsia="微軟正黑體" w:hAnsi="微軟正黑體"/>
                <w:sz w:val="21"/>
                <w:szCs w:val="21"/>
              </w:rPr>
              <w:t xml:space="preserve">•　本章「權威重構」（法源、專業與模型效能三種權威競合，制訂階段最核心之結構性效應）與第九、十、十一章之「權威重構」常被考生誤認為完全相同內容——雖同屬「權威重構」類別，但本章特別聚焦於「制訂者是否因信任模型準確率而放棄獨立判斷」此一合法化階段特有現象，與第九章元治理層級之權威重構、第十一章規劃工具之權威重構，具體脈絡並不相同，作答時應扣緊「政策制訂／合法化」之特定階段。</w:t>
            </w:r>
          </w:p>
        </w:tc>
      </w:tr>
    </w:tbl>
    <w:p>
      <w:pPr>
        <w:spacing w:after="260"/>
      </w:pPr>
    </w:p>
    <w:p>
      <w:pPr>
        <w:spacing w:after="200" w:before="400"/>
      </w:pPr>
      <w:r>
        <w:rPr>
          <w:rFonts w:ascii="微軟正黑體" w:cs="微軟正黑體" w:eastAsia="微軟正黑體" w:hAnsi="微軟正黑體"/>
          <w:b/>
          <w:bCs/>
          <w:sz w:val="32"/>
          <w:szCs w:val="32"/>
        </w:rPr>
        <w:t xml:space="preserve">【申論解題】</w:t>
      </w:r>
    </w:p>
    <w:p>
      <w:pPr>
        <w:spacing w:after="200" w:line="360"/>
        <w:ind w:firstLine="431"/>
        <w:jc w:val="both"/>
      </w:pPr>
      <w:r>
        <w:rPr>
          <w:rFonts w:ascii="微軟正黑體" w:cs="微軟正黑體" w:eastAsia="微軟正黑體" w:hAnsi="微軟正黑體"/>
          <w:sz w:val="22"/>
          <w:szCs w:val="22"/>
        </w:rPr>
        <w:t xml:space="preserve">本章語料庫（107-111年）尚未查得完全對應一般行政類科之申論真題，以下三題均為依本章母體教材自行設計之模擬命題，各題均附「考題出處（重要說明）」標示。依全書格式定版說明，僅題目一（A級）提供基本得分版、標準版、高分版三種完整答案；題目二（B級）與題目三（C級）改為提供【參考答案·標準版】單一版本，並於【得分關鍵】【常見失分】之後新增【高分加分點】。</w:t>
      </w:r>
    </w:p>
    <w:p>
      <w:pPr>
        <w:spacing w:after="180" w:before="360"/>
      </w:pPr>
      <w:r>
        <w:rPr>
          <w:rFonts w:ascii="微軟正黑體" w:cs="微軟正黑體" w:eastAsia="微軟正黑體" w:hAnsi="微軟正黑體"/>
          <w:b/>
          <w:bCs/>
          <w:color w:val="1F4E79"/>
          <w:sz w:val="26"/>
          <w:szCs w:val="26"/>
        </w:rPr>
        <w:t xml:space="preserve">題目一（A級基本題·模擬命題）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並非歷屆試題，而是依本章第一節母體教材「政策合法化之意涵與三策略」自行設計之模擬命題。本語料庫（107-111年）中，本章尚未查得完全對應一般行政類科且直接對應本章理論架構之申論真題，爰以模擬題形式呈現，並於此明確標示，避免與真實歷屆試題混淆。</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「請說明政策合法化之意涵與其四重意涵，並比較包容、排除、說服三種合法化策略之操作手法與倫理界線。請以我國具體立法案例說明。（25分）」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概念闡釋＋比較分析＋案例應用題」，考生須依序完成：說明政策合法化定義與四重意涵、比較三種合法化策略之操作手法與倫理界線、以具體案例佐證——僅背誦三策略定義而未點出「倫理界線」此一題目明確要求之面向，屬於論述不完整。</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政策合法化 ＋ 四重意涵 ＋ 包容排除說服三策略 ＋ 倫理界線 ＋ 我國具體立法案例。</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一、前言：政策合法化作為正當性建構過程</w:t>
      </w:r>
    </w:p>
    <w:p>
      <w:pPr>
        <w:pStyle w:val="ListParagraph"/>
        <w:numPr>
          <w:ilvl w:val="0"/>
          <w:numId w:val="2"/>
        </w:numPr>
        <w:spacing w:after="120" w:line="340"/>
      </w:pPr>
      <w:r>
        <w:rPr>
          <w:rFonts w:ascii="微軟正黑體" w:cs="微軟正黑體" w:eastAsia="微軟正黑體" w:hAnsi="微軟正黑體"/>
          <w:sz w:val="22"/>
          <w:szCs w:val="22"/>
        </w:rPr>
        <w:t xml:space="preserve">二、政策合法化之四重意涵</w:t>
      </w:r>
    </w:p>
    <w:p>
      <w:pPr>
        <w:pStyle w:val="ListParagraph"/>
        <w:numPr>
          <w:ilvl w:val="0"/>
          <w:numId w:val="2"/>
        </w:numPr>
        <w:spacing w:after="120" w:line="340"/>
      </w:pPr>
      <w:r>
        <w:rPr>
          <w:rFonts w:ascii="微軟正黑體" w:cs="微軟正黑體" w:eastAsia="微軟正黑體" w:hAnsi="微軟正黑體"/>
          <w:sz w:val="22"/>
          <w:szCs w:val="22"/>
        </w:rPr>
        <w:t xml:space="preserve">三、三種合法化策略之操作手法比較</w:t>
      </w:r>
    </w:p>
    <w:p>
      <w:pPr>
        <w:pStyle w:val="ListParagraph"/>
        <w:numPr>
          <w:ilvl w:val="0"/>
          <w:numId w:val="2"/>
        </w:numPr>
        <w:spacing w:after="120" w:line="340"/>
      </w:pPr>
      <w:r>
        <w:rPr>
          <w:rFonts w:ascii="微軟正黑體" w:cs="微軟正黑體" w:eastAsia="微軟正黑體" w:hAnsi="微軟正黑體"/>
          <w:sz w:val="22"/>
          <w:szCs w:val="22"/>
        </w:rPr>
        <w:t xml:space="preserve">四、排除策略之倫理界線</w:t>
      </w:r>
    </w:p>
    <w:p>
      <w:pPr>
        <w:pStyle w:val="ListParagraph"/>
        <w:numPr>
          <w:ilvl w:val="0"/>
          <w:numId w:val="2"/>
        </w:numPr>
        <w:spacing w:after="120" w:line="340"/>
      </w:pPr>
      <w:r>
        <w:rPr>
          <w:rFonts w:ascii="微軟正黑體" w:cs="微軟正黑體" w:eastAsia="微軟正黑體" w:hAnsi="微軟正黑體"/>
          <w:sz w:val="22"/>
          <w:szCs w:val="22"/>
        </w:rPr>
        <w:t xml:space="preserve">五、我國具體立法案例應用</w:t>
      </w:r>
    </w:p>
    <w:p>
      <w:pPr>
        <w:pStyle w:val="ListParagraph"/>
        <w:numPr>
          <w:ilvl w:val="0"/>
          <w:numId w:val="2"/>
        </w:numPr>
        <w:spacing w:after="120" w:line="340"/>
      </w:pPr>
      <w:r>
        <w:rPr>
          <w:rFonts w:ascii="微軟正黑體" w:cs="微軟正黑體" w:eastAsia="微軟正黑體" w:hAnsi="微軟正黑體"/>
          <w:sz w:val="22"/>
          <w:szCs w:val="22"/>
        </w:rPr>
        <w:t xml:space="preserve">六、結論</w:t>
      </w:r>
    </w:p>
    <w:p>
      <w:pPr>
        <w:spacing w:after="100" w:before="160"/>
      </w:pPr>
      <w:r>
        <w:rPr>
          <w:rFonts w:ascii="微軟正黑體" w:cs="微軟正黑體" w:eastAsia="微軟正黑體" w:hAnsi="微軟正黑體"/>
          <w:b/>
          <w:bCs/>
          <w:color w:val="444444"/>
          <w:sz w:val="21"/>
          <w:szCs w:val="21"/>
        </w:rPr>
        <w:t xml:space="preserve">【參考答案·基本得分版】（約500-700字，考場時間不夠時至少拿到基本分）</w:t>
      </w:r>
    </w:p>
    <w:p>
      <w:pPr>
        <w:spacing w:after="200" w:line="360"/>
        <w:ind w:firstLine="431"/>
        <w:jc w:val="both"/>
      </w:pPr>
      <w:r>
        <w:rPr>
          <w:rFonts w:ascii="微軟正黑體" w:cs="微軟正黑體" w:eastAsia="微軟正黑體" w:hAnsi="微軟正黑體"/>
          <w:sz w:val="22"/>
          <w:szCs w:val="22"/>
        </w:rPr>
        <w:t xml:space="preserve">政策合法化指政府機關將政策方案提經有權核准之機關進行審議、核准，取得正式合法地位之動態過程，具四重意涵：公共性（涉及大眾事務之公開處理）、選擇性（產生贏家與輸家）、正當性（透過法定程序取得合法地位）、威權性（具拘束力，標的團體須順服）。</w:t>
      </w:r>
    </w:p>
    <w:p>
      <w:pPr>
        <w:spacing w:after="200" w:line="360"/>
        <w:ind w:firstLine="431"/>
        <w:jc w:val="both"/>
      </w:pPr>
      <w:r>
        <w:rPr>
          <w:rFonts w:ascii="微軟正黑體" w:cs="微軟正黑體" w:eastAsia="微軟正黑體" w:hAnsi="微軟正黑體"/>
          <w:sz w:val="22"/>
          <w:szCs w:val="22"/>
        </w:rPr>
        <w:t xml:space="preserve">合法化策略可分三類：包容策略（諮商、建立聯盟、妥協，透過擴大參與降低阻力）、排除策略（繞道、保密、資訊控制排除反對者，學理上具爭議）、說服策略（雄辯、分析、抗議，運用政策論證爭取多數，為民主體制主要機制）。排除策略之倫理界線在於：若涉及故意隱匿不利證據、操縱議程排除反對意見，即具高度正當性疑慮；反之若僅是排除重複或無關內容、依規則安排發言時間，則屬正當之程序管理。</w:t>
      </w:r>
    </w:p>
    <w:p>
      <w:pPr>
        <w:spacing w:after="200" w:line="360"/>
        <w:ind w:firstLine="431"/>
        <w:jc w:val="both"/>
      </w:pPr>
      <w:r>
        <w:rPr>
          <w:rFonts w:ascii="微軟正黑體" w:cs="微軟正黑體" w:eastAsia="微軟正黑體" w:hAnsi="微軟正黑體"/>
          <w:sz w:val="22"/>
          <w:szCs w:val="22"/>
        </w:rPr>
        <w:t xml:space="preserve">以我國《人工智慧基本法》立法過程為例：草案歷經行政院版本與國科會版本之多輪協商（包容策略），最終版本在主管機關歸屬等關鍵條文之取捨過程透明度仍受討論（排除策略之爭議），並以資安與安全等治理原則爭取跨黨派支持（說服策略），完整展現三策略之綜合運用。</w:t>
      </w:r>
    </w:p>
    <w:p>
      <w:pPr>
        <w:spacing w:after="100" w:before="160"/>
      </w:pPr>
      <w:r>
        <w:rPr>
          <w:rFonts w:ascii="微軟正黑體" w:cs="微軟正黑體" w:eastAsia="微軟正黑體" w:hAnsi="微軟正黑體"/>
          <w:b/>
          <w:bCs/>
          <w:color w:val="444444"/>
          <w:sz w:val="21"/>
          <w:szCs w:val="21"/>
        </w:rPr>
        <w:t xml:space="preserve">【參考答案·標準版】（約1,150-1,400字，主要示範答案）</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政策方案一旦通過合法化程序，就會產生贏家與輸家，而輸家為何願意接受、是否真的心服口服，決定了政策能否被長期遵行——這正是政策合法化不能被簡化為單純程序性動作，而須被理解為正當性建構過程之根本原因。</w:t>
      </w:r>
    </w:p>
    <w:p>
      <w:pPr>
        <w:spacing w:after="200" w:line="360"/>
        <w:ind w:firstLine="431"/>
        <w:jc w:val="both"/>
      </w:pPr>
      <w:r>
        <w:rPr>
          <w:rFonts w:ascii="微軟正黑體" w:cs="微軟正黑體" w:eastAsia="微軟正黑體" w:hAnsi="微軟正黑體"/>
          <w:sz w:val="22"/>
          <w:szCs w:val="22"/>
        </w:rPr>
        <w:t xml:space="preserve">二、政策合法化之四重意涵</w:t>
      </w:r>
    </w:p>
    <w:p>
      <w:pPr>
        <w:spacing w:after="200" w:line="360"/>
        <w:ind w:firstLine="431"/>
        <w:jc w:val="both"/>
      </w:pPr>
      <w:r>
        <w:rPr>
          <w:rFonts w:ascii="微軟正黑體" w:cs="微軟正黑體" w:eastAsia="微軟正黑體" w:hAnsi="微軟正黑體"/>
          <w:sz w:val="22"/>
          <w:szCs w:val="22"/>
        </w:rPr>
        <w:t xml:space="preserve">政策合法化（policy legitimation）指政府機關將政策方案提經有權核准之機關、團體或個人，如議會、上級機關或民意授權機制，進行審議、核准，完成立法或行政程序，以取得正式合法地位、得以付諸執行之動態過程。學理上具有四重意涵：其一，公共性，政策牽涉大眾事務，涉及成本與效益在利害關係人間之重分配，必須透過公開程序處理；其二，選擇性，從眾多方案中擇一，排除其他，產生贏家與輸家；其三，正當性，透過法定程序取得合法地位，亦即統治正當性之展現，包含程序正當與實質正當；其四，威權性，合法化後具有拘束力，標的團體需順服，否則有制裁，正當性不等於合意，而是可接受性。</w:t>
      </w:r>
    </w:p>
    <w:p>
      <w:pPr>
        <w:spacing w:after="200" w:line="360"/>
        <w:ind w:firstLine="431"/>
        <w:jc w:val="both"/>
      </w:pPr>
      <w:r>
        <w:rPr>
          <w:rFonts w:ascii="微軟正黑體" w:cs="微軟正黑體" w:eastAsia="微軟正黑體" w:hAnsi="微軟正黑體"/>
          <w:sz w:val="22"/>
          <w:szCs w:val="22"/>
        </w:rPr>
        <w:t xml:space="preserve">三、三種合法化策略之操作手法比較</w:t>
      </w:r>
    </w:p>
    <w:p>
      <w:pPr>
        <w:spacing w:after="200" w:line="360"/>
        <w:ind w:firstLine="431"/>
        <w:jc w:val="both"/>
      </w:pPr>
      <w:r>
        <w:rPr>
          <w:rFonts w:ascii="微軟正黑體" w:cs="微軟正黑體" w:eastAsia="微軟正黑體" w:hAnsi="微軟正黑體"/>
          <w:sz w:val="22"/>
          <w:szCs w:val="22"/>
        </w:rPr>
        <w:t xml:space="preserve">依學者歸納，合法化策略可分為三類，實務上常混合運用：其一，包容策略，核心手法為諮商、建立聯盟、妥協，透過擴大參與、納入多元利害關係人，以降低阻力，如行政院在重大修法前舉行公聽會、與黨團協商、與利害團體建立政策聯盟，屬聚合性策略；其二，排除策略，核心手法為繞道、保持秘密、欺騙，透過程序控制或資訊不對稱排除反對者，如選擇有利之審查委員會繞道、控制議程設定時機、選擇性釋放資訊，學理上具爭議，但在高度衝突議題中常見，需受民主課責檢視；其三，說服策略，核心手法為雄辯、分析、抗議，運用政策論證與溝通爭取多數，如以數據分析證明政策效益、以價值雄辯訴諸公共利益，為民主體制主要機制。</w:t>
      </w:r>
    </w:p>
    <w:p>
      <w:pPr>
        <w:spacing w:after="200" w:line="360"/>
        <w:ind w:firstLine="431"/>
        <w:jc w:val="both"/>
      </w:pPr>
      <w:r>
        <w:rPr>
          <w:rFonts w:ascii="微軟正黑體" w:cs="微軟正黑體" w:eastAsia="微軟正黑體" w:hAnsi="微軟正黑體"/>
          <w:sz w:val="22"/>
          <w:szCs w:val="22"/>
        </w:rPr>
        <w:t xml:space="preserve">四、排除策略之倫理界線</w:t>
      </w:r>
    </w:p>
    <w:p>
      <w:pPr>
        <w:spacing w:after="200" w:line="360"/>
        <w:ind w:firstLine="431"/>
        <w:jc w:val="both"/>
      </w:pPr>
      <w:r>
        <w:rPr>
          <w:rFonts w:ascii="微軟正黑體" w:cs="微軟正黑體" w:eastAsia="微軟正黑體" w:hAnsi="微軟正黑體"/>
          <w:sz w:val="22"/>
          <w:szCs w:val="22"/>
        </w:rPr>
        <w:t xml:space="preserve">排除策略雖為合法化三策略之一，但不應被誤解為「排除反對者」是常態的行政技巧。若涉及以下情形，通常具有高度正當性疑慮：故意隱匿對政策不利之證據、以不合理程序限制特定群體參與、操縱議程使反對意見無法進入正式討論、以技術性資料門檻排除一般公民。相對地，排除重複、侮辱或明顯與議題無關之內容、依事先公布之規則安排發言時間、保護個人隱私與敏感資料，則可能屬於正當之程序管理——程序管理可以整理參與，但不能消除反對；資訊治理可以保護隱私，但不能隱藏不利證據。</w:t>
      </w:r>
    </w:p>
    <w:p>
      <w:pPr>
        <w:spacing w:after="200" w:line="360"/>
        <w:ind w:firstLine="431"/>
        <w:jc w:val="both"/>
      </w:pPr>
      <w:r>
        <w:rPr>
          <w:rFonts w:ascii="微軟正黑體" w:cs="微軟正黑體" w:eastAsia="微軟正黑體" w:hAnsi="微軟正黑體"/>
          <w:sz w:val="22"/>
          <w:szCs w:val="22"/>
        </w:rPr>
        <w:t xml:space="preserve">五、我國具體立法案例應用</w:t>
      </w:r>
    </w:p>
    <w:p>
      <w:pPr>
        <w:spacing w:after="200" w:line="360"/>
        <w:ind w:firstLine="431"/>
        <w:jc w:val="both"/>
      </w:pPr>
      <w:r>
        <w:rPr>
          <w:rFonts w:ascii="微軟正黑體" w:cs="微軟正黑體" w:eastAsia="微軟正黑體" w:hAnsi="微軟正黑體"/>
          <w:sz w:val="22"/>
          <w:szCs w:val="22"/>
        </w:rPr>
        <w:t xml:space="preserve">以我國《人工智慧基本法》立法過程為例：草案歷經多輪跨部會協商、產業座談與公民團體意見徵詢，力求納入多元利害關係人觀點，體現包容策略；行政院版本與國家科學及技術委員會版本在主管機關歸屬、罰則設計等關鍵條文上存在差異，最終版本之取捨過程，對外界而言透明度仍有討論空間，觸及排除策略之倫理爭議；最終以資安與安全等治理原則作為核心論述，爭取跨黨派立法者與社會大眾對法案之支持，體現說服策略之運用。此立法過程於2025年12月經立法院三讀通過，主管機關確定為國科會，完整展現三策略綜合運用之政策合法化過程。</w:t>
      </w:r>
    </w:p>
    <w:p>
      <w:pPr>
        <w:spacing w:after="200" w:line="360"/>
        <w:ind w:firstLine="431"/>
        <w:jc w:val="both"/>
      </w:pPr>
      <w:r>
        <w:rPr>
          <w:rFonts w:ascii="微軟正黑體" w:cs="微軟正黑體" w:eastAsia="微軟正黑體" w:hAnsi="微軟正黑體"/>
          <w:sz w:val="22"/>
          <w:szCs w:val="22"/>
        </w:rPr>
        <w:t xml:space="preserve">六、結論</w:t>
      </w:r>
    </w:p>
    <w:p>
      <w:pPr>
        <w:spacing w:after="200" w:line="360"/>
        <w:ind w:firstLine="431"/>
        <w:jc w:val="both"/>
      </w:pPr>
      <w:r>
        <w:rPr>
          <w:rFonts w:ascii="微軟正黑體" w:cs="微軟正黑體" w:eastAsia="微軟正黑體" w:hAnsi="微軟正黑體"/>
          <w:sz w:val="22"/>
          <w:szCs w:val="22"/>
        </w:rPr>
        <w:t xml:space="preserve">政策合法化不是取得一枚橡皮圖章，而是讓一個具名、負責的決定者，在充分資訊與獨立判斷下，對社會說出一句經得起檢驗的「同意」；包容、排除、說服三策略提供了觀察政治操作之分析工具，惟排除策略之運用須嚴守倫理界線，避免正當之程序管理滑向隱匿證據或操縱議程之正當性侵蝕。</w:t>
      </w:r>
    </w:p>
    <w:p>
      <w:pPr>
        <w:spacing w:after="100" w:before="160"/>
      </w:pPr>
      <w:r>
        <w:rPr>
          <w:rFonts w:ascii="微軟正黑體" w:cs="微軟正黑體" w:eastAsia="微軟正黑體" w:hAnsi="微軟正黑體"/>
          <w:b/>
          <w:bCs/>
          <w:color w:val="444444"/>
          <w:sz w:val="21"/>
          <w:szCs w:val="21"/>
        </w:rPr>
        <w:t xml:space="preserve">【參考答案·高分版補充】（在標準版基礎上，加入學者、比較、批判、當代案例、AI治理、臺灣實務）</w:t>
      </w:r>
    </w:p>
    <w:p>
      <w:pPr>
        <w:pStyle w:val="ListParagraph"/>
        <w:numPr>
          <w:ilvl w:val="0"/>
          <w:numId w:val="2"/>
        </w:numPr>
        <w:spacing w:after="120" w:line="340"/>
      </w:pPr>
      <w:r>
        <w:rPr>
          <w:rFonts w:ascii="微軟正黑體" w:cs="微軟正黑體" w:eastAsia="微軟正黑體" w:hAnsi="微軟正黑體"/>
          <w:sz w:val="22"/>
          <w:szCs w:val="22"/>
        </w:rPr>
        <w:t xml:space="preserve">補充理論深化：可引入合法性（legality）與正當性（legitimacy）之區辨，說明《人工智慧基本法》即便完成形式立法程序（合法性具備），仍須持續透過施行細則制定過程之公開透明，維繫其實質正當性，避免「合法但不正當」之風險。</w:t>
      </w:r>
    </w:p>
    <w:p>
      <w:pPr>
        <w:pStyle w:val="ListParagraph"/>
        <w:numPr>
          <w:ilvl w:val="0"/>
          <w:numId w:val="2"/>
        </w:numPr>
        <w:spacing w:after="120" w:line="340"/>
      </w:pPr>
      <w:r>
        <w:rPr>
          <w:rFonts w:ascii="微軟正黑體" w:cs="微軟正黑體" w:eastAsia="微軟正黑體" w:hAnsi="微軟正黑體"/>
          <w:sz w:val="22"/>
          <w:szCs w:val="22"/>
        </w:rPr>
        <w:t xml:space="preserve">補充當代批判：可指出審議民主理論（Habermas溝通理性）可視為將說服策略提升為制度化、程序化之公共論辯機制，說明包容策略與審議民主工具（如公民審議會）之理論連結，展現跨節整合之答題深度。</w:t>
      </w:r>
    </w:p>
    <w:p>
      <w:pPr>
        <w:pStyle w:val="ListParagraph"/>
        <w:numPr>
          <w:ilvl w:val="0"/>
          <w:numId w:val="2"/>
        </w:numPr>
        <w:spacing w:after="120" w:line="340"/>
      </w:pPr>
      <w:r>
        <w:rPr>
          <w:rFonts w:ascii="微軟正黑體" w:cs="微軟正黑體" w:eastAsia="微軟正黑體" w:hAnsi="微軟正黑體"/>
          <w:sz w:val="22"/>
          <w:szCs w:val="22"/>
        </w:rPr>
        <w:t xml:space="preserve">補充AI治理視角：可延伸說明，當代政策合法化過程若涉及AI輔助決策系統之採用，排除策略之黑箱問題須以強制性透明與模型卡揭露反制，呼應本章第四節可解釋性說服之當代發展。</w:t>
      </w:r>
    </w:p>
    <w:p>
      <w:pPr>
        <w:pStyle w:val="ListParagraph"/>
        <w:numPr>
          <w:ilvl w:val="0"/>
          <w:numId w:val="2"/>
        </w:numPr>
        <w:spacing w:after="120" w:line="340"/>
      </w:pPr>
      <w:r>
        <w:rPr>
          <w:rFonts w:ascii="微軟正黑體" w:cs="微軟正黑體" w:eastAsia="微軟正黑體" w:hAnsi="微軟正黑體"/>
          <w:sz w:val="22"/>
          <w:szCs w:val="22"/>
        </w:rPr>
        <w:t xml:space="preserve">補充臺灣行政實務案例：可另舉《氣候變遷因應法》碳費機制之合法化過程（費率審議會之包容策略、環境部以碳洩漏風險論證之說服策略）作為輔助案例，展現多案例對照之答題廣度。</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四重意涵須逐一完整說明，不可僅列出名詞而無實質內容。</w:t>
      </w:r>
    </w:p>
    <w:p>
      <w:pPr>
        <w:pStyle w:val="ListParagraph"/>
        <w:numPr>
          <w:ilvl w:val="0"/>
          <w:numId w:val="2"/>
        </w:numPr>
        <w:spacing w:after="120" w:line="340"/>
      </w:pPr>
      <w:r>
        <w:rPr>
          <w:rFonts w:ascii="微軟正黑體" w:cs="微軟正黑體" w:eastAsia="微軟正黑體" w:hAnsi="微軟正黑體"/>
          <w:sz w:val="22"/>
          <w:szCs w:val="22"/>
        </w:rPr>
        <w:t xml:space="preserve">三策略之操作手法須具體比較，並明確點出排除策略之「倫理界線」（此為題目明確要求之面向），不可僅平行條列而無倫理判準。</w:t>
      </w:r>
    </w:p>
    <w:p>
      <w:pPr>
        <w:pStyle w:val="ListParagraph"/>
        <w:numPr>
          <w:ilvl w:val="0"/>
          <w:numId w:val="2"/>
        </w:numPr>
        <w:spacing w:after="120" w:line="340"/>
      </w:pPr>
      <w:r>
        <w:rPr>
          <w:rFonts w:ascii="微軟正黑體" w:cs="微軟正黑體" w:eastAsia="微軟正黑體" w:hAnsi="微軟正黑體"/>
          <w:sz w:val="22"/>
          <w:szCs w:val="22"/>
        </w:rPr>
        <w:t xml:space="preserve">案例應用須具體且能對應前述三策略之理論分析，不可流於片面政策描述。</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僅背誦四重意涵或三策略之名詞，未能具體展開其操作性內涵。</w:t>
      </w:r>
    </w:p>
    <w:p>
      <w:pPr>
        <w:pStyle w:val="ListParagraph"/>
        <w:numPr>
          <w:ilvl w:val="0"/>
          <w:numId w:val="2"/>
        </w:numPr>
        <w:spacing w:after="120" w:line="340"/>
      </w:pPr>
      <w:r>
        <w:rPr>
          <w:rFonts w:ascii="微軟正黑體" w:cs="微軟正黑體" w:eastAsia="微軟正黑體" w:hAnsi="微軟正黑體"/>
          <w:sz w:val="22"/>
          <w:szCs w:val="22"/>
        </w:rPr>
        <w:t xml:space="preserve">❌ 未回應題目要求之「倫理界線」，僅平行條列三策略而未區辨其正當性爭議程度。</w:t>
      </w:r>
    </w:p>
    <w:p>
      <w:pPr>
        <w:pStyle w:val="ListParagraph"/>
        <w:numPr>
          <w:ilvl w:val="0"/>
          <w:numId w:val="2"/>
        </w:numPr>
        <w:spacing w:after="120" w:line="340"/>
      </w:pPr>
      <w:r>
        <w:rPr>
          <w:rFonts w:ascii="微軟正黑體" w:cs="微軟正黑體" w:eastAsia="微軟正黑體" w:hAnsi="微軟正黑體"/>
          <w:sz w:val="22"/>
          <w:szCs w:val="22"/>
        </w:rPr>
        <w:t xml:space="preserve">❌ 案例應用與前述理論分析脫節，僅描述立法過程始末而未扣連合法化策略架構。</w:t>
      </w:r>
    </w:p>
    <w:p>
      <w:pPr>
        <w:spacing w:after="220"/>
      </w:pPr>
    </w:p>
    <w:p>
      <w:pPr>
        <w:spacing w:after="180" w:before="360"/>
      </w:pPr>
      <w:r>
        <w:rPr>
          <w:rFonts w:ascii="微軟正黑體" w:cs="微軟正黑體" w:eastAsia="微軟正黑體" w:hAnsi="微軟正黑體"/>
          <w:b/>
          <w:bCs/>
          <w:color w:val="1F4E79"/>
          <w:sz w:val="26"/>
          <w:szCs w:val="26"/>
        </w:rPr>
        <w:t xml:space="preserve">題目二（B級比較題·模擬命題）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本題並非歷屆試題，而是依本章第二節母體教材「行政裁量與K.C. Davis裁量控制三機制」自行設計之模擬命題。本語料庫（107-111年）中，本章尚未查得完全對應一般行政類科之申論真題，爰以模擬題形式呈現，並於此明確標示，避免與真實歷屆試題混淆。</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「請說明行政裁量之意涵與功能，並運用K.C. Davis裁量控制三機制，評估政府應如何規制政策制訂階段之行政裁量？（25分）」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這是一題「概念闡釋＋理論應用題」，考生須依序完成：說明行政裁量意涵與功能、運用K.C. Davis三機制分析政策制訂階段之裁量規制——僅背誦三機制名稱而未具體說明其於政策制訂階段之應用，屬於論述不完整。</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行政裁量意涵與功能 ＋ K.C. Davis裁量控制三機制 ＋ 政策制訂階段之規制。</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一、前言：裁量作為法治不可或缺之一部分</w:t>
      </w:r>
    </w:p>
    <w:p>
      <w:pPr>
        <w:pStyle w:val="ListParagraph"/>
        <w:numPr>
          <w:ilvl w:val="0"/>
          <w:numId w:val="2"/>
        </w:numPr>
        <w:spacing w:after="120" w:line="340"/>
      </w:pPr>
      <w:r>
        <w:rPr>
          <w:rFonts w:ascii="微軟正黑體" w:cs="微軟正黑體" w:eastAsia="微軟正黑體" w:hAnsi="微軟正黑體"/>
          <w:sz w:val="22"/>
          <w:szCs w:val="22"/>
        </w:rPr>
        <w:t xml:space="preserve">二、行政裁量之意涵與功能</w:t>
      </w:r>
    </w:p>
    <w:p>
      <w:pPr>
        <w:pStyle w:val="ListParagraph"/>
        <w:numPr>
          <w:ilvl w:val="0"/>
          <w:numId w:val="2"/>
        </w:numPr>
        <w:spacing w:after="120" w:line="340"/>
      </w:pPr>
      <w:r>
        <w:rPr>
          <w:rFonts w:ascii="微軟正黑體" w:cs="微軟正黑體" w:eastAsia="微軟正黑體" w:hAnsi="微軟正黑體"/>
          <w:sz w:val="22"/>
          <w:szCs w:val="22"/>
        </w:rPr>
        <w:t xml:space="preserve">三、K.C. Davis裁量控制三機制</w:t>
      </w:r>
    </w:p>
    <w:p>
      <w:pPr>
        <w:pStyle w:val="ListParagraph"/>
        <w:numPr>
          <w:ilvl w:val="0"/>
          <w:numId w:val="2"/>
        </w:numPr>
        <w:spacing w:after="120" w:line="340"/>
      </w:pPr>
      <w:r>
        <w:rPr>
          <w:rFonts w:ascii="微軟正黑體" w:cs="微軟正黑體" w:eastAsia="微軟正黑體" w:hAnsi="微軟正黑體"/>
          <w:sz w:val="22"/>
          <w:szCs w:val="22"/>
        </w:rPr>
        <w:t xml:space="preserve">四、政策制訂階段裁量規制之具體應用</w:t>
      </w:r>
    </w:p>
    <w:p>
      <w:pPr>
        <w:pStyle w:val="ListParagraph"/>
        <w:numPr>
          <w:ilvl w:val="0"/>
          <w:numId w:val="2"/>
        </w:numPr>
        <w:spacing w:after="120" w:line="340"/>
      </w:pPr>
      <w:r>
        <w:rPr>
          <w:rFonts w:ascii="微軟正黑體" w:cs="微軟正黑體" w:eastAsia="微軟正黑體" w:hAnsi="微軟正黑體"/>
          <w:sz w:val="22"/>
          <w:szCs w:val="22"/>
        </w:rPr>
        <w:t xml:space="preserve">五、結論</w:t>
      </w:r>
    </w:p>
    <w:p>
      <w:pPr>
        <w:spacing w:after="100" w:before="160"/>
      </w:pPr>
      <w:r>
        <w:rPr>
          <w:rFonts w:ascii="微軟正黑體" w:cs="微軟正黑體" w:eastAsia="微軟正黑體" w:hAnsi="微軟正黑體"/>
          <w:b/>
          <w:bCs/>
          <w:color w:val="444444"/>
          <w:sz w:val="21"/>
          <w:szCs w:val="21"/>
        </w:rPr>
        <w:t xml:space="preserve">【參考答案·標準版】（約1,150字）</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行政裁量並非法治體系之破口，而是法治不可或缺之一部分，惟裁量若無適當規制，亦可能成為恣意、偏私與課責落空之來源，K.C. Davis裁量控制三機制正是評估裁量規制完整性之經典架構。</w:t>
      </w:r>
    </w:p>
    <w:p>
      <w:pPr>
        <w:spacing w:after="200" w:line="360"/>
        <w:ind w:firstLine="431"/>
        <w:jc w:val="both"/>
      </w:pPr>
      <w:r>
        <w:rPr>
          <w:rFonts w:ascii="微軟正黑體" w:cs="微軟正黑體" w:eastAsia="微軟正黑體" w:hAnsi="微軟正黑體"/>
          <w:sz w:val="22"/>
          <w:szCs w:val="22"/>
        </w:rPr>
        <w:t xml:space="preserve">二、行政裁量之意涵與功能</w:t>
      </w:r>
    </w:p>
    <w:p>
      <w:pPr>
        <w:spacing w:after="200" w:line="360"/>
        <w:ind w:firstLine="431"/>
        <w:jc w:val="both"/>
      </w:pPr>
      <w:r>
        <w:rPr>
          <w:rFonts w:ascii="微軟正黑體" w:cs="微軟正黑體" w:eastAsia="微軟正黑體" w:hAnsi="微軟正黑體"/>
          <w:sz w:val="22"/>
          <w:szCs w:val="22"/>
        </w:rPr>
        <w:t xml:space="preserve">行政裁量（administrative discretion）指法規未能窮盡規範所有情境，行政機關與公務人員於法律授權範圍內，依專業判斷選擇行動方案之權限。K.C. Davis（1969）在《自由裁量的正義》中指出，規則永遠無法涵蓋所有現實情境，裁量正是規則與現實之間的必要橋樑，使行政體系得以因應個案之特殊性與環境之動態變化，發揮法規範所無法窮盡之彈性調適功能。</w:t>
      </w:r>
    </w:p>
    <w:p>
      <w:pPr>
        <w:spacing w:after="200" w:line="360"/>
        <w:ind w:firstLine="431"/>
        <w:jc w:val="both"/>
      </w:pPr>
      <w:r>
        <w:rPr>
          <w:rFonts w:ascii="微軟正黑體" w:cs="微軟正黑體" w:eastAsia="微軟正黑體" w:hAnsi="微軟正黑體"/>
          <w:sz w:val="22"/>
          <w:szCs w:val="22"/>
        </w:rPr>
        <w:t xml:space="preserve">三、K.C. Davis裁量控制三機制</w:t>
      </w:r>
    </w:p>
    <w:p>
      <w:pPr>
        <w:spacing w:after="200" w:line="360"/>
        <w:ind w:firstLine="431"/>
        <w:jc w:val="both"/>
      </w:pPr>
      <w:r>
        <w:rPr>
          <w:rFonts w:ascii="微軟正黑體" w:cs="微軟正黑體" w:eastAsia="微軟正黑體" w:hAnsi="微軟正黑體"/>
          <w:sz w:val="22"/>
          <w:szCs w:val="22"/>
        </w:rPr>
        <w:t xml:space="preserve">為避免裁量流於恣意，K.C. Davis提出三種相輔相成之控制機制：其一，確認裁量範圍（Confining），以法規、命令與行政規則劃定裁量之外部邊界，防止恣意逾越；其二，建立裁量結構（Structuring），以計畫、政策指導、公開程序與說理義務，規制裁量之行使方式；其三，事後審查（Checking），以上級審查、司法救濟、監察與外部監督檢視裁量結果。三機制分別對應事前、事中、事後三個時間軸之規制，須同時並用方能發揮完整效果。</w:t>
      </w:r>
    </w:p>
    <w:p>
      <w:pPr>
        <w:spacing w:after="200" w:line="360"/>
        <w:ind w:firstLine="431"/>
        <w:jc w:val="both"/>
      </w:pPr>
      <w:r>
        <w:rPr>
          <w:rFonts w:ascii="微軟正黑體" w:cs="微軟正黑體" w:eastAsia="微軟正黑體" w:hAnsi="微軟正黑體"/>
          <w:sz w:val="22"/>
          <w:szCs w:val="22"/>
        </w:rPr>
        <w:t xml:space="preserve">四、政策制訂階段裁量規制之具體應用</w:t>
      </w:r>
    </w:p>
    <w:p>
      <w:pPr>
        <w:spacing w:after="200" w:line="360"/>
        <w:ind w:firstLine="431"/>
        <w:jc w:val="both"/>
      </w:pPr>
      <w:r>
        <w:rPr>
          <w:rFonts w:ascii="微軟正黑體" w:cs="微軟正黑體" w:eastAsia="微軟正黑體" w:hAnsi="微軟正黑體"/>
          <w:sz w:val="22"/>
          <w:szCs w:val="22"/>
        </w:rPr>
        <w:t xml:space="preserve">在政策制訂階段，三機制之具體應用如下：確認裁量範圍應用於立法授權時明訂制訂機關得裁量之事項範圍與例外情形，避免制訂者於法律授權以外之事項恣意作成決定；建立裁量結構應用於要求政策制訂過程留下可稽核之決策軌跡，例如政策文件應說明政策要處理之公共問題、為何選擇此方案而非其他替選方案、方案對不同群體之利益與負擔如何分配，建立完整之說理義務；事後審查應用於國會質詢、審計、行政訴訟與資訊公開等機制，檢視制訂者是否確實進行獨立判斷，而非僅為既有結論背書。政策制訂者之裁量之所以攸關正當性，關鍵在於社會相信「有一個具名、負責之決定者，在充分資訊下做出了獨立判斷」，若此一信任基礎不存在，合法化程序即便形式完備，也可能淪為儀式性追認。</w:t>
      </w:r>
    </w:p>
    <w:p>
      <w:pPr>
        <w:spacing w:after="200" w:line="360"/>
        <w:ind w:firstLine="431"/>
        <w:jc w:val="both"/>
      </w:pPr>
      <w:r>
        <w:rPr>
          <w:rFonts w:ascii="微軟正黑體" w:cs="微軟正黑體" w:eastAsia="微軟正黑體" w:hAnsi="微軟正黑體"/>
          <w:sz w:val="22"/>
          <w:szCs w:val="22"/>
        </w:rPr>
        <w:t xml:space="preserve">五、結論</w:t>
      </w:r>
    </w:p>
    <w:p>
      <w:pPr>
        <w:spacing w:after="200" w:line="360"/>
        <w:ind w:firstLine="431"/>
        <w:jc w:val="both"/>
      </w:pPr>
      <w:r>
        <w:rPr>
          <w:rFonts w:ascii="微軟正黑體" w:cs="微軟正黑體" w:eastAsia="微軟正黑體" w:hAnsi="微軟正黑體"/>
          <w:sz w:val="22"/>
          <w:szCs w:val="22"/>
        </w:rPr>
        <w:t xml:space="preserve">行政裁量是政策制訂正當性之核心，K.C. Davis裁量控制三機制提供了確認範圍、建立結構、事後審查三層次之完整規制架構，唯有三者同時落實，政策制訂階段之裁量方能兼顧彈性調適之功能與課責透明之要求，避免流於恣意或形式化背書。</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行政裁量之意涵須說明其「規則與現實之間橋樑」之核心功能，不可僅描述裁量之字面定義。</w:t>
      </w:r>
    </w:p>
    <w:p>
      <w:pPr>
        <w:pStyle w:val="ListParagraph"/>
        <w:numPr>
          <w:ilvl w:val="0"/>
          <w:numId w:val="2"/>
        </w:numPr>
        <w:spacing w:after="120" w:line="340"/>
      </w:pPr>
      <w:r>
        <w:rPr>
          <w:rFonts w:ascii="微軟正黑體" w:cs="微軟正黑體" w:eastAsia="微軟正黑體" w:hAnsi="微軟正黑體"/>
          <w:sz w:val="22"/>
          <w:szCs w:val="22"/>
        </w:rPr>
        <w:t xml:space="preserve">K.C. Davis三機制須逐一完整說明，並具體對應政策制訂階段之應用情境，不可僅列出機制名稱。</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僅列舉K.C. Davis三機制名稱，未說明其具體作法或於政策制訂階段之應用。</w:t>
      </w:r>
    </w:p>
    <w:p>
      <w:pPr>
        <w:pStyle w:val="ListParagraph"/>
        <w:numPr>
          <w:ilvl w:val="0"/>
          <w:numId w:val="2"/>
        </w:numPr>
        <w:spacing w:after="120" w:line="340"/>
      </w:pPr>
      <w:r>
        <w:rPr>
          <w:rFonts w:ascii="微軟正黑體" w:cs="微軟正黑體" w:eastAsia="微軟正黑體" w:hAnsi="微軟正黑體"/>
          <w:sz w:val="22"/>
          <w:szCs w:val="22"/>
        </w:rPr>
        <w:t xml:space="preserve">❌ 未能區辨政策制訂階段裁量（正當性）與政策執行階段裁量（個案適用）之不同，答題脈絡混淆。</w:t>
      </w:r>
    </w:p>
    <w:p>
      <w:pPr>
        <w:spacing w:after="100" w:before="160"/>
      </w:pPr>
      <w:r>
        <w:rPr>
          <w:rFonts w:ascii="微軟正黑體" w:cs="微軟正黑體" w:eastAsia="微軟正黑體" w:hAnsi="微軟正黑體"/>
          <w:b/>
          <w:bCs/>
          <w:color w:val="444444"/>
          <w:sz w:val="21"/>
          <w:szCs w:val="21"/>
        </w:rPr>
        <w:t xml:space="preserve">【高分加分點】</w:t>
      </w:r>
    </w:p>
    <w:p>
      <w:pPr>
        <w:pStyle w:val="ListParagraph"/>
        <w:numPr>
          <w:ilvl w:val="0"/>
          <w:numId w:val="2"/>
        </w:numPr>
        <w:spacing w:after="120" w:line="340"/>
      </w:pPr>
      <w:r>
        <w:rPr>
          <w:rFonts w:ascii="微軟正黑體" w:cs="微軟正黑體" w:eastAsia="微軟正黑體" w:hAnsi="微軟正黑體"/>
          <w:sz w:val="22"/>
          <w:szCs w:val="22"/>
        </w:rPr>
        <w:t xml:space="preserve">可補充引用政策制訂者最低說理義務之具體內容（八項應說明事項），深化「建立裁量結構」機制之操作性內涵。</w:t>
      </w:r>
    </w:p>
    <w:p>
      <w:pPr>
        <w:pStyle w:val="ListParagraph"/>
        <w:numPr>
          <w:ilvl w:val="0"/>
          <w:numId w:val="2"/>
        </w:numPr>
        <w:spacing w:after="120" w:line="340"/>
      </w:pPr>
      <w:r>
        <w:rPr>
          <w:rFonts w:ascii="微軟正黑體" w:cs="微軟正黑體" w:eastAsia="微軟正黑體" w:hAnsi="微軟正黑體"/>
          <w:sz w:val="22"/>
          <w:szCs w:val="22"/>
        </w:rPr>
        <w:t xml:space="preserve">可補充K.C. Davis三機制之AI操作準則，說明面對AI輔助決策系統時，三機制須進一步轉譯為明訂AI建議效力、要求書面理由、納入演算法影響評估，展現理論與當代科技治理之連結。</w:t>
      </w:r>
    </w:p>
    <w:p>
      <w:pPr>
        <w:pStyle w:val="ListParagraph"/>
        <w:numPr>
          <w:ilvl w:val="0"/>
          <w:numId w:val="2"/>
        </w:numPr>
        <w:spacing w:after="120" w:line="340"/>
      </w:pPr>
      <w:r>
        <w:rPr>
          <w:rFonts w:ascii="微軟正黑體" w:cs="微軟正黑體" w:eastAsia="微軟正黑體" w:hAnsi="微軟正黑體"/>
          <w:sz w:val="22"/>
          <w:szCs w:val="22"/>
        </w:rPr>
        <w:t xml:space="preserve">可補充負面清單概念，具體舉出在缺乏明確法律授權與人工覆核前，AI不宜單獨作成之決定類型（如社會福利資格最終剝奪、重大行政裁罰），強化答案之操作性與時事掌握度。</w:t>
      </w:r>
    </w:p>
    <w:p>
      <w:pPr>
        <w:pStyle w:val="ListParagraph"/>
        <w:numPr>
          <w:ilvl w:val="0"/>
          <w:numId w:val="2"/>
        </w:numPr>
        <w:spacing w:after="120" w:line="340"/>
      </w:pPr>
      <w:r>
        <w:rPr>
          <w:rFonts w:ascii="微軟正黑體" w:cs="微軟正黑體" w:eastAsia="微軟正黑體" w:hAnsi="微軟正黑體"/>
          <w:sz w:val="22"/>
          <w:szCs w:val="22"/>
        </w:rPr>
        <w:t xml:space="preserve">可補充比較「政策制訂階段裁量」與「政策執行階段裁量」之分工差異，展現對裁量議題之系統性掌握。</w:t>
      </w:r>
    </w:p>
    <w:p>
      <w:pPr>
        <w:spacing w:after="220"/>
      </w:pPr>
    </w:p>
    <w:p>
      <w:pPr>
        <w:spacing w:after="180" w:before="360"/>
      </w:pPr>
      <w:r>
        <w:rPr>
          <w:rFonts w:ascii="微軟正黑體" w:cs="微軟正黑體" w:eastAsia="微軟正黑體" w:hAnsi="微軟正黑體"/>
          <w:b/>
          <w:bCs/>
          <w:color w:val="1F4E79"/>
          <w:sz w:val="26"/>
          <w:szCs w:val="26"/>
        </w:rPr>
        <w:t xml:space="preserve">題目三（C級綜合題·模擬命題）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並非歷屆試題，而是依本章第四節母體教材「AI輔助決策系統與政策制訂之正當性挑戰」與「權威鏈正當性危機」自行設計之模擬命題。本語料庫（107-111年）中，本章尚未查得與AI輔助政策制訂直接對應之申論真題，爰以模擬題形式呈現，並於此明確標示，避免與真實歷屆試題混淆。</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當AI輔助決策系統已在規劃階段完成方案排序並標示風險分數，請說明此現象如何導致政策制訂階段『裁量的內容被架空，只剩裁量的形式』？並運用『權威重構』與『權威鏈正當性危機』之概念，提出政府應如何設計制度以確保AI輔助決策下的政策合法化仍具實質正當性？（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現象分析＋概念應用＋制度設計題」，考生須依序完成：說明裁量形式與內容脫鉤之現象、運用權威重構與權威鏈正當性危機概念分析、提出具體制度設計建議——僅描述AI輔助決策之一般性風險而未扣連「裁量形式與內容脫鉤」此一核心提問，屬於論述深度不足。</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裁量的內容與形式脫鉤 ＋ 權威重構 ＋ 權威鏈正當性危機 ＋ 制度設計。</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一、前言：AI輔助決策對政策合法化之深層挑戰</w:t>
      </w:r>
    </w:p>
    <w:p>
      <w:pPr>
        <w:pStyle w:val="ListParagraph"/>
        <w:numPr>
          <w:ilvl w:val="0"/>
          <w:numId w:val="2"/>
        </w:numPr>
        <w:spacing w:after="120" w:line="340"/>
      </w:pPr>
      <w:r>
        <w:rPr>
          <w:rFonts w:ascii="微軟正黑體" w:cs="微軟正黑體" w:eastAsia="微軟正黑體" w:hAnsi="微軟正黑體"/>
          <w:sz w:val="22"/>
          <w:szCs w:val="22"/>
        </w:rPr>
        <w:t xml:space="preserve">二、裁量的內容被架空、只剩形式之現象分析</w:t>
      </w:r>
    </w:p>
    <w:p>
      <w:pPr>
        <w:pStyle w:val="ListParagraph"/>
        <w:numPr>
          <w:ilvl w:val="0"/>
          <w:numId w:val="2"/>
        </w:numPr>
        <w:spacing w:after="120" w:line="340"/>
      </w:pPr>
      <w:r>
        <w:rPr>
          <w:rFonts w:ascii="微軟正黑體" w:cs="微軟正黑體" w:eastAsia="微軟正黑體" w:hAnsi="微軟正黑體"/>
          <w:sz w:val="22"/>
          <w:szCs w:val="22"/>
        </w:rPr>
        <w:t xml:space="preserve">三、權威重構與權威鏈正當性危機</w:t>
      </w:r>
    </w:p>
    <w:p>
      <w:pPr>
        <w:pStyle w:val="ListParagraph"/>
        <w:numPr>
          <w:ilvl w:val="0"/>
          <w:numId w:val="2"/>
        </w:numPr>
        <w:spacing w:after="120" w:line="340"/>
      </w:pPr>
      <w:r>
        <w:rPr>
          <w:rFonts w:ascii="微軟正黑體" w:cs="微軟正黑體" w:eastAsia="微軟正黑體" w:hAnsi="微軟正黑體"/>
          <w:sz w:val="22"/>
          <w:szCs w:val="22"/>
        </w:rPr>
        <w:t xml:space="preserve">四、政府應如何設計制度確保實質正當性</w:t>
      </w:r>
    </w:p>
    <w:p>
      <w:pPr>
        <w:pStyle w:val="ListParagraph"/>
        <w:numPr>
          <w:ilvl w:val="0"/>
          <w:numId w:val="2"/>
        </w:numPr>
        <w:spacing w:after="120" w:line="340"/>
      </w:pPr>
      <w:r>
        <w:rPr>
          <w:rFonts w:ascii="微軟正黑體" w:cs="微軟正黑體" w:eastAsia="微軟正黑體" w:hAnsi="微軟正黑體"/>
          <w:sz w:val="22"/>
          <w:szCs w:val="22"/>
        </w:rPr>
        <w:t xml:space="preserve">五、結論</w:t>
      </w:r>
    </w:p>
    <w:p>
      <w:pPr>
        <w:spacing w:after="100" w:before="160"/>
      </w:pPr>
      <w:r>
        <w:rPr>
          <w:rFonts w:ascii="微軟正黑體" w:cs="微軟正黑體" w:eastAsia="微軟正黑體" w:hAnsi="微軟正黑體"/>
          <w:b/>
          <w:bCs/>
          <w:color w:val="444444"/>
          <w:sz w:val="21"/>
          <w:szCs w:val="21"/>
        </w:rPr>
        <w:t xml:space="preserve">【參考答案·標準版】（約1,300字）</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政策合法化程序之所以具有說服力，是因為社會相信「有一個具名、負責之決定者，在充分資訊下做出了獨立判斷」；然而當AI輔助決策系統已在規劃階段完成方案排序並標示風險分數，這個信任基礎便可能悄然被掏空，形成本章所稱之權威鏈正當性危機。</w:t>
      </w:r>
    </w:p>
    <w:p>
      <w:pPr>
        <w:spacing w:after="200" w:line="360"/>
        <w:ind w:firstLine="431"/>
        <w:jc w:val="both"/>
      </w:pPr>
      <w:r>
        <w:rPr>
          <w:rFonts w:ascii="微軟正黑體" w:cs="微軟正黑體" w:eastAsia="微軟正黑體" w:hAnsi="微軟正黑體"/>
          <w:sz w:val="22"/>
          <w:szCs w:val="22"/>
        </w:rPr>
        <w:t xml:space="preserve">二、裁量的內容被架空、只剩形式之現象分析</w:t>
      </w:r>
    </w:p>
    <w:p>
      <w:pPr>
        <w:spacing w:after="200" w:line="360"/>
        <w:ind w:firstLine="431"/>
        <w:jc w:val="both"/>
      </w:pPr>
      <w:r>
        <w:rPr>
          <w:rFonts w:ascii="微軟正黑體" w:cs="微軟正黑體" w:eastAsia="微軟正黑體" w:hAnsi="微軟正黑體"/>
          <w:sz w:val="22"/>
          <w:szCs w:val="22"/>
        </w:rPr>
        <w:t xml:space="preserve">此為本章最主要之權力位移樣態，屬於行政裁量與價值判斷權（P2）之核心移轉：制訂者形式上仍握有「核准或否決」之權力，理論上可以推翻AI之建議；但若AI建議已附加明確的風險或效益標籤（例如「方案甲：效率評分90分、風險評分低」），實質判斷可能已在制訂者接觸方案之前完成——制訂者面對的不再是一組中性的選項，而是一份已經隱含建議答案的清單，制訂者僅剩對預設結論背書或推翻之二元選擇。若制訂者未經獨立審視即予採納，合法化程序形式上完備（通過審議、完成法定程序），實質上卻可能只是對演算法建議的背書，裁量的「內容」（真正之獨立判斷）被架空，只剩裁量的「形式」（蓋章核准之法定權力）。</w:t>
      </w:r>
    </w:p>
    <w:p>
      <w:pPr>
        <w:spacing w:after="200" w:line="360"/>
        <w:ind w:firstLine="431"/>
        <w:jc w:val="both"/>
      </w:pPr>
      <w:r>
        <w:rPr>
          <w:rFonts w:ascii="微軟正黑體" w:cs="微軟正黑體" w:eastAsia="微軟正黑體" w:hAnsi="微軟正黑體"/>
          <w:sz w:val="22"/>
          <w:szCs w:val="22"/>
        </w:rPr>
        <w:t xml:space="preserve">三、權威重構與權威鏈正當性危機</w:t>
      </w:r>
    </w:p>
    <w:p>
      <w:pPr>
        <w:spacing w:after="200" w:line="360"/>
        <w:ind w:firstLine="431"/>
        <w:jc w:val="both"/>
      </w:pPr>
      <w:r>
        <w:rPr>
          <w:rFonts w:ascii="微軟正黑體" w:cs="微軟正黑體" w:eastAsia="微軟正黑體" w:hAnsi="微軟正黑體"/>
          <w:sz w:val="22"/>
          <w:szCs w:val="22"/>
        </w:rPr>
        <w:t xml:space="preserve">三種結構性效應中，本章以權威重構最為核心：法源權威（法律授權之正式權威）、專業（制訂者）權威（文官之專業判斷）與模型效能權威（AI系統之預測準確率）三者持續競合，制訂者可能傾向信任預測準確率較高之AI建議，而非法律或政治審議所要求之獨立判斷，形成技術權威悄然取代民主權威之風險。治理鏈斷裂即發生於權威鏈：制訂機關之法定授權範圍，從未涵蓋、也未預見技術系統實際承擔之框定或裁量角色，形成「正當性危機」——換言之，法律賦予制訂者裁量權時，預設的裁量主體是「具備專業判斷能力的人」，而非「經過AI預先篩選過的選項清單之被動確認者」，當實際運作模式偏離此一立法預設，權威鏈便出現了法律未曾規範、卻已實際運作之正當性缺口。</w:t>
      </w:r>
    </w:p>
    <w:p>
      <w:pPr>
        <w:spacing w:after="200" w:line="360"/>
        <w:ind w:firstLine="431"/>
        <w:jc w:val="both"/>
      </w:pPr>
      <w:r>
        <w:rPr>
          <w:rFonts w:ascii="微軟正黑體" w:cs="微軟正黑體" w:eastAsia="微軟正黑體" w:hAnsi="微軟正黑體"/>
          <w:sz w:val="22"/>
          <w:szCs w:val="22"/>
        </w:rPr>
        <w:t xml:space="preserve">四、政府應如何設計制度確保實質正當性</w:t>
      </w:r>
    </w:p>
    <w:p>
      <w:pPr>
        <w:pStyle w:val="ListParagraph"/>
        <w:numPr>
          <w:ilvl w:val="0"/>
          <w:numId w:val="2"/>
        </w:numPr>
        <w:spacing w:after="120" w:line="340"/>
      </w:pPr>
      <w:r>
        <w:rPr>
          <w:rFonts w:ascii="微軟正黑體" w:cs="微軟正黑體" w:eastAsia="微軟正黑體" w:hAnsi="微軟正黑體"/>
          <w:sz w:val="22"/>
          <w:szCs w:val="22"/>
        </w:rPr>
        <w:t xml:space="preserve">（一）明訂AI輔助系統之建議效力（僅供參考或具推定效力），並要求任何採納AI建議之決定，皆須附具獨立於系統輸出之書面理由，落實裁量控制機制中「建立裁量結構」之要求。</w:t>
      </w:r>
    </w:p>
    <w:p>
      <w:pPr>
        <w:pStyle w:val="ListParagraph"/>
        <w:numPr>
          <w:ilvl w:val="0"/>
          <w:numId w:val="2"/>
        </w:numPr>
        <w:spacing w:after="120" w:line="340"/>
      </w:pPr>
      <w:r>
        <w:rPr>
          <w:rFonts w:ascii="微軟正黑體" w:cs="微軟正黑體" w:eastAsia="微軟正黑體" w:hAnsi="微軟正黑體"/>
          <w:sz w:val="22"/>
          <w:szCs w:val="22"/>
        </w:rPr>
        <w:t xml:space="preserve">（二）依AI輔助政策制訂分級架構，對愈接近個案准駁或重大資源分配之高風險應用（第三、四級），課予更嚴格之實質覆核、人工介入與外部審查要求，避免齊頭式規範無法因應風險差異。</w:t>
      </w:r>
    </w:p>
    <w:p>
      <w:pPr>
        <w:pStyle w:val="ListParagraph"/>
        <w:numPr>
          <w:ilvl w:val="0"/>
          <w:numId w:val="2"/>
        </w:numPr>
        <w:spacing w:after="120" w:line="340"/>
      </w:pPr>
      <w:r>
        <w:rPr>
          <w:rFonts w:ascii="微軟正黑體" w:cs="微軟正黑體" w:eastAsia="微軟正黑體" w:hAnsi="微軟正黑體"/>
          <w:sz w:val="22"/>
          <w:szCs w:val="22"/>
        </w:rPr>
        <w:t xml:space="preserve">（三）將制訂機關之法定授權範圍，明確納入對AI技術系統框定或裁量角色之規範，修補權威鏈之正當性缺口，使技術系統之實際角色與法律授權範圍相符。</w:t>
      </w:r>
    </w:p>
    <w:p>
      <w:pPr>
        <w:pStyle w:val="ListParagraph"/>
        <w:numPr>
          <w:ilvl w:val="0"/>
          <w:numId w:val="2"/>
        </w:numPr>
        <w:spacing w:after="120" w:line="340"/>
      </w:pPr>
      <w:r>
        <w:rPr>
          <w:rFonts w:ascii="微軟正黑體" w:cs="微軟正黑體" w:eastAsia="微軟正黑體" w:hAnsi="微軟正黑體"/>
          <w:sz w:val="22"/>
          <w:szCs w:val="22"/>
        </w:rPr>
        <w:t xml:space="preserve">（四）建立演算法影響評估（AIA）作為合法化程序之要件之一，並保存決策紀錄（提示詞、模型版本、輸入資料、人工修改與最終採用理由），使理由鏈與責任鏈皆可回溯檢驗。</w:t>
      </w:r>
    </w:p>
    <w:p>
      <w:pPr>
        <w:spacing w:after="200" w:line="360"/>
        <w:ind w:firstLine="431"/>
        <w:jc w:val="both"/>
      </w:pPr>
      <w:r>
        <w:rPr>
          <w:rFonts w:ascii="微軟正黑體" w:cs="微軟正黑體" w:eastAsia="微軟正黑體" w:hAnsi="微軟正黑體"/>
          <w:sz w:val="22"/>
          <w:szCs w:val="22"/>
        </w:rPr>
        <w:t xml:space="preserve">五、結論</w:t>
      </w:r>
    </w:p>
    <w:p>
      <w:pPr>
        <w:spacing w:after="200" w:line="360"/>
        <w:ind w:firstLine="431"/>
        <w:jc w:val="both"/>
      </w:pPr>
      <w:r>
        <w:rPr>
          <w:rFonts w:ascii="微軟正黑體" w:cs="微軟正黑體" w:eastAsia="微軟正黑體" w:hAnsi="微軟正黑體"/>
          <w:sz w:val="22"/>
          <w:szCs w:val="22"/>
        </w:rPr>
        <w:t xml:space="preserve">AI輔助決策系統對政策合法化最深層之挑戰，不在於效率或準確度，而在於它可能悄悄抽空制訂者裁量之「實質內容」，使合法化程序徒具形式。唯有透過明確之建議效力界定、差異化課責分級、法定授權範圍之修補與可回溯之決策紀錄，方能確保AI輔助決策下之政策合法化，仍是「一個具名、負責之決定者，在充分資訊下做出獨立判斷」之真實正當性建構過程，而非對演算法建議之儀式性追認。</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須清楚說明「裁量的形式」與「裁量的內容」如何脫鉤，並具體運用「行政裁量與價值判斷權移轉（P2）」概念分析，不可僅籠統稱「AI建議有風險」。</w:t>
      </w:r>
    </w:p>
    <w:p>
      <w:pPr>
        <w:pStyle w:val="ListParagraph"/>
        <w:numPr>
          <w:ilvl w:val="0"/>
          <w:numId w:val="2"/>
        </w:numPr>
        <w:spacing w:after="120" w:line="340"/>
      </w:pPr>
      <w:r>
        <w:rPr>
          <w:rFonts w:ascii="微軟正黑體" w:cs="微軟正黑體" w:eastAsia="微軟正黑體" w:hAnsi="微軟正黑體"/>
          <w:sz w:val="22"/>
          <w:szCs w:val="22"/>
        </w:rPr>
        <w:t xml:space="preserve">須具體運用「權威重構」（法源、專業、模型效能三種權威競合）與「權威鏈正當性危機」（法定授權範圍未涵蓋技術系統實際角色）兩項概念，制度建議須逐一對應這些分析，不可脫節堆砌。</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僅描述AI輔助決策之一般性風險（如偏誤、黑箱），未扣連「裁量內容與形式脫鉤」此一本章核心概念。</w:t>
      </w:r>
    </w:p>
    <w:p>
      <w:pPr>
        <w:pStyle w:val="ListParagraph"/>
        <w:numPr>
          <w:ilvl w:val="0"/>
          <w:numId w:val="2"/>
        </w:numPr>
        <w:spacing w:after="120" w:line="340"/>
      </w:pPr>
      <w:r>
        <w:rPr>
          <w:rFonts w:ascii="微軟正黑體" w:cs="微軟正黑體" w:eastAsia="微軟正黑體" w:hAnsi="微軟正黑體"/>
          <w:sz w:val="22"/>
          <w:szCs w:val="22"/>
        </w:rPr>
        <w:t xml:space="preserve">❌ 制度設計建議與前述權威重構、正當性危機分析脫節，僅重複「應加強AI監管」等空泛立場。</w:t>
      </w:r>
    </w:p>
    <w:p>
      <w:pPr>
        <w:spacing w:after="100" w:before="160"/>
      </w:pPr>
      <w:r>
        <w:rPr>
          <w:rFonts w:ascii="微軟正黑體" w:cs="微軟正黑體" w:eastAsia="微軟正黑體" w:hAnsi="微軟正黑體"/>
          <w:b/>
          <w:bCs/>
          <w:color w:val="444444"/>
          <w:sz w:val="21"/>
          <w:szCs w:val="21"/>
        </w:rPr>
        <w:t xml:space="preserve">【高分加分點】</w:t>
      </w:r>
    </w:p>
    <w:p>
      <w:pPr>
        <w:pStyle w:val="ListParagraph"/>
        <w:numPr>
          <w:ilvl w:val="0"/>
          <w:numId w:val="2"/>
        </w:numPr>
        <w:spacing w:after="120" w:line="340"/>
      </w:pPr>
      <w:r>
        <w:rPr>
          <w:rFonts w:ascii="微軟正黑體" w:cs="微軟正黑體" w:eastAsia="微軟正黑體" w:hAnsi="微軟正黑體"/>
          <w:sz w:val="22"/>
          <w:szCs w:val="22"/>
        </w:rPr>
        <w:t xml:space="preserve">可補充四條治理鏈與七項治理審計架構，具體指出「理由鏈：制訂者是否仍能提出獨立於系統輸出之論證」與「權威鏈：制訂機關之法定授權範圍是否涵蓋技術系統實際承擔之框定或裁量角色」為本章格外關鍵之審計重點。</w:t>
      </w:r>
    </w:p>
    <w:p>
      <w:pPr>
        <w:pStyle w:val="ListParagraph"/>
        <w:numPr>
          <w:ilvl w:val="0"/>
          <w:numId w:val="2"/>
        </w:numPr>
        <w:spacing w:after="120" w:line="340"/>
      </w:pPr>
      <w:r>
        <w:rPr>
          <w:rFonts w:ascii="微軟正黑體" w:cs="微軟正黑體" w:eastAsia="微軟正黑體" w:hAnsi="微軟正黑體"/>
          <w:sz w:val="22"/>
          <w:szCs w:val="22"/>
        </w:rPr>
        <w:t xml:space="preserve">可補充《人工智慧基本法》（2025年12月三讀通過）作為我國最新法制動態案例，說明基本法屬原則性立法，具體之裁量控制機制如何落實於後續子法與行政規則，仍是觀察AI治理是否真正落地之關鍵，展現時事掌握度。</w:t>
      </w:r>
    </w:p>
    <w:p>
      <w:pPr>
        <w:pStyle w:val="ListParagraph"/>
        <w:numPr>
          <w:ilvl w:val="0"/>
          <w:numId w:val="2"/>
        </w:numPr>
        <w:spacing w:after="120" w:line="340"/>
      </w:pPr>
      <w:r>
        <w:rPr>
          <w:rFonts w:ascii="微軟正黑體" w:cs="微軟正黑體" w:eastAsia="微軟正黑體" w:hAnsi="微軟正黑體"/>
          <w:sz w:val="22"/>
          <w:szCs w:val="22"/>
        </w:rPr>
        <w:t xml:space="preserve">可補充政策制訂責任配置七類行動者（政治首長、法定決策機關、承辦分析人員、AI開發者、資料提供者、外部審查者、受影響者），說明政府不能因AI由外部廠商提供，就將政策責任全部轉嫁給廠商，深化制度設計之完整度。</w:t>
      </w:r>
    </w:p>
    <w:p>
      <w:pPr>
        <w:pStyle w:val="ListParagraph"/>
        <w:numPr>
          <w:ilvl w:val="0"/>
          <w:numId w:val="2"/>
        </w:numPr>
        <w:spacing w:after="120" w:line="340"/>
      </w:pPr>
      <w:r>
        <w:rPr>
          <w:rFonts w:ascii="微軟正黑體" w:cs="微軟正黑體" w:eastAsia="微軟正黑體" w:hAnsi="微軟正黑體"/>
          <w:sz w:val="22"/>
          <w:szCs w:val="22"/>
        </w:rPr>
        <w:t xml:space="preserve">可補充審議民主之數位轉型視角，說明AI輔助意見統整工具亦須受可解釋性與代表性審視，避免將審議民主之正當性基礎同樣抽空，展現跨節整合之答題廣度。</w:t>
      </w:r>
    </w:p>
    <w:p>
      <w:pPr>
        <w:spacing w:after="260"/>
      </w:pPr>
    </w:p>
    <w:p>
      <w:pPr>
        <w:spacing w:after="200" w:before="400"/>
      </w:pPr>
      <w:r>
        <w:rPr>
          <w:rFonts w:ascii="微軟正黑體" w:cs="微軟正黑體" w:eastAsia="微軟正黑體" w:hAnsi="微軟正黑體"/>
          <w:b/>
          <w:bCs/>
          <w:sz w:val="32"/>
          <w:szCs w:val="32"/>
        </w:rPr>
        <w:t xml:space="preserve">【歷屆試題】</w:t>
      </w:r>
    </w:p>
    <w:p>
      <w:pPr>
        <w:spacing w:after="200" w:line="360"/>
        <w:ind w:firstLine="431"/>
        <w:jc w:val="both"/>
      </w:pPr>
      <w:r>
        <w:rPr>
          <w:rFonts w:ascii="微軟正黑體" w:cs="微軟正黑體" w:eastAsia="微軟正黑體" w:hAnsi="微軟正黑體"/>
          <w:sz w:val="22"/>
          <w:szCs w:val="22"/>
        </w:rPr>
        <w:t xml:space="preserve">本章語料庫涵蓋107-111年5個年度之考選部官方公告試題（行政學／行政學概要科目），經逐題比對，尚未查得與本章「政策合法化三策略、行政裁量控制三機制、審議民主、AI輔助政策制訂」理論脈絡直接對應且完全符合一般行政類科之申論真題。本章【申論解題】三題均為模擬命題，已於各題「考題出處（重要說明）」欄位明確標示。建議讀者另行參閱112年以後之最新年度考古題，留意是否出現與政策合法化、行政裁量規制、AI輔助決策相關之新興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1600"/>
        <w:gridCol w:w="1000"/>
        <w:gridCol w:w="2626"/>
        <w:gridCol w:w="1200"/>
      </w:tblGrid>
      <w:tr>
        <w:trPr>
          <w:tblHeader/>
        </w:trPr>
        <w:tc>
          <w:tcPr>
            <w:tcW w:type="dxa" w:w="2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年度／考試</w:t>
            </w:r>
          </w:p>
        </w:tc>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類科</w:t>
            </w:r>
          </w:p>
        </w:tc>
        <w:tc>
          <w:tcPr>
            <w:tcW w:type="dxa" w:w="10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難度</w:t>
            </w:r>
          </w:p>
        </w:tc>
        <w:tc>
          <w:tcPr>
            <w:tcW w:type="dxa" w:w="26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考點</w:t>
            </w:r>
          </w:p>
        </w:tc>
        <w:tc>
          <w:tcPr>
            <w:tcW w:type="dxa" w:w="1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查證狀態</w:t>
            </w:r>
          </w:p>
        </w:tc>
      </w:tr>
      <w:tr>
        <w:tc>
          <w:tcPr>
            <w:tcW w:type="dxa" w:w="2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（本章無對應真題）</w:t>
            </w:r>
          </w:p>
        </w:tc>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w:t>
            </w:r>
          </w:p>
        </w:tc>
        <w:tc>
          <w:tcPr>
            <w:tcW w:type="dxa" w:w="10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w:t>
            </w:r>
          </w:p>
        </w:tc>
        <w:tc>
          <w:tcPr>
            <w:tcW w:type="dxa" w:w="2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政策合法化三策略、K.C. Davis裁量控制三機制、審議民主工具、AI輔助政策制訂分級等，均為本章核心考點，惟107-111年語料庫中尚無完全對應之申論真題</w:t>
            </w:r>
          </w:p>
        </w:tc>
        <w:tc>
          <w:tcPr>
            <w:tcW w:type="dxa" w:w="1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4"/>
                <w:szCs w:val="14"/>
              </w:rPr>
              <w:t xml:space="preserve">已逐年查證，本章暫無符合一般行政類科之歷屆真題，三題【申論解題】均為模擬命題</w:t>
            </w:r>
          </w:p>
        </w:tc>
      </w:tr>
    </w:tbl>
    <w:p>
      <w:pPr>
        <w:spacing w:after="280" w:before="120"/>
        <w:jc w:val="center"/>
      </w:pPr>
      <w:r>
        <w:rPr>
          <w:rFonts w:ascii="微軟正黑體" w:cs="微軟正黑體" w:eastAsia="微軟正黑體" w:hAnsi="微軟正黑體"/>
          <w:i/>
          <w:iCs/>
          <w:color w:val="555555"/>
          <w:sz w:val="18"/>
          <w:szCs w:val="18"/>
        </w:rPr>
        <w:t xml:space="preserve">表12-I　本章歷屆試題查證狀態</w:t>
      </w:r>
    </w:p>
    <w:p>
      <w:pPr>
        <w:spacing w:after="260"/>
      </w:pPr>
    </w:p>
    <w:p>
      <w:pPr>
        <w:spacing w:after="200" w:before="400"/>
      </w:pPr>
      <w:r>
        <w:rPr>
          <w:rFonts w:ascii="微軟正黑體" w:cs="微軟正黑體" w:eastAsia="微軟正黑體" w:hAnsi="微軟正黑體"/>
          <w:b/>
          <w:bCs/>
          <w:sz w:val="32"/>
          <w:szCs w:val="32"/>
        </w:rPr>
        <w:t xml:space="preserve">【本章一頁掌握】</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政策合法化的意涵與策略</w:t>
            </w:r>
          </w:p>
          <w:p>
            <w:pPr>
              <w:spacing w:line="340"/>
              <w:jc w:val="both"/>
            </w:pPr>
            <w:r>
              <w:rPr>
                <w:rFonts w:ascii="微軟正黑體" w:cs="微軟正黑體" w:eastAsia="微軟正黑體" w:hAnsi="微軟正黑體"/>
                <w:sz w:val="21"/>
                <w:szCs w:val="21"/>
              </w:rPr>
              <w:t xml:space="preserve">四重意涵（公選正威）→ 合法性vs.正當性 → 三策略（包排說）→ 說服三技巧 → 六階段程序 → 排除策略倫理界線</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行政裁量與正當性基礎</w:t>
            </w:r>
          </w:p>
          <w:p>
            <w:pPr>
              <w:spacing w:line="340"/>
              <w:jc w:val="both"/>
            </w:pPr>
            <w:r>
              <w:rPr>
                <w:rFonts w:ascii="微軟正黑體" w:cs="微軟正黑體" w:eastAsia="微軟正黑體" w:hAnsi="微軟正黑體"/>
                <w:sz w:val="21"/>
                <w:szCs w:val="21"/>
              </w:rPr>
              <w:t xml:space="preserve">裁量是規則與現實的橋樑（K.C. Davis）→ 三機制（確建審：確認範圍/建立結構/事後審查）→ 制訂者最低說理義務八項</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審議民主與公民參與</w:t>
            </w:r>
          </w:p>
          <w:p>
            <w:pPr>
              <w:spacing w:line="340"/>
              <w:jc w:val="both"/>
            </w:pPr>
            <w:r>
              <w:rPr>
                <w:rFonts w:ascii="微軟正黑體" w:cs="微軟正黑體" w:eastAsia="微軟正黑體" w:hAnsi="微軟正黑體"/>
                <w:sz w:val="21"/>
                <w:szCs w:val="21"/>
              </w:rPr>
              <w:t xml:space="preserve">Habermas溝通理性 → 三工具（審公線：審議式民調/公民審議會/線上平台）→ 代表性三類型（統利經）</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AI鑲嵌下的政策制訂與權威鏈危機</w:t>
            </w:r>
          </w:p>
          <w:p>
            <w:pPr>
              <w:spacing w:line="340"/>
              <w:jc w:val="both"/>
            </w:pPr>
            <w:r>
              <w:rPr>
                <w:rFonts w:ascii="微軟正黑體" w:cs="微軟正黑體" w:eastAsia="微軟正黑體" w:hAnsi="微軟正黑體"/>
                <w:sz w:val="21"/>
                <w:szCs w:val="21"/>
              </w:rPr>
              <w:t xml:space="preserve">AI建議模糊化裁量空間 → 裁量控制機制AI轉譯 → 人工智慧基本法（2025.12三讀）→ AI輔助分級（搜比排准）→ P2裁量內容被架空 → 權威重構＋權威鏈正當性危機 → 責任配置七類行動者</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申論核心句（可直接用於破題或結論）</w:t>
            </w:r>
          </w:p>
          <w:p>
            <w:pPr>
              <w:spacing w:line="340"/>
              <w:jc w:val="both"/>
            </w:pPr>
            <w:r>
              <w:rPr>
                <w:rFonts w:ascii="微軟正黑體" w:cs="微軟正黑體" w:eastAsia="微軟正黑體" w:hAnsi="微軟正黑體"/>
                <w:sz w:val="21"/>
                <w:szCs w:val="21"/>
              </w:rPr>
              <w:t xml:space="preserve">AI給建議就像參謀提報告，最後拍板蓋章、負責任的仍該是有名有姓的人；政策合法化不是取得一枚橡皮圖章，而是讓一個具名、負責的決定者，在充分資訊與獨立判斷下，對社會說出一句經得起檢驗的『同意』。</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8" w:hanging="288"/>
      </w:pPr>
    </w:lvl>
    <w:lvl w:ilvl="1" w15:tentative="1">
      <w:start w:val="1"/>
      <w:numFmt w:val="bullet"/>
      <w:lvlText w:val="◦"/>
      <w:lvlJc w:val="left"/>
      <w:pPr>
        <w:ind w:left="1080"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2026-09-02T19:57:53.183Z</dcterms:created>
  <dcterms:modified xsi:type="dcterms:W3CDTF">2026-09-02T19:57:53.202Z</dcterms:modified>
</cp:coreProperties>
</file>

<file path=docProps/custom.xml><?xml version="1.0" encoding="utf-8"?>
<Properties xmlns="http://schemas.openxmlformats.org/officeDocument/2006/custom-properties" xmlns:vt="http://schemas.openxmlformats.org/officeDocument/2006/docPropsVTypes"/>
</file>