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國家考試行政學：從行政學理論到申論實戰</w:t>
      </w:r>
    </w:p>
    <w:p>
      <w:pPr>
        <w:spacing w:after="60"/>
        <w:jc w:val="center"/>
      </w:pPr>
      <w:r>
        <w:rPr>
          <w:rFonts w:ascii="微軟正黑體" w:cs="微軟正黑體" w:eastAsia="微軟正黑體" w:hAnsi="微軟正黑體"/>
          <w:b/>
          <w:bCs/>
          <w:color w:val="444444"/>
          <w:sz w:val="28"/>
          <w:szCs w:val="28"/>
        </w:rPr>
        <w:t xml:space="preserve">第十章　公共政策概念</w:t>
      </w:r>
    </w:p>
    <w:p>
      <w:pPr>
        <w:spacing w:after="400"/>
        <w:jc w:val="center"/>
      </w:pPr>
      <w:r>
        <w:rPr>
          <w:rFonts w:ascii="微軟正黑體" w:cs="微軟正黑體" w:eastAsia="微軟正黑體" w:hAnsi="微軟正黑體"/>
          <w:i/>
          <w:iCs/>
          <w:color w:val="777777"/>
          <w:sz w:val="22"/>
          <w:szCs w:val="22"/>
        </w:rPr>
        <w:t xml:space="preserve">適用：高考三級／普考　一般行政類科　行政學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本章定位</w:t>
            </w:r>
          </w:p>
          <w:p>
            <w:pPr>
              <w:spacing w:line="340"/>
              <w:jc w:val="both"/>
            </w:pPr>
            <w:r>
              <w:rPr>
                <w:rFonts w:ascii="微軟正黑體" w:cs="微軟正黑體" w:eastAsia="微軟正黑體" w:hAnsi="微軟正黑體"/>
                <w:sz w:val="21"/>
                <w:szCs w:val="21"/>
              </w:rPr>
              <w:t xml:space="preserve">本章對應大學教科書《行政學》第十章「公共政策概念：問題界定、政策類型與演算法失靈」，內容取材自該章九節母體教材（公共政策的定義與研究緣起、政策運作五階段與公共行政之關聯、政策類型：賽局理論與Lowi框架、Wilson政治類型、公共問題的認定與建構、市場失靈演算法失靈政府失靈政策失靈、政策分析者角色與沉默輸家、AI治理專節、本教科書定位）及AI鑲嵌後之權力位移專節，依國考「考點化、模組化、背誦＋應用」邏輯重新壓縮改寫為四節：第一節整合公共政策定義、研究緣起與政策循環五階段（原第一、二節）；第二節整合政策類型：Lowi四政策類型與Wilson四政治類型（原第三、四節）；第三節整合公共問題認定、市場失靈與政府政策失靈（原第五、六節）；第四節整合AI鑲嵌下之演算法失靈、政策分析者角色轉型與議題判斷中的權力位移（原第七、八節與AI鑲嵌後內容），為本章AI內容之集中呈現處。本語料庫（107-111年）中，本章尚未查得完全對應一般行政類科之申論真題，故【申論解題】三題全數為依本章母體教材自行設計之模擬命題，均於各題「考題出處（重要說明）」欄位明確標示，不得與真實歷屆試題混淆。自本章起依格式定版說明，僅第一題維持三種完整答案版本，第二、三題改為標準版參考答案＋【高分加分點】；AI鑲嵌內容集中於第四節與C級綜合題。</w:t>
            </w:r>
          </w:p>
        </w:tc>
      </w:tr>
    </w:tbl>
    <w:p>
      <w:pPr>
        <w:spacing w:after="200"/>
      </w:pPr>
    </w:p>
    <w:p>
      <w:pPr>
        <w:spacing w:after="180" w:before="360"/>
      </w:pPr>
      <w:r>
        <w:rPr>
          <w:rFonts w:ascii="微軟正黑體" w:cs="微軟正黑體" w:eastAsia="微軟正黑體" w:hAnsi="微軟正黑體"/>
          <w:b/>
          <w:bCs/>
          <w:color w:val="1F4E79"/>
          <w:sz w:val="26"/>
          <w:szCs w:val="26"/>
        </w:rPr>
        <w:t xml:space="preserve">第一節　公共政策的定義、研究緣起與政策循環</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公共政策（public policy）是政府用來解決公共問題的方法，其內涵因學者觀點而異，經典定義可歸納為權威性分配與作為／不作為之選擇。伊斯頓（David Easton, 1965）從系統論出發，認為公共政策是「對社會價值作權威性分配」，強調政府作為整體社會系統之權威者，透過政策將價值、資源、地位作強制性分配。</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戴伊（Thomas Dye, 1972, 2017）以行為論提出簡潔定義：「政府選擇作為或不作為的任何行為」，凸顯政府刻意不作為亦是一種政策，並具可觀察性；安德森（James Anderson, 2014）強調目的性與行動方案：「政府機關或人員為處理一項問題所採取的有目的行動過程」；瓊斯（Jones, 1984）之問題建構論則進一步指出，政策問題並非客觀存在，而是經由建構而被認知。</w:t>
      </w:r>
    </w:p>
    <w:p>
      <w:pPr>
        <w:pStyle w:val="ListParagraph"/>
        <w:numPr>
          <w:ilvl w:val="0"/>
          <w:numId w:val="2"/>
        </w:numPr>
        <w:spacing w:after="120" w:line="340"/>
      </w:pPr>
      <w:r>
        <w:rPr>
          <w:rFonts w:ascii="微軟正黑體" w:cs="微軟正黑體" w:eastAsia="微軟正黑體" w:hAnsi="微軟正黑體"/>
          <w:sz w:val="22"/>
          <w:szCs w:val="22"/>
        </w:rPr>
        <w:t xml:space="preserve">政策科學之父拉斯威爾（Harold Lasswell）與勒納（Lerner）於1951年合著《政策科學：範圍與方法的最近發展》，標誌公共政策成為獨立系統化學科；拉斯威爾倡議政策科學應具三項特質：問題導向（關切真實世界之公共問題）、脈絡取向（將問題置於社會、政治與歷史脈絡）、方法多元（整合社會科學與量化方法）。</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學者</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定義</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核心意涵</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Easton（1965）</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對社會價值作權威性分配</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權威性、系統輸入—轉換—輸出</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Dye（1972）</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政府選擇作為或不作為</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作為是政策，不作為亦是政策</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Anderson（2014）</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為處理公共問題之有目的行動方案</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目的性、標的人口、行動串</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Jones（1984）問題建構論</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政策問題非客觀存在，而是經由建構而被認知</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主觀性、人為性</w:t>
            </w:r>
          </w:p>
        </w:tc>
      </w:tr>
    </w:tbl>
    <w:p>
      <w:pPr>
        <w:spacing w:after="280" w:before="120"/>
        <w:jc w:val="center"/>
      </w:pPr>
      <w:r>
        <w:rPr>
          <w:rFonts w:ascii="微軟正黑體" w:cs="微軟正黑體" w:eastAsia="微軟正黑體" w:hAnsi="微軟正黑體"/>
          <w:i/>
          <w:iCs/>
          <w:color w:val="555555"/>
          <w:sz w:val="18"/>
          <w:szCs w:val="18"/>
        </w:rPr>
        <w:t xml:space="preserve">表10-A　公共政策的經典定義比較</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吳定（2003）綜合政策文獻，指出研究公共政策之目的在達成有效政府之5R特性：回應性（Responsiveness，對民眾需求敏感回應）、代表性（Representation，政府作為須代表全體民眾利益）、可靠性（Reliability，政策與執行須具一致、可預測並獲得人民信賴）、責任性（Responsibility，政府需對所有作為與不作為負責）、務實性（Realism，從實際可行面解決問題，避免政策空轉）。</w:t>
      </w:r>
    </w:p>
    <w:p>
      <w:pPr>
        <w:spacing w:after="200" w:line="360"/>
        <w:ind w:firstLine="431"/>
        <w:jc w:val="both"/>
      </w:pPr>
      <w:r>
        <w:rPr>
          <w:rFonts w:ascii="微軟正黑體" w:cs="微軟正黑體" w:eastAsia="微軟正黑體" w:hAnsi="微軟正黑體"/>
          <w:sz w:val="22"/>
          <w:szCs w:val="22"/>
        </w:rPr>
        <w:t xml:space="preserve">公共政策運作可視為一連續循環，雖具重疊與回饋，仍可分析為五階段：政策問題界定（問題形成）→政策規劃→政策合法化→政策執行→政策評估與回饋，此五階段構成國考政策分析類考點之主軸，其中問題界定涉及價值判斷、利害團體動員與媒體框架，是政策循環中最具政治性的一步。</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公共政策四種經典定義</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從權威分配、行為觀察、目的性行動與問題建構論四種角度，提供理解政策本質之多元切入點</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四種定義側重面向不同，考生須依題目情境選用最貼切之定義，而非機械式全部背誦</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政策循環五階段</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提供清晰之政策分析階段架構，便於系統性檢視政策從形成到評估之完整歷程</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五階段實務上常重疊與回饋，並非嚴格線性順序，過度僵化套用恐忽略政策動態調整之本質</w:t>
            </w:r>
          </w:p>
        </w:tc>
      </w:tr>
    </w:tbl>
    <w:p>
      <w:pPr>
        <w:spacing w:after="280" w:before="120"/>
        <w:jc w:val="center"/>
      </w:pPr>
      <w:r>
        <w:rPr>
          <w:rFonts w:ascii="微軟正黑體" w:cs="微軟正黑體" w:eastAsia="微軟正黑體" w:hAnsi="微軟正黑體"/>
          <w:i/>
          <w:iCs/>
          <w:color w:val="555555"/>
          <w:sz w:val="18"/>
          <w:szCs w:val="18"/>
        </w:rPr>
        <w:t xml:space="preserve">表10-B　公共政策定義與政策循環之貢獻與限制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公共政策提供目標與方向，公共行政提供執行能力與回饋資訊，二者為一體兩面：政策形成中，行政人員扮演專家角色，提供數據、模擬與可行性分析；政策執行中，行政裁量形塑政策實貌，普雷斯曼與韋達夫斯基（Pressman &amp; Wildavsky）執行研究顯示，目標模糊與資源不足常使政策變形；政策評估中，行政機關之監測資料構成政策學習基礎。</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歷年重大公共政策（如前瞻基礎建設計畫、長照政策、能源轉型政策），均可運用政策循環五階段架構進行分析：問題界定階段之利害關係人動員、政策規劃階段之替選方案評估、合法化階段之立法院審議、執行階段之地方政府配合度、評估階段之政策成效檢討，皆是國考申論題常見之應用場景。</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①公共政策四種經典定義：Easton（權威性分配）／Dye（作為或不作為）／Anderson（有目的行動方案）／Jones（問題建構論）</w:t>
            </w:r>
          </w:p>
          <w:p>
            <w:pPr>
              <w:spacing w:after="80" w:line="320"/>
            </w:pPr>
            <w:r>
              <w:rPr>
                <w:rFonts w:ascii="微軟正黑體" w:cs="微軟正黑體" w:eastAsia="微軟正黑體" w:hAnsi="微軟正黑體"/>
                <w:sz w:val="21"/>
                <w:szCs w:val="21"/>
              </w:rPr>
              <w:t xml:space="preserve">•　②政策科學之父：Lasswell與Lerner；政策科學三特質：問題導向／脈絡取向／方法多元</w:t>
            </w:r>
          </w:p>
          <w:p>
            <w:pPr>
              <w:spacing w:after="80" w:line="320"/>
            </w:pPr>
            <w:r>
              <w:rPr>
                <w:rFonts w:ascii="微軟正黑體" w:cs="微軟正黑體" w:eastAsia="微軟正黑體" w:hAnsi="微軟正黑體"/>
                <w:sz w:val="21"/>
                <w:szCs w:val="21"/>
              </w:rPr>
              <w:t xml:space="preserve">•　③有效政府5R：回應性／代表性／可靠性／責任性／務實性</w:t>
            </w:r>
          </w:p>
          <w:p>
            <w:pPr>
              <w:spacing w:after="80" w:line="320"/>
            </w:pPr>
            <w:r>
              <w:rPr>
                <w:rFonts w:ascii="微軟正黑體" w:cs="微軟正黑體" w:eastAsia="微軟正黑體" w:hAnsi="微軟正黑體"/>
                <w:sz w:val="21"/>
                <w:szCs w:val="21"/>
              </w:rPr>
              <w:t xml:space="preserve">•　④政策循環五階段：問題界定→政策規劃→政策合法化→政策執行→政策評估與回饋</w:t>
            </w:r>
          </w:p>
          <w:p>
            <w:pPr>
              <w:spacing w:after="0" w:line="320"/>
            </w:pPr>
            <w:r>
              <w:rPr>
                <w:rFonts w:ascii="微軟正黑體" w:cs="微軟正黑體" w:eastAsia="微軟正黑體" w:hAnsi="微軟正黑體"/>
                <w:sz w:val="21"/>
                <w:szCs w:val="21"/>
              </w:rPr>
              <w:t xml:space="preserve">•　⑤公共政策與公共行政之共生關係：政策提供方向、行政提供執行能力</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四種定義口訣：權（威分配，Easton）、為（作為不作為，Dye）、目（的行動，Anderson）、建（構論，Jones）——「權為目建」四字訣</w:t>
            </w:r>
          </w:p>
          <w:p>
            <w:pPr>
              <w:spacing w:after="80" w:line="320"/>
            </w:pPr>
            <w:r>
              <w:rPr>
                <w:rFonts w:ascii="微軟正黑體" w:cs="微軟正黑體" w:eastAsia="微軟正黑體" w:hAnsi="微軟正黑體"/>
                <w:sz w:val="21"/>
                <w:szCs w:val="21"/>
              </w:rPr>
              <w:t xml:space="preserve">•　5R口訣：回（應性）、代（表性）、可（靠性）、責（任性）、務（實性）——「回代可責務」五字訣</w:t>
            </w:r>
          </w:p>
          <w:p>
            <w:pPr>
              <w:spacing w:after="0" w:line="320"/>
            </w:pPr>
            <w:r>
              <w:rPr>
                <w:rFonts w:ascii="微軟正黑體" w:cs="微軟正黑體" w:eastAsia="微軟正黑體" w:hAnsi="微軟正黑體"/>
                <w:sz w:val="21"/>
                <w:szCs w:val="21"/>
              </w:rPr>
              <w:t xml:space="preserve">•　政策循環五階段記憶：界（定）、規（劃）、合（法化）、執（行）、評（估）——「界規合執評」五字訣</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「政策」（policy，較宏觀、涉及方向與價值選擇）與「政策工具」（policy instrument，較微觀、達成政策目標之具體手段）常被考生混用——本章後續第三節將詳述六類政策工具，考生應注意兩者層次不同，政策工具是實現政策之「手段」而非「目標」本身。</w:t>
            </w:r>
          </w:p>
          <w:p>
            <w:pPr>
              <w:spacing w:after="0" w:line="320"/>
            </w:pPr>
            <w:r>
              <w:rPr>
                <w:rFonts w:ascii="微軟正黑體" w:cs="微軟正黑體" w:eastAsia="微軟正黑體" w:hAnsi="微軟正黑體"/>
                <w:sz w:val="21"/>
                <w:szCs w:val="21"/>
              </w:rPr>
              <w:t xml:space="preserve">•　Dye「政府選擇作為或不作為」之定義，常被考生誤解為僅指政府「做了什麼」——實則此定義之精髓在於「不作為亦是一種政策」（如政府對某議題長期不立法、不表態），這正是Dye定義之可觀察性與批判性所在，作答時應特別強調此點。</w:t>
            </w:r>
          </w:p>
        </w:tc>
      </w:tr>
    </w:tbl>
    <w:p>
      <w:pPr>
        <w:spacing w:after="220"/>
      </w:pPr>
    </w:p>
    <w:p>
      <w:pPr>
        <w:spacing w:after="180" w:before="360"/>
      </w:pPr>
      <w:r>
        <w:rPr>
          <w:rFonts w:ascii="微軟正黑體" w:cs="微軟正黑體" w:eastAsia="微軟正黑體" w:hAnsi="微軟正黑體"/>
          <w:b/>
          <w:bCs/>
          <w:color w:val="1F4E79"/>
          <w:sz w:val="26"/>
          <w:szCs w:val="26"/>
        </w:rPr>
        <w:t xml:space="preserve">第二節　政策類型與政治動力：Lowi與Wilson框架</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賽局理論（game theory）為分析政策類型之基礎。零和賽局（zero-sum games）指參與者收益與損失總和恆為零，一方所得即另一方所失，雙方無合作誘因，如重分配政策；非零和賽局（non-zero-sum games）指總和不為零，存在雙贏或雙輸可能，具合作誘因，如分配政策與自我管制政策。</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洛威（Theodore Lowi, 1964, 1972）與薩利斯伯里（Salisbury）發展出最具影響力之政策分類，依強制性與標的人口性質區分為四型：分配性政策（政府將利益或服務直接分配給標的人口，成本由全民分散負擔，屬非零和賽局，政治過程較無衝突，易產生滾木與肉桶行為，如社會福利津貼、公共建設）、管制性政策（政府設立特定規則限制或要求特定標的人口之行為，屬零和賽局，執行常遭抗拒，如環保標準、交通管制）、重分配性政策（將某一標的人口之所得、財產或權利轉移給另一標的人口，屬零和賽局，涉及階級與價值重分配，衝突最高，如累進稅、全民健保）、自我管制性政策（政府僅訂原則性規範，授權標的團體自行訂定細節與執行，屬非零和，如大學自治、公會自律）。</w:t>
      </w:r>
    </w:p>
    <w:p>
      <w:pPr>
        <w:pStyle w:val="ListParagraph"/>
        <w:numPr>
          <w:ilvl w:val="0"/>
          <w:numId w:val="2"/>
        </w:numPr>
        <w:spacing w:after="120" w:line="340"/>
      </w:pPr>
      <w:r>
        <w:rPr>
          <w:rFonts w:ascii="微軟正黑體" w:cs="微軟正黑體" w:eastAsia="微軟正黑體" w:hAnsi="微軟正黑體"/>
          <w:sz w:val="22"/>
          <w:szCs w:val="22"/>
        </w:rPr>
        <w:t xml:space="preserve">威爾遜（James Q. Wilson, 1980, 1995）從成本與利益是集中抑或分散，提出四種政治互動類型，補足Lowi分類在政策動力之不足：多數人型政治（成本分散、利益分散，全民關切但誘因低，須靠企業家與媒體動員，如國防、全民個資保護）、顧客型政治（成本分散、利益集中，利益團體極力爭取、全民冷漠，易成肉桶，如計程車油價補貼）、企業家型政治（成本集中、利益分散，公益企業家訴諸全民，挑戰特定業者，如工廠排污管制）、利益團體型政治（成本集中、利益集中，雙方高度動員，衝突對抗，如會計師vs.記帳士業務）。</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5426"/>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Lowi四政策類型</w:t>
            </w:r>
          </w:p>
        </w:tc>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賽局性質</w:t>
            </w:r>
          </w:p>
        </w:tc>
        <w:tc>
          <w:tcPr>
            <w:tcW w:type="dxa" w:w="54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舉例</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分配性政策</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非零和（成本分散、利益集中）</w:t>
            </w:r>
          </w:p>
        </w:tc>
        <w:tc>
          <w:tcPr>
            <w:tcW w:type="dxa" w:w="5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社會福利津貼、公共建設</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管制性政策</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零和（規範集中對象）</w:t>
            </w:r>
          </w:p>
        </w:tc>
        <w:tc>
          <w:tcPr>
            <w:tcW w:type="dxa" w:w="5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環保標準、交通管制</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重分配性政策</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零和（甲之所得為乙之所失）</w:t>
            </w:r>
          </w:p>
        </w:tc>
        <w:tc>
          <w:tcPr>
            <w:tcW w:type="dxa" w:w="5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累進稅、全民健保、社會住宅</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自我管制性政策</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非零和（原則規範＋自主）</w:t>
            </w:r>
          </w:p>
        </w:tc>
        <w:tc>
          <w:tcPr>
            <w:tcW w:type="dxa" w:w="5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大學自治、律師公會自律</w:t>
            </w:r>
          </w:p>
        </w:tc>
      </w:tr>
    </w:tbl>
    <w:p>
      <w:pPr>
        <w:spacing w:after="280" w:before="120"/>
        <w:jc w:val="center"/>
      </w:pPr>
      <w:r>
        <w:rPr>
          <w:rFonts w:ascii="微軟正黑體" w:cs="微軟正黑體" w:eastAsia="微軟正黑體" w:hAnsi="微軟正黑體"/>
          <w:i/>
          <w:iCs/>
          <w:color w:val="555555"/>
          <w:sz w:val="18"/>
          <w:szCs w:val="18"/>
        </w:rPr>
        <w:t xml:space="preserve">表10-C　Lowi四政策類型與賽局性質對照</w:t>
      </w:r>
    </w:p>
    <w:p>
      <w:pPr>
        <w:spacing w:after="140" w:before="260"/>
      </w:pPr>
      <w:r>
        <w:rPr>
          <w:rFonts w:ascii="微軟正黑體" w:cs="微軟正黑體" w:eastAsia="微軟正黑體" w:hAnsi="微軟正黑體"/>
          <w:b/>
          <w:bCs/>
          <w:color w:val="2E5C8A"/>
          <w:sz w:val="23"/>
          <w:szCs w:val="23"/>
        </w:rPr>
        <w:t xml:space="preserve">四、核心命題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1400"/>
        <w:gridCol w:w="6026"/>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Wilson四政治類型</w:t>
            </w:r>
          </w:p>
        </w:tc>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成本／利益</w:t>
            </w:r>
          </w:p>
        </w:tc>
        <w:tc>
          <w:tcPr>
            <w:tcW w:type="dxa" w:w="60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政治動力與可見性</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多數人型政治</w:t>
            </w:r>
          </w:p>
        </w:tc>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分散／分散</w:t>
            </w:r>
          </w:p>
        </w:tc>
        <w:tc>
          <w:tcPr>
            <w:tcW w:type="dxa" w:w="6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全民關切但誘因低，須靠企業家與媒體動員</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顧客型政治</w:t>
            </w:r>
          </w:p>
        </w:tc>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分散／集中</w:t>
            </w:r>
          </w:p>
        </w:tc>
        <w:tc>
          <w:tcPr>
            <w:tcW w:type="dxa" w:w="6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利益團體極力爭取、全民冷漠，易成肉桶</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企業家型政治</w:t>
            </w:r>
          </w:p>
        </w:tc>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集中／分散</w:t>
            </w:r>
          </w:p>
        </w:tc>
        <w:tc>
          <w:tcPr>
            <w:tcW w:type="dxa" w:w="6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公益企業家訴諸全民，挑戰特定業者</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利益團體型政治</w:t>
            </w:r>
          </w:p>
        </w:tc>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集中／集中</w:t>
            </w:r>
          </w:p>
        </w:tc>
        <w:tc>
          <w:tcPr>
            <w:tcW w:type="dxa" w:w="6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雙方高度動員，衝突對抗</w:t>
            </w:r>
          </w:p>
        </w:tc>
      </w:tr>
    </w:tbl>
    <w:p>
      <w:pPr>
        <w:spacing w:after="280" w:before="120"/>
        <w:jc w:val="center"/>
      </w:pPr>
      <w:r>
        <w:rPr>
          <w:rFonts w:ascii="微軟正黑體" w:cs="微軟正黑體" w:eastAsia="微軟正黑體" w:hAnsi="微軟正黑體"/>
          <w:i/>
          <w:iCs/>
          <w:color w:val="555555"/>
          <w:sz w:val="18"/>
          <w:szCs w:val="18"/>
        </w:rPr>
        <w:t xml:space="preserve">表10-D　Wilson四種政治類型與政策議程動力</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Lowi四政策類型</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以強制性與標的人口性質為分類標準，清楚呈現政策之賽局性質與政治衝突程度</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部分政策具混合性質（如兼具管制與重分配色彩），分類界線於實務上未必絕對清晰</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Wilson四政治類型</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補足Lowi分類在政策動力上之不足，精確解釋為何某些政策難以通過（成本集中利益分散時）</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現實政策議題常隨時間演變在四類型間移動，靜態分類須輔以動態分析</w:t>
            </w:r>
          </w:p>
        </w:tc>
      </w:tr>
    </w:tbl>
    <w:p>
      <w:pPr>
        <w:spacing w:after="280" w:before="120"/>
        <w:jc w:val="center"/>
      </w:pPr>
      <w:r>
        <w:rPr>
          <w:rFonts w:ascii="微軟正黑體" w:cs="微軟正黑體" w:eastAsia="微軟正黑體" w:hAnsi="微軟正黑體"/>
          <w:i/>
          <w:iCs/>
          <w:color w:val="555555"/>
          <w:sz w:val="18"/>
          <w:szCs w:val="18"/>
        </w:rPr>
        <w:t xml:space="preserve">表10-E　Lowi與Wilson框架之貢獻與限制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Wilson模型之洞見在於解釋為何某些政策難以通過：當成本集中而利益分散時（如管制平台），受管制者有強誘因激烈反對，受益之大眾則因搭便車而冷漠，導致管制不足；反之，顧客型政治易造成過度分配與政府失靈。沉默輸家（silent loser）理論由此衍生：受害者分散且難自覺，組織成本高於受益者，致政策議程失衡，此一概念將於第四節AI鑲嵌脈絡中進一步深化。</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Uber納管歷程（2013年進入台灣，歷經政府遏阻、放任，至2019年「多元化計程車」與「Uber條款」納管）即為利益團體型政治之典型案例：Uber業者與傳統計程車業者雙方高度動員，衝突對抗，最終以合作賽局收場，是理解Wilson四政治類型之經典本土案例。</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①零和賽局 vs. 非零和賽局之定義與政策類型對應</w:t>
            </w:r>
          </w:p>
          <w:p>
            <w:pPr>
              <w:spacing w:after="80" w:line="320"/>
            </w:pPr>
            <w:r>
              <w:rPr>
                <w:rFonts w:ascii="微軟正黑體" w:cs="微軟正黑體" w:eastAsia="微軟正黑體" w:hAnsi="微軟正黑體"/>
                <w:sz w:val="21"/>
                <w:szCs w:val="21"/>
              </w:rPr>
              <w:t xml:space="preserve">•　②Lowi &amp; Salisbury四政策類型：分配性／管制性／重分配性／自我管制性（賽局性質、舉例）</w:t>
            </w:r>
          </w:p>
          <w:p>
            <w:pPr>
              <w:spacing w:after="80" w:line="320"/>
            </w:pPr>
            <w:r>
              <w:rPr>
                <w:rFonts w:ascii="微軟正黑體" w:cs="微軟正黑體" w:eastAsia="微軟正黑體" w:hAnsi="微軟正黑體"/>
                <w:sz w:val="21"/>
                <w:szCs w:val="21"/>
              </w:rPr>
              <w:t xml:space="preserve">•　③滾木（logrolling）與肉桶（pork-barrel）之定義，與分配性政策及顧客型政治之關聯</w:t>
            </w:r>
          </w:p>
          <w:p>
            <w:pPr>
              <w:spacing w:after="80" w:line="320"/>
            </w:pPr>
            <w:r>
              <w:rPr>
                <w:rFonts w:ascii="微軟正黑體" w:cs="微軟正黑體" w:eastAsia="微軟正黑體" w:hAnsi="微軟正黑體"/>
                <w:sz w:val="21"/>
                <w:szCs w:val="21"/>
              </w:rPr>
              <w:t xml:space="preserve">•　④Wilson四政治類型：多數人型／顧客型／企業家型／利益團體型（成本利益邏輯）</w:t>
            </w:r>
          </w:p>
          <w:p>
            <w:pPr>
              <w:spacing w:after="0" w:line="320"/>
            </w:pPr>
            <w:r>
              <w:rPr>
                <w:rFonts w:ascii="微軟正黑體" w:cs="微軟正黑體" w:eastAsia="微軟正黑體" w:hAnsi="微軟正黑體"/>
                <w:sz w:val="21"/>
                <w:szCs w:val="21"/>
              </w:rPr>
              <w:t xml:space="preserve">•　⑤沉默輸家（silent loser）理論之基本概念</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Lowi四類型口訣：分（配性，非零和）、管（制性，零和）、重（分配性，零和）、自（我管制，非零和）——「分管重自」四字訣，注意管制與重分配都是零和</w:t>
            </w:r>
          </w:p>
          <w:p>
            <w:pPr>
              <w:spacing w:after="80" w:line="320"/>
            </w:pPr>
            <w:r>
              <w:rPr>
                <w:rFonts w:ascii="微軟正黑體" w:cs="微軟正黑體" w:eastAsia="微軟正黑體" w:hAnsi="微軟正黑體"/>
                <w:sz w:val="21"/>
                <w:szCs w:val="21"/>
              </w:rPr>
              <w:t xml:space="preserve">•　Wilson四類型記憶：多（數人，分散分散）、顧（客型，分散集中）、企（業家型，集中分散）、利（益團體型，集中集中）——依「成本利益是否集中」畫出四象限</w:t>
            </w:r>
          </w:p>
          <w:p>
            <w:pPr>
              <w:spacing w:after="0" w:line="320"/>
            </w:pPr>
            <w:r>
              <w:rPr>
                <w:rFonts w:ascii="微軟正黑體" w:cs="微軟正黑體" w:eastAsia="微軟正黑體" w:hAnsi="微軟正黑體"/>
                <w:sz w:val="21"/>
                <w:szCs w:val="21"/>
              </w:rPr>
              <w:t xml:space="preserve">•　顧客型政治記憶：「利益集中、成本分散」→「一小群人拿好處、全民默默買單」→易成肉桶立法</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管制性政策」（Lowi分類，屬零和賽局）與「重分配性政策」（Lowi分類，同屬零和賽局）常被考生誤認為性質相同——管制性政策是「限制或要求特定標的人口之行為」（如環保標準），重分配性政策是「將某一標的人口之所得或權利轉移給另一標的人口」（如累進稅），前者規範行為、後者移轉資源，性質不同。</w:t>
            </w:r>
          </w:p>
          <w:p>
            <w:pPr>
              <w:spacing w:after="0" w:line="320"/>
            </w:pPr>
            <w:r>
              <w:rPr>
                <w:rFonts w:ascii="微軟正黑體" w:cs="微軟正黑體" w:eastAsia="微軟正黑體" w:hAnsi="微軟正黑體"/>
                <w:sz w:val="21"/>
                <w:szCs w:val="21"/>
              </w:rPr>
              <w:t xml:space="preserve">•　「滾木」（logrolling，立法者互投贊成票以支持他案換取己案通過）與「肉桶」（pork-barrel，將有利選區但無效率之小方案包裹於大型共同計畫中）常被考生視為同義詞——滾木描述的是「立法者之間的交易行為」，肉桶描述的是「特定方案的性質」，兩者常伴隨發生但概念層次不同。</w:t>
            </w:r>
          </w:p>
        </w:tc>
      </w:tr>
    </w:tbl>
    <w:p>
      <w:pPr>
        <w:spacing w:after="220"/>
      </w:pPr>
    </w:p>
    <w:p>
      <w:pPr>
        <w:spacing w:after="180" w:before="360"/>
      </w:pPr>
      <w:r>
        <w:rPr>
          <w:rFonts w:ascii="微軟正黑體" w:cs="微軟正黑體" w:eastAsia="微軟正黑體" w:hAnsi="微軟正黑體"/>
          <w:b/>
          <w:bCs/>
          <w:color w:val="1F4E79"/>
          <w:sz w:val="26"/>
          <w:szCs w:val="26"/>
        </w:rPr>
        <w:t xml:space="preserve">第三節　公共問題的認定與建構、市場失靈與政府政策失靈</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公共問題並非客觀存在，而是經由主觀認定、社會建構與政治動員之結果。德瑞（Dery, 1984）、鄧恩（Dunn, 2017）歸納公共問題具五特性：相依性（問題彼此嵌套，非孤立存在）、主觀性（問題乃人類心智判斷之產物）、人為性（僅當人們期望改變現狀，才形成問題）、動態性（問題隨時空變動）、結構化程度差異（結構良好問題具單一標準、資訊充分；結構不良問題具多重標準、資訊不全）。</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柯布與艾爾德（Cobb &amp; Elder, 1972）、金頓（Kingdon, 2011）多源流模型指出，問題能否進入議程，取決於三因素匯流：問題本身之性質（具高度可見性、嚴重性、已達危機閾值者易進入）、政治因素（政黨輪替、執政意識形態、利益團體動員）、可見的參與者（政治人物、媒體扮演政策企業家，進行框架化工作）。安德森（Anderson）進一步提出政府面對公共問題之四種態度：遏阻發生（動員力量壓抑問題）、放任問題發生（消極觀望）、鼓勵問題發生（協助界定但不主導）、促使問題發生（主動製造輿論、發動議程，最積極之角色）。</w:t>
      </w:r>
    </w:p>
    <w:p>
      <w:pPr>
        <w:pStyle w:val="ListParagraph"/>
        <w:numPr>
          <w:ilvl w:val="0"/>
          <w:numId w:val="2"/>
        </w:numPr>
        <w:spacing w:after="120" w:line="340"/>
      </w:pPr>
      <w:r>
        <w:rPr>
          <w:rFonts w:ascii="微軟正黑體" w:cs="微軟正黑體" w:eastAsia="微軟正黑體" w:hAnsi="微軟正黑體"/>
          <w:sz w:val="22"/>
          <w:szCs w:val="22"/>
        </w:rPr>
        <w:t xml:space="preserve">市場失靈（market failure）指市場自由運作無法達成柏瑞圖最適，需政府介入，傳統四類為：自然獨占（規模經濟極顯著，單一廠商自然壟斷，如自來水、電網）、外部性（經濟主體交易行為對第三人產生非市場性影響且無法求償，如工廠排污）、公共財（具無法排他與非對立性，如國防、路燈）、資訊不對稱（一方資訊顯著多於另一方，如二手車市場檸檬問題）。</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2200"/>
        <w:gridCol w:w="2213"/>
        <w:gridCol w:w="30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市場失靈類型</w:t>
            </w:r>
          </w:p>
        </w:tc>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機制</w:t>
            </w:r>
          </w:p>
        </w:tc>
        <w:tc>
          <w:tcPr>
            <w:tcW w:type="dxa" w:w="2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傳統舉例</w:t>
            </w:r>
          </w:p>
        </w:tc>
        <w:tc>
          <w:tcPr>
            <w:tcW w:type="dxa" w:w="30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矯正工具</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自然獨占</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規模經濟遞減</w:t>
            </w:r>
          </w:p>
        </w:tc>
        <w:tc>
          <w:tcPr>
            <w:tcW w:type="dxa" w:w="2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自來水、電網</w:t>
            </w:r>
          </w:p>
        </w:tc>
        <w:tc>
          <w:tcPr>
            <w:tcW w:type="dxa" w:w="30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分拆、費率管制</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外部性</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成本效益外溢未內部化</w:t>
            </w:r>
          </w:p>
        </w:tc>
        <w:tc>
          <w:tcPr>
            <w:tcW w:type="dxa" w:w="2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工廠排污、二手菸</w:t>
            </w:r>
          </w:p>
        </w:tc>
        <w:tc>
          <w:tcPr>
            <w:tcW w:type="dxa" w:w="30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課稅、補貼、可轉讓污染權</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公共財</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無法排他、非對立</w:t>
            </w:r>
          </w:p>
        </w:tc>
        <w:tc>
          <w:tcPr>
            <w:tcW w:type="dxa" w:w="2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國防、路燈</w:t>
            </w:r>
          </w:p>
        </w:tc>
        <w:tc>
          <w:tcPr>
            <w:tcW w:type="dxa" w:w="30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政府直接提供</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資訊不對稱</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資訊落差</w:t>
            </w:r>
          </w:p>
        </w:tc>
        <w:tc>
          <w:tcPr>
            <w:tcW w:type="dxa" w:w="2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二手車、房市</w:t>
            </w:r>
          </w:p>
        </w:tc>
        <w:tc>
          <w:tcPr>
            <w:tcW w:type="dxa" w:w="30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資訊揭露、實價登錄</w:t>
            </w:r>
          </w:p>
        </w:tc>
      </w:tr>
    </w:tbl>
    <w:p>
      <w:pPr>
        <w:spacing w:after="280" w:before="120"/>
        <w:jc w:val="center"/>
      </w:pPr>
      <w:r>
        <w:rPr>
          <w:rFonts w:ascii="微軟正黑體" w:cs="微軟正黑體" w:eastAsia="微軟正黑體" w:hAnsi="微軟正黑體"/>
          <w:i/>
          <w:iCs/>
          <w:color w:val="555555"/>
          <w:sz w:val="18"/>
          <w:szCs w:val="18"/>
        </w:rPr>
        <w:t xml:space="preserve">表10-F　市場失靈四類型與矯正工具</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市場失靈並不當然證成政府介入，因政府自身亦可能失靈（government failure），根源於公共選擇理論：直接民主困境（Arrow不可能定理指出無任何多數決可同時滿足公平與一致）、代議民主問題（競租、滾木立法、肉桶立法）、分權政府問題（中央與地方管轄重疊、事權不明）、機關供給問題（受國會控制、預算軟約束、本位主義）。政策失靈（policy failure）則指政策執行後問題未解、更惡化或衍生新問題，可再細分五種類型：目標失靈（政策目標模糊或內部矛盾）、工具失靈（目標正確但工具不足以達成）、執行失靈（政策設計合理但基層執行走樣）、資訊失靈（決策者對問題本質掌握不足）、適應失靈（政策工具與分類框架未隨問題型態演變而更新）。NIMBY（鄰避症候群）即典型政策失靈之表徵。</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市場失靈四類型</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提供政府介入市場之正當性判準，是理解管制政策設計之理論基礎</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四類型分析架構植基於工業經濟時代，面對數位平台經濟時解釋力已顯不足（詳見第四節演算法失靈）</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政策失靈五種類型</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提供系統性診斷工具，協助分析者判斷政策失靈發生於循環之哪一環節</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五種類型常同時交織發生（如資訊失靈與適應失靈疊加），實務診斷須綜合判斷而非單一歸因</w:t>
            </w:r>
          </w:p>
        </w:tc>
      </w:tr>
    </w:tbl>
    <w:p>
      <w:pPr>
        <w:spacing w:after="280" w:before="120"/>
        <w:jc w:val="center"/>
      </w:pPr>
      <w:r>
        <w:rPr>
          <w:rFonts w:ascii="微軟正黑體" w:cs="微軟正黑體" w:eastAsia="微軟正黑體" w:hAnsi="微軟正黑體"/>
          <w:i/>
          <w:iCs/>
          <w:color w:val="555555"/>
          <w:sz w:val="18"/>
          <w:szCs w:val="18"/>
        </w:rPr>
        <w:t xml:space="preserve">表10-G　市場失靈與政策失靈架構之貢獻與限制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政策工具（policy instruments）指政府為達成政策目標所選用的具體手段，基本可分六類：權威型工具（以法規、命令與強制力達成目標，如禁止、許可）、誘因型工具（以價格訊號調整行為誘因，如補貼、課稅）、資訊型工具（透過揭露與教育改變認知，如標示、公告）、組織型工具（由政府直接提供服務或設立專責機構）、自我管制與共管工具（由業者自訂行為準則，政府監督其落實）、能力建構工具（強化受影響者或第三方之知識與議價能力）。有效之公共政策通常是政策工具包（policy tool package）之組合，而非單一工具。</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住宅實價登錄網站即為矯正資訊不對稱之能力建構工具；污染之課稅、補貼與可轉讓污染權，則為外部性之不同政策工具選擇；我國前瞻基礎建設計畫、部分蚊子館爭議，即常被質疑具肉桶立法性質，是理解政府失靈之經典本土案例。</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①公共問題五特性：相依性／主觀性／人為性／動態性／結構化程度差異（結構良好vs.結構不良問題）</w:t>
            </w:r>
          </w:p>
          <w:p>
            <w:pPr>
              <w:spacing w:after="80" w:line="320"/>
            </w:pPr>
            <w:r>
              <w:rPr>
                <w:rFonts w:ascii="微軟正黑體" w:cs="微軟正黑體" w:eastAsia="微軟正黑體" w:hAnsi="微軟正黑體"/>
                <w:sz w:val="21"/>
                <w:szCs w:val="21"/>
              </w:rPr>
              <w:t xml:space="preserve">•　②Cobb &amp; Elder、Kingdon多源流模型：議程三因素匯流；政府面對問題四種態度（遏阻／放任／鼓勵／促使）</w:t>
            </w:r>
          </w:p>
          <w:p>
            <w:pPr>
              <w:spacing w:after="80" w:line="320"/>
            </w:pPr>
            <w:r>
              <w:rPr>
                <w:rFonts w:ascii="微軟正黑體" w:cs="微軟正黑體" w:eastAsia="微軟正黑體" w:hAnsi="微軟正黑體"/>
                <w:sz w:val="21"/>
                <w:szCs w:val="21"/>
              </w:rPr>
              <w:t xml:space="preserve">•　③市場失靈四類型：自然獨占／外部性／公共財／資訊不對稱</w:t>
            </w:r>
          </w:p>
          <w:p>
            <w:pPr>
              <w:spacing w:after="80" w:line="320"/>
            </w:pPr>
            <w:r>
              <w:rPr>
                <w:rFonts w:ascii="微軟正黑體" w:cs="微軟正黑體" w:eastAsia="微軟正黑體" w:hAnsi="微軟正黑體"/>
                <w:sz w:val="21"/>
                <w:szCs w:val="21"/>
              </w:rPr>
              <w:t xml:space="preserve">•　④政府失靈：Arrow不可能定理、競租、滾木立法、肉桶立法、分權政府問題</w:t>
            </w:r>
          </w:p>
          <w:p>
            <w:pPr>
              <w:spacing w:after="80" w:line="320"/>
            </w:pPr>
            <w:r>
              <w:rPr>
                <w:rFonts w:ascii="微軟正黑體" w:cs="微軟正黑體" w:eastAsia="微軟正黑體" w:hAnsi="微軟正黑體"/>
                <w:sz w:val="21"/>
                <w:szCs w:val="21"/>
              </w:rPr>
              <w:t xml:space="preserve">•　⑤政策失靈五種類型：目標失靈／工具失靈／執行失靈／資訊失靈／適應失靈；NIMBY、PIMFY、BANANA</w:t>
            </w:r>
          </w:p>
          <w:p>
            <w:pPr>
              <w:spacing w:after="0" w:line="320"/>
            </w:pPr>
            <w:r>
              <w:rPr>
                <w:rFonts w:ascii="微軟正黑體" w:cs="微軟正黑體" w:eastAsia="微軟正黑體" w:hAnsi="微軟正黑體"/>
                <w:sz w:val="21"/>
                <w:szCs w:val="21"/>
              </w:rPr>
              <w:t xml:space="preserve">•　⑥政策工具六類型：權威型／誘因型／資訊型／組織型／自我管制與共管型／能力建構型</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市場失靈四類口訣：獨（占）、外（部性）、公（共財）、資（訊不對稱）——「獨外公資」四字訣</w:t>
            </w:r>
          </w:p>
          <w:p>
            <w:pPr>
              <w:spacing w:after="80" w:line="320"/>
            </w:pPr>
            <w:r>
              <w:rPr>
                <w:rFonts w:ascii="微軟正黑體" w:cs="微軟正黑體" w:eastAsia="微軟正黑體" w:hAnsi="微軟正黑體"/>
                <w:sz w:val="21"/>
                <w:szCs w:val="21"/>
              </w:rPr>
              <w:t xml:space="preserve">•　政策失靈五類口訣：目（標）、工（具）、執（行）、資（訊）、適（應）——「目工執資適」五字訣</w:t>
            </w:r>
          </w:p>
          <w:p>
            <w:pPr>
              <w:spacing w:after="80" w:line="320"/>
            </w:pPr>
            <w:r>
              <w:rPr>
                <w:rFonts w:ascii="微軟正黑體" w:cs="微軟正黑體" w:eastAsia="微軟正黑體" w:hAnsi="微軟正黑體"/>
                <w:sz w:val="21"/>
                <w:szCs w:val="21"/>
              </w:rPr>
              <w:t xml:space="preserve">•　政策工具六類口訣：權（威）、誘（因）、資（訊）、組（織）、管（共管）、能（力建構）——「權誘資組管能」六字訣</w:t>
            </w:r>
          </w:p>
          <w:p>
            <w:pPr>
              <w:spacing w:after="0" w:line="320"/>
            </w:pPr>
            <w:r>
              <w:rPr>
                <w:rFonts w:ascii="微軟正黑體" w:cs="微軟正黑體" w:eastAsia="微軟正黑體" w:hAnsi="微軟正黑體"/>
                <w:sz w:val="21"/>
                <w:szCs w:val="21"/>
              </w:rPr>
              <w:t xml:space="preserve">•　鄰避現象家族記憶：NIMBY（不要在我家後院）、PIMFY（歡迎在我家前院，AI時代新增）、BANANA（哪裡都不要建）——反映不同程度之在地不信任</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「市場失靈」（market failure，市場機制本身無法達成柏瑞圖最適，需政府介入）與「政府失靈」（government failure，政府介入未能提升效率甚至惡化問題）常被考生視為對立互斥概念——實則兩者是分析同一政策議題的「前後兩道檢驗關卡」：先判斷是否存在市場失靈以證成政府介入之必要性，再檢視政府介入本身是否可能產生政府失靈，兩者須合併評估而非擇一適用。</w:t>
            </w:r>
          </w:p>
          <w:p>
            <w:pPr>
              <w:spacing w:after="0" w:line="320"/>
            </w:pPr>
            <w:r>
              <w:rPr>
                <w:rFonts w:ascii="微軟正黑體" w:cs="微軟正黑體" w:eastAsia="微軟正黑體" w:hAnsi="微軟正黑體"/>
                <w:sz w:val="21"/>
                <w:szCs w:val="21"/>
              </w:rPr>
              <w:t xml:space="preserve">•　「政策失靈」（policy failure，政策執行後問題未解或惡化）與「政府失靈」（government failure，政府介入決策過程本身之系統性偏誤，如滾木肉桶）常被考生混用——政府失靈發生於「決策形成階段」（為何做出此政策決定），政策失靈發生於「執行與結果階段」（政策執行後為何未達預期效果），兩者發生之階段與診斷重點不同。</w:t>
            </w:r>
          </w:p>
        </w:tc>
      </w:tr>
    </w:tbl>
    <w:p>
      <w:pPr>
        <w:spacing w:after="260"/>
      </w:pPr>
    </w:p>
    <w:p>
      <w:pPr>
        <w:spacing w:after="180" w:before="360"/>
      </w:pPr>
      <w:r>
        <w:rPr>
          <w:rFonts w:ascii="微軟正黑體" w:cs="微軟正黑體" w:eastAsia="微軟正黑體" w:hAnsi="微軟正黑體"/>
          <w:b/>
          <w:bCs/>
          <w:color w:val="1F4E79"/>
          <w:sz w:val="26"/>
          <w:szCs w:val="26"/>
        </w:rPr>
        <w:t xml:space="preserve">第四節　AI鑲嵌下的演算法失靈、政策分析者角色轉型與議題判斷中的權力位移</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2020年後，OECD（2021）、Crémer等人（2019）與Acquisti等人（2022）指出，傳統市場失靈四類已不足解釋數位平台經濟之系統性失靈，需新增演算法失靈（algorithmic failure）作為第五類型：演算法作為非人行為者，在追求平台利潤最大化過程中，系統性產生效率與公平雙重扭曲，且非單一廠商行為可矯正。演算法失靈並非取代傳統四類，而是補充傳統分類，較適合視為「跨類型、複合型失靈」。</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演算法失靈包含四子型：演算法共謀（algorithmic collusion，演算法在未有人類明示合意下透過機器學習自主達成價格一致性，如平台同時surge pricing）、數據壟斷（data monopoly，平台拒絕資料可攜與互操作，形成「數據—演算—注意力」三位一體之壟斷）、注意力剝削（attention exploitation，演算法系統性推送煽動、極化內容以最大化用戶停留時間）、歧視性定價與差別待遇（discriminatory pricing &amp; steering，利用巨量個資作一級價格歧視）。</w:t>
      </w:r>
    </w:p>
    <w:p>
      <w:pPr>
        <w:pStyle w:val="ListParagraph"/>
        <w:numPr>
          <w:ilvl w:val="0"/>
          <w:numId w:val="2"/>
        </w:numPr>
        <w:spacing w:after="120" w:line="340"/>
      </w:pPr>
      <w:r>
        <w:rPr>
          <w:rFonts w:ascii="微軟正黑體" w:cs="微軟正黑體" w:eastAsia="微軟正黑體" w:hAnsi="微軟正黑體"/>
          <w:sz w:val="22"/>
          <w:szCs w:val="22"/>
        </w:rPr>
        <w:t xml:space="preserve">梅爾茲納（Aaron Meltsner, 1976）依分析能力與政治技巧二維，區分四類政策分析者：技術型（分析能力高、政治技巧低，重模型輕權力，易被束之高閣）、政客型（分析能力低、政治技巧高，重權力輕證據，易淪選舉操弄）、虛偽型（雙低，充斥於官僚末梢）、企業型（雙高，最佳政策企業家，能轉譯技術為政治語言）。魏莫與範寧（Weimer &amp; Vining, 2017）從倫理定位提出三類型：客觀技術者（最重視分析周延性與價值中立）、主顧擁護者（最重視對雇主忠誠）、議題倡議者（最重視個人對美好社會之理念）；本書於AI脈絡新增第四、五類型：演算審計者（algorithmic auditor，最重視可究責性，專責拆解黑箱）、沉默輸家代言人（silent loser advocate，最重視差異原則與程序正義，專為分散受害者代言）。</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200"/>
        <w:gridCol w:w="5826"/>
      </w:tblGrid>
      <w:tr>
        <w:trPr>
          <w:tblHeader/>
        </w:trPr>
        <w:tc>
          <w:tcPr>
            <w:tcW w:type="dxa" w:w="3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理論／概念</w:t>
            </w:r>
          </w:p>
        </w:tc>
        <w:tc>
          <w:tcPr>
            <w:tcW w:type="dxa" w:w="5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核心內容</w:t>
            </w:r>
          </w:p>
        </w:tc>
      </w:tr>
      <w:tr>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演算法失靈四子型</w:t>
            </w:r>
          </w:p>
        </w:tc>
        <w:tc>
          <w:tcPr>
            <w:tcW w:type="dxa" w:w="5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演算法共謀／數據壟斷／注意力剝削／歧視性定價，補充而非取代傳統市場失靈四類</w:t>
            </w:r>
          </w:p>
        </w:tc>
      </w:tr>
      <w:tr>
        <w:tc>
          <w:tcPr>
            <w:tcW w:type="dxa" w:w="3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Meltsner四政策分析者</w:t>
            </w:r>
          </w:p>
        </w:tc>
        <w:tc>
          <w:tcPr>
            <w:tcW w:type="dxa" w:w="5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技術型（重模型輕權力）／政客型（重權力輕證據）／虛偽型（雙低）／企業型（雙高，最佳政策企業家）</w:t>
            </w:r>
          </w:p>
        </w:tc>
      </w:tr>
      <w:tr>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Weimer &amp; Vining三類型＋本書擴充二類型</w:t>
            </w:r>
          </w:p>
        </w:tc>
        <w:tc>
          <w:tcPr>
            <w:tcW w:type="dxa" w:w="5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客觀技術者／主顧擁護者／議題倡議者＋演算審計者／沉默輸家代言人</w:t>
            </w:r>
          </w:p>
        </w:tc>
      </w:tr>
      <w:tr>
        <w:tc>
          <w:tcPr>
            <w:tcW w:type="dxa" w:w="3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歐盟DMA／DSA</w:t>
            </w:r>
          </w:p>
        </w:tc>
        <w:tc>
          <w:tcPr>
            <w:tcW w:type="dxa" w:w="5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數位市場法對守門人課予反壟斷事前義務；數位服務法對超大型線上平台課以系統性風險評估、演算法透明義務</w:t>
            </w:r>
          </w:p>
        </w:tc>
      </w:tr>
    </w:tbl>
    <w:p>
      <w:pPr>
        <w:spacing w:after="280" w:before="120"/>
        <w:jc w:val="center"/>
      </w:pPr>
      <w:r>
        <w:rPr>
          <w:rFonts w:ascii="微軟正黑體" w:cs="微軟正黑體" w:eastAsia="微軟正黑體" w:hAnsi="微軟正黑體"/>
          <w:i/>
          <w:iCs/>
          <w:color w:val="555555"/>
          <w:sz w:val="18"/>
          <w:szCs w:val="18"/>
        </w:rPr>
        <w:t xml:space="preserve">表10-H　演算法失靈與政策分析者角色轉型主要學者</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AI鑲嵌治理過程中存在三種權力移轉：情境建構權（P1，問題是否「有問題性」，可能先由訓練資料的完整性、標註者的偏見與模型的特徵工程所前置決定）、行政裁量權（P2，政策分析人員判斷「這是不是一個值得處理的公共問題」之專業裁量，因技術不對稱而被壓縮）、公權力影響力（P3，平台的演算法規則實質上決定何謂「合理」的市場行為，形成尚未被正式承認卻已實際運作的準政策權力）；並伴隨三種結構性效應：跨格移動（原屬政策體系／社會層級之公眾論辯，因技術系統框定，下沉為管理運作層級之資料異常偵測）、邊界消解（市場失靈與政府失靈之傳統界線日益模糊）、權威重構（問題界定之權威，從民選政治人物部分轉移至掌握資料與模型之技術行為者手中）。</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演算法失靈四子型與DMA/DSA工具箱</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系統性補足傳統市場失靈四類無法解釋之數位平台系統性問題，並提供具體法制化管制範例</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演算法技術演變速度快於立法程序，工具箱須持續更新，且跨國平台之管轄權問題仍待解決</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沉默輸家代言人與三種權力移轉架構</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揭示AI鑲嵌治理下權力如何從民主政治過程悄然轉移至技術行為者，補足傳統政策分析工具之分析空缺</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「沉默輸家」之組織動員本身仍面臨資源與能力限制，政策分析者代言角色須配合制度化參與機制方能發揮實效</w:t>
            </w:r>
          </w:p>
        </w:tc>
      </w:tr>
    </w:tbl>
    <w:p>
      <w:pPr>
        <w:spacing w:after="280" w:before="120"/>
        <w:jc w:val="center"/>
      </w:pPr>
      <w:r>
        <w:rPr>
          <w:rFonts w:ascii="微軟正黑體" w:cs="微軟正黑體" w:eastAsia="微軟正黑體" w:hAnsi="微軟正黑體"/>
          <w:i/>
          <w:iCs/>
          <w:color w:val="555555"/>
          <w:sz w:val="18"/>
          <w:szCs w:val="18"/>
        </w:rPr>
        <w:t xml:space="preserve">表10-I　演算法失靈與AI鑲嵌治理架構之貢獻與限制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矯正演算法失靈需超越傳統命令—控制，採「層級—共管—賦權」混合工具箱：歐盟DMA（2022生效，2024全面適用）針對守門人課予反壟斷事前義務，包括禁止自我偏好、強制互操作與資料可攜；DSA（2024生效）針對超大型線上平台課以系統性風險評估、演算法透明與獨立稽核；資料治理面則包括資料信託、資料仲介與集體授權；演算法治理工具則包括演算法影響評估（AIA）、模型卡、演算法登記冊、第三方稽核與可爭訟性機制。</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環保署（現環境部）空氣污染來源歸因AI系統，是台灣觀察情境建構權移轉最具體的案例：系統之特徵選擇（如選用哪些氣象與排放參數）實質上決定了「這是不是一個本地治理可以處理的問題」，若特徵工程系統性低估境內工業排放之貢獻，問題便可能被技術性地框定為「境外因素，本地政府難以介入」；我國外送平台（Foodpanda、Uber Eats）則呈現四重演算法失靈之具體案例，政府陸續透過公平會調查、勞動部訂定外送作業安全指引等方式介入，顯示沉默輸家需透過工會與媒體動員，方能轉為利益團體型政治。</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①演算法失靈（第五種市場失靈）四子型：演算法共謀／數據壟斷／注意力剝削／歧視性定價</w:t>
            </w:r>
          </w:p>
          <w:p>
            <w:pPr>
              <w:spacing w:after="80" w:line="320"/>
            </w:pPr>
            <w:r>
              <w:rPr>
                <w:rFonts w:ascii="微軟正黑體" w:cs="微軟正黑體" w:eastAsia="微軟正黑體" w:hAnsi="微軟正黑體"/>
                <w:sz w:val="21"/>
                <w:szCs w:val="21"/>
              </w:rPr>
              <w:t xml:space="preserve">•　②Meltsner四政策分析者：技術型／政客型／虛偽型／企業型</w:t>
            </w:r>
          </w:p>
          <w:p>
            <w:pPr>
              <w:spacing w:after="80" w:line="320"/>
            </w:pPr>
            <w:r>
              <w:rPr>
                <w:rFonts w:ascii="微軟正黑體" w:cs="微軟正黑體" w:eastAsia="微軟正黑體" w:hAnsi="微軟正黑體"/>
                <w:sz w:val="21"/>
                <w:szCs w:val="21"/>
              </w:rPr>
              <w:t xml:space="preserve">•　③Weimer &amp; Vining三類型＋本書擴充：客觀技術者／主顧擁護者／議題倡議者＋演算審計者／沉默輸家代言人</w:t>
            </w:r>
          </w:p>
          <w:p>
            <w:pPr>
              <w:spacing w:after="80" w:line="320"/>
            </w:pPr>
            <w:r>
              <w:rPr>
                <w:rFonts w:ascii="微軟正黑體" w:cs="微軟正黑體" w:eastAsia="微軟正黑體" w:hAnsi="微軟正黑體"/>
                <w:sz w:val="21"/>
                <w:szCs w:val="21"/>
              </w:rPr>
              <w:t xml:space="preserve">•　④三種權力移轉：情境建構權（P1）／行政裁量權（P2）／公權力影響力（P3）</w:t>
            </w:r>
          </w:p>
          <w:p>
            <w:pPr>
              <w:spacing w:after="80" w:line="320"/>
            </w:pPr>
            <w:r>
              <w:rPr>
                <w:rFonts w:ascii="微軟正黑體" w:cs="微軟正黑體" w:eastAsia="微軟正黑體" w:hAnsi="微軟正黑體"/>
                <w:sz w:val="21"/>
                <w:szCs w:val="21"/>
              </w:rPr>
              <w:t xml:space="preserve">•　⑤三種結構性效應：跨格移動／邊界消解／權威重構</w:t>
            </w:r>
          </w:p>
          <w:p>
            <w:pPr>
              <w:spacing w:after="0" w:line="320"/>
            </w:pPr>
            <w:r>
              <w:rPr>
                <w:rFonts w:ascii="微軟正黑體" w:cs="微軟正黑體" w:eastAsia="微軟正黑體" w:hAnsi="微軟正黑體"/>
                <w:sz w:val="21"/>
                <w:szCs w:val="21"/>
              </w:rPr>
              <w:t xml:space="preserve">•　⑥歐盟DMA（守門人事前義務）與DSA（系統性風險評估）；演算法影響評估（AIA）、模型卡、演算法登記冊</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演算法失靈四子型口訣：謀（共謀）、壟（斷）、剝（削注意力）、歧（視定價）——「謀壟剝歧」四字訣</w:t>
            </w:r>
          </w:p>
          <w:p>
            <w:pPr>
              <w:spacing w:after="80" w:line="320"/>
            </w:pPr>
            <w:r>
              <w:rPr>
                <w:rFonts w:ascii="微軟正黑體" w:cs="微軟正黑體" w:eastAsia="微軟正黑體" w:hAnsi="微軟正黑體"/>
                <w:sz w:val="21"/>
                <w:szCs w:val="21"/>
              </w:rPr>
              <w:t xml:space="preserve">•　Meltsner四類型記憶：技術型「懂事不懂人」、政客型「懂人不懂事」、虛偽型「人事都不懂」、企業型「人事都懂」——依「分析能力×政治技巧」二維劃分</w:t>
            </w:r>
          </w:p>
          <w:p>
            <w:pPr>
              <w:spacing w:after="0" w:line="320"/>
            </w:pPr>
            <w:r>
              <w:rPr>
                <w:rFonts w:ascii="微軟正黑體" w:cs="微軟正黑體" w:eastAsia="微軟正黑體" w:hAnsi="微軟正黑體"/>
                <w:sz w:val="21"/>
                <w:szCs w:val="21"/>
              </w:rPr>
              <w:t xml:space="preserve">•　三種權力移轉記憶：P1框問題（情境建構）、P2做判斷（行政裁量）、P3定規則（公權力影響力）——與第八、九章平台治理架構同一邏輯</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「數據壟斷」（data monopoly，演算法失靈子型，平台拒絕資料可攜與互操作所形成之人為獨占）與「自然獨占」（傳統市場失靈類型，規模經濟導致單一廠商自然壟斷）常被考生混為一談——本章明確指出數據壟斷並非傳統自然獨占，而是Weimer &amp; Vining所稱「人為獨占」之延伸，兩者成因不同：自然獨占源於生產技術之規模經濟，數據壟斷則源於平台刻意拒絕互操作之策略性行為。</w:t>
            </w:r>
          </w:p>
          <w:p>
            <w:pPr>
              <w:spacing w:after="0" w:line="320"/>
            </w:pPr>
            <w:r>
              <w:rPr>
                <w:rFonts w:ascii="微軟正黑體" w:cs="微軟正黑體" w:eastAsia="微軟正黑體" w:hAnsi="微軟正黑體"/>
                <w:sz w:val="21"/>
                <w:szCs w:val="21"/>
              </w:rPr>
              <w:t xml:space="preserve">•　「演算審計者」（algorithmic auditor，介於客觀技術者與議題倡議者之間，最重視可究責性）與「沉默輸家代言人」（silent loser advocate，最重視差異原則與程序正義）常被考生視為同一角色——前者專責技術面之拆解黑箱與偏見檢測，後者專責為無法發聲之分散受害者代言倡議，兩者分工不同，一為技術驗證者、一為價值倡議者。</w:t>
            </w:r>
          </w:p>
        </w:tc>
      </w:tr>
    </w:tbl>
    <w:p>
      <w:pPr>
        <w:spacing w:after="260"/>
      </w:pPr>
    </w:p>
    <w:p>
      <w:pPr>
        <w:spacing w:after="200" w:before="400"/>
      </w:pPr>
      <w:r>
        <w:rPr>
          <w:rFonts w:ascii="微軟正黑體" w:cs="微軟正黑體" w:eastAsia="微軟正黑體" w:hAnsi="微軟正黑體"/>
          <w:b/>
          <w:bCs/>
          <w:sz w:val="32"/>
          <w:szCs w:val="32"/>
        </w:rPr>
        <w:t xml:space="preserve">【申論解題】</w:t>
      </w:r>
    </w:p>
    <w:p>
      <w:pPr>
        <w:spacing w:after="200" w:line="360"/>
        <w:ind w:firstLine="431"/>
        <w:jc w:val="both"/>
      </w:pPr>
      <w:r>
        <w:rPr>
          <w:rFonts w:ascii="微軟正黑體" w:cs="微軟正黑體" w:eastAsia="微軟正黑體" w:hAnsi="微軟正黑體"/>
          <w:sz w:val="22"/>
          <w:szCs w:val="22"/>
        </w:rPr>
        <w:t xml:space="preserve">本章語料庫（107-111年）尚未查得完全對應一般行政類科之申論真題，以下三題均為依本章母體教材自行設計之模擬命題，各題均附「考題出處（重要說明）」標示。依全書格式定版說明，僅題目一（A級）提供基本得分版、標準版、高分版三種完整答案；題目二（B級）與題目三（C級）改為提供【參考答案·標準版】單一版本，並於【得分關鍵】【常見失分】之後新增【高分加分點】。</w:t>
      </w:r>
    </w:p>
    <w:p>
      <w:pPr>
        <w:spacing w:after="180" w:before="360"/>
      </w:pPr>
      <w:r>
        <w:rPr>
          <w:rFonts w:ascii="微軟正黑體" w:cs="微軟正黑體" w:eastAsia="微軟正黑體" w:hAnsi="微軟正黑體"/>
          <w:b/>
          <w:bCs/>
          <w:color w:val="1F4E79"/>
          <w:sz w:val="26"/>
          <w:szCs w:val="26"/>
        </w:rPr>
        <w:t xml:space="preserve">題目一（A級基本題·模擬命題）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而是依本章第二節母體教材「Lowi四政策類型與Wilson四政治類型」自行設計之模擬命題。本語料庫（107-111年）中，本章尚未查得完全對應一般行政類科且直接對應本章理論架構之申論真題，爰以模擬題形式呈現，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請說明洛威（Lowi）與薩利斯伯里（Salisbury）之四種政策類型及其賽局性質，並運用威爾遜（Wilson）四種政治類型之成本利益邏輯，分析管制性政策為何在政治過程中最容易遭遇強烈抗拒？請以我國一項具體管制政策為例說明。（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理論闡釋＋原因分析＋案例應用題」，考生須依序完成：說明Lowi四政策類型、說明Wilson四政治類型並解釋管制性政策抗拒原因、以具體案例佐證——僅背誦兩套類型學而未扣連「為何管制性政策易遭抗拒」此一核心提問，屬於論述不完整。</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Lowi四政策類型 ＋ Wilson四政治類型 ＋ 管制性政策抗拒原因 ＋ 我國具體案例。</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一、前言：政策類型學與政治動力分析之關聯</w:t>
      </w:r>
    </w:p>
    <w:p>
      <w:pPr>
        <w:pStyle w:val="ListParagraph"/>
        <w:numPr>
          <w:ilvl w:val="0"/>
          <w:numId w:val="2"/>
        </w:numPr>
        <w:spacing w:after="120" w:line="340"/>
      </w:pPr>
      <w:r>
        <w:rPr>
          <w:rFonts w:ascii="微軟正黑體" w:cs="微軟正黑體" w:eastAsia="微軟正黑體" w:hAnsi="微軟正黑體"/>
          <w:sz w:val="22"/>
          <w:szCs w:val="22"/>
        </w:rPr>
        <w:t xml:space="preserve">二、Lowi四政策類型及其賽局性質</w:t>
      </w:r>
    </w:p>
    <w:p>
      <w:pPr>
        <w:pStyle w:val="ListParagraph"/>
        <w:numPr>
          <w:ilvl w:val="0"/>
          <w:numId w:val="2"/>
        </w:numPr>
        <w:spacing w:after="120" w:line="340"/>
      </w:pPr>
      <w:r>
        <w:rPr>
          <w:rFonts w:ascii="微軟正黑體" w:cs="微軟正黑體" w:eastAsia="微軟正黑體" w:hAnsi="微軟正黑體"/>
          <w:sz w:val="22"/>
          <w:szCs w:val="22"/>
        </w:rPr>
        <w:t xml:space="preserve">三、Wilson四政治類型與管制性政策抗拒之成本利益邏輯</w:t>
      </w:r>
    </w:p>
    <w:p>
      <w:pPr>
        <w:pStyle w:val="ListParagraph"/>
        <w:numPr>
          <w:ilvl w:val="0"/>
          <w:numId w:val="2"/>
        </w:numPr>
        <w:spacing w:after="120" w:line="340"/>
      </w:pPr>
      <w:r>
        <w:rPr>
          <w:rFonts w:ascii="微軟正黑體" w:cs="微軟正黑體" w:eastAsia="微軟正黑體" w:hAnsi="微軟正黑體"/>
          <w:sz w:val="22"/>
          <w:szCs w:val="22"/>
        </w:rPr>
        <w:t xml:space="preserve">四、我國具體案例應用</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【參考答案·基本得分版】（約500-700字，考場時間不夠時至少拿到基本分）</w:t>
      </w:r>
    </w:p>
    <w:p>
      <w:pPr>
        <w:spacing w:after="200" w:line="360"/>
        <w:ind w:firstLine="431"/>
        <w:jc w:val="both"/>
      </w:pPr>
      <w:r>
        <w:rPr>
          <w:rFonts w:ascii="微軟正黑體" w:cs="微軟正黑體" w:eastAsia="微軟正黑體" w:hAnsi="微軟正黑體"/>
          <w:sz w:val="22"/>
          <w:szCs w:val="22"/>
        </w:rPr>
        <w:t xml:space="preserve">洛威與薩利斯伯里依強制性與標的人口性質，將政策分為四類：分配性政策（非零和，成本分散利益集中）、管制性政策（零和，規範集中對象）、重分配性政策（零和，甲之所得為乙之所失）、自我管制性政策（非零和，原則規範加自主）。</w:t>
      </w:r>
    </w:p>
    <w:p>
      <w:pPr>
        <w:spacing w:after="200" w:line="360"/>
        <w:ind w:firstLine="431"/>
        <w:jc w:val="both"/>
      </w:pPr>
      <w:r>
        <w:rPr>
          <w:rFonts w:ascii="微軟正黑體" w:cs="微軟正黑體" w:eastAsia="微軟正黑體" w:hAnsi="微軟正黑體"/>
          <w:sz w:val="22"/>
          <w:szCs w:val="22"/>
        </w:rPr>
        <w:t xml:space="preserve">威爾遜則從成本利益是否集中，區分四種政治類型：多數人型（分散分散）、顧客型（分散集中）、企業家型（集中分散）、利益團體型（集中集中）。管制性政策之所以在政治過程中最容易遭遇強烈抗拒，是因為其屬於「成本集中」之政策，受管制之特定業者將承擔明確且集中之成本，具強烈誘因激烈遊說反對；而受益之社會大眾因利益分散，個別誘因低，容易搭便車而冷漠不發聲，形成典型之企業家型或利益團體型政治對抗格局。</w:t>
      </w:r>
    </w:p>
    <w:p>
      <w:pPr>
        <w:spacing w:after="200" w:line="360"/>
        <w:ind w:firstLine="431"/>
        <w:jc w:val="both"/>
      </w:pPr>
      <w:r>
        <w:rPr>
          <w:rFonts w:ascii="微軟正黑體" w:cs="微軟正黑體" w:eastAsia="微軟正黑體" w:hAnsi="微軟正黑體"/>
          <w:sz w:val="22"/>
          <w:szCs w:val="22"/>
        </w:rPr>
        <w:t xml:space="preserve">以我國Uber納管政策為例，Uber業者（成本集中承擔者）強力遊說反對納管，而受益之乘客與計程車業者則呈現不同動員強度，最終歷經多年政治角力，方以「多元化計程車」與「Uber條款」收場，正是管制性政策抗拒歷程之具體寫照。</w:t>
      </w:r>
    </w:p>
    <w:p>
      <w:pPr>
        <w:spacing w:after="100" w:before="160"/>
      </w:pPr>
      <w:r>
        <w:rPr>
          <w:rFonts w:ascii="微軟正黑體" w:cs="微軟正黑體" w:eastAsia="微軟正黑體" w:hAnsi="微軟正黑體"/>
          <w:b/>
          <w:bCs/>
          <w:color w:val="444444"/>
          <w:sz w:val="21"/>
          <w:szCs w:val="21"/>
        </w:rPr>
        <w:t xml:space="preserve">【參考答案·標準版】（約1,150-1,400字，主要示範答案）</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政策類型學是理解政策政治動力之重要分析工具，洛威（Lowi）與威爾遜（Wilson）分別從「政策性質」與「成本利益分配」兩個角度，提供互補之分析架構，兩者結合方能完整解釋為何某些政策類型（尤其是管制性政策）在政治過程中特別容易遭遇強烈抗拒。</w:t>
      </w:r>
    </w:p>
    <w:p>
      <w:pPr>
        <w:spacing w:after="200" w:line="360"/>
        <w:ind w:firstLine="431"/>
        <w:jc w:val="both"/>
      </w:pPr>
      <w:r>
        <w:rPr>
          <w:rFonts w:ascii="微軟正黑體" w:cs="微軟正黑體" w:eastAsia="微軟正黑體" w:hAnsi="微軟正黑體"/>
          <w:sz w:val="22"/>
          <w:szCs w:val="22"/>
        </w:rPr>
        <w:t xml:space="preserve">二、Lowi四政策類型及其賽局性質</w:t>
      </w:r>
    </w:p>
    <w:p>
      <w:pPr>
        <w:spacing w:after="200" w:line="360"/>
        <w:ind w:firstLine="431"/>
        <w:jc w:val="both"/>
      </w:pPr>
      <w:r>
        <w:rPr>
          <w:rFonts w:ascii="微軟正黑體" w:cs="微軟正黑體" w:eastAsia="微軟正黑體" w:hAnsi="微軟正黑體"/>
          <w:sz w:val="22"/>
          <w:szCs w:val="22"/>
        </w:rPr>
        <w:t xml:space="preserve">洛威與薩利斯伯里依強制性與標的人口性質，將政策分為四型：其一，分配性政策，政府將利益或服務直接分配給標的人口，成本由全民分散負擔，屬非零和賽局，政治過程較無衝突，國會多以包裹、互惠方式通過，如社會福利津貼、公共建設，惟此類型易產生滾木與肉桶行為；其二，管制性政策，政府設立特定規則，限制或要求特定標的人口之行為，屬零和賽局，執行常遭抗拒，如環保標準、交通管制；其三，重分配性政策，將某一標的人口之所得、財產或權利轉移給另一標的人口，屬零和賽局，涉及階級與價值重分配，衝突最高，如累進稅、全民健保；其四，自我管制性政策，政府僅訂原則性規範，授權標的團體自行訂定細節與執行，屬非零和，如大學自治、公會自律。</w:t>
      </w:r>
    </w:p>
    <w:p>
      <w:pPr>
        <w:spacing w:after="200" w:line="360"/>
        <w:ind w:firstLine="431"/>
        <w:jc w:val="both"/>
      </w:pPr>
      <w:r>
        <w:rPr>
          <w:rFonts w:ascii="微軟正黑體" w:cs="微軟正黑體" w:eastAsia="微軟正黑體" w:hAnsi="微軟正黑體"/>
          <w:sz w:val="22"/>
          <w:szCs w:val="22"/>
        </w:rPr>
        <w:t xml:space="preserve">三、Wilson四政治類型與管制性政策抗拒之成本利益邏輯</w:t>
      </w:r>
    </w:p>
    <w:p>
      <w:pPr>
        <w:spacing w:after="200" w:line="360"/>
        <w:ind w:firstLine="431"/>
        <w:jc w:val="both"/>
      </w:pPr>
      <w:r>
        <w:rPr>
          <w:rFonts w:ascii="微軟正黑體" w:cs="微軟正黑體" w:eastAsia="微軟正黑體" w:hAnsi="微軟正黑體"/>
          <w:sz w:val="22"/>
          <w:szCs w:val="22"/>
        </w:rPr>
        <w:t xml:space="preserve">威爾遜從成本與利益是集中抑或分散，提出四種政治互動類型：多數人型政治（成本分散、利益分散，全民關切但誘因低，須靠企業家與媒體動員）、顧客型政治（成本分散、利益集中，利益團體極力爭取、全民冷漠，易成肉桶）、企業家型政治（成本集中、利益分散，公益企業家訴諸全民，挑戰特定業者）、利益團體型政治（成本集中、利益集中，雙方高度動員，衝突對抗）。管制性政策之所以在政治過程中最容易遭遇強烈抗拒，關鍵在於其成本結構往往呈現「集中」特徵——受管制之特定業者將承擔明確、可預期且集中之經濟成本（如合規成本、業務限制），具有極強誘因組織動員、投入遊說資源激烈反對；反觀管制政策之受益者（社會大眾、環境、消費者），其利益雖然存在，卻往往分散於廣大人口，個別獲益有限，導致個人參與監督或倡議之誘因低落，容易產生「搭便車」心態而集體冷漠不發聲。此一「成本集中、利益分散」之不對稱結構，正是企業家型政治或利益團體型政治格局形成之根源，也解釋了為何管制性政策之推動，往往仰賴具備高道德感召力之政策企業家（如媒體、學者、NGO），透過持續之議題框架化工作，才能突破受管制業者之強力抗拒。</w:t>
      </w:r>
    </w:p>
    <w:p>
      <w:pPr>
        <w:spacing w:after="200" w:line="360"/>
        <w:ind w:firstLine="431"/>
        <w:jc w:val="both"/>
      </w:pPr>
      <w:r>
        <w:rPr>
          <w:rFonts w:ascii="微軟正黑體" w:cs="微軟正黑體" w:eastAsia="微軟正黑體" w:hAnsi="微軟正黑體"/>
          <w:sz w:val="22"/>
          <w:szCs w:val="22"/>
        </w:rPr>
        <w:t xml:space="preserve">四、我國具體案例應用</w:t>
      </w:r>
    </w:p>
    <w:p>
      <w:pPr>
        <w:spacing w:after="200" w:line="360"/>
        <w:ind w:firstLine="431"/>
        <w:jc w:val="both"/>
      </w:pPr>
      <w:r>
        <w:rPr>
          <w:rFonts w:ascii="微軟正黑體" w:cs="微軟正黑體" w:eastAsia="微軟正黑體" w:hAnsi="微軟正黑體"/>
          <w:sz w:val="22"/>
          <w:szCs w:val="22"/>
        </w:rPr>
        <w:t xml:space="preserve">以我國Uber納管政策為例：Uber自2013年進入台灣以來，計程車業者（受管制政策直接衝擊之既有利益者）與Uber業者（新進入市場之抗拒管制者）雙方皆高度動員，形成典型之利益團體型政治對抗；而政府則歷經遏阻（開罰）、放任、到促使問題發生（推動「多元化計程車」與「Uber條款」納管）之態度轉變，最終以合作賽局收場。此案例同時展現管制性政策（如何規範新型態運輸服務）與利益團體型政治（雙方陣營皆高度組織動員）交織之複雜政治動力。</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Lowi與Wilson之政策類型學提供互補視角：Lowi說明「政策本身的性質」，Wilson說明「政策背後的政治動力」；管制性政策之所以特別容易遭遇強烈抗拒，根源在於其成本集中、利益分散之結構特徵，唯有透過政策企業家之積極框架化工作，方能突破受管制者之強力遊說，推動管制政策順利通過與落實。</w:t>
      </w:r>
    </w:p>
    <w:p>
      <w:pPr>
        <w:spacing w:after="100" w:before="160"/>
      </w:pPr>
      <w:r>
        <w:rPr>
          <w:rFonts w:ascii="微軟正黑體" w:cs="微軟正黑體" w:eastAsia="微軟正黑體" w:hAnsi="微軟正黑體"/>
          <w:b/>
          <w:bCs/>
          <w:color w:val="444444"/>
          <w:sz w:val="21"/>
          <w:szCs w:val="21"/>
        </w:rPr>
        <w:t xml:space="preserve">【參考答案·高分版補充】（在標準版基礎上，加入學者、比較、批判、當代案例、AI治理、臺灣實務）</w:t>
      </w:r>
    </w:p>
    <w:p>
      <w:pPr>
        <w:pStyle w:val="ListParagraph"/>
        <w:numPr>
          <w:ilvl w:val="0"/>
          <w:numId w:val="2"/>
        </w:numPr>
        <w:spacing w:after="120" w:line="340"/>
      </w:pPr>
      <w:r>
        <w:rPr>
          <w:rFonts w:ascii="微軟正黑體" w:cs="微軟正黑體" w:eastAsia="微軟正黑體" w:hAnsi="微軟正黑體"/>
          <w:sz w:val="22"/>
          <w:szCs w:val="22"/>
        </w:rPr>
        <w:t xml:space="preserve">補充理論深化：可指出重分配性政策同屬零和賽局，衝突程度甚至高於管制性政策（因涉及階級與價值重分配），可與管制性政策進行比較分析，展現對Lowi四類型細緻差異之掌握。</w:t>
      </w:r>
    </w:p>
    <w:p>
      <w:pPr>
        <w:pStyle w:val="ListParagraph"/>
        <w:numPr>
          <w:ilvl w:val="0"/>
          <w:numId w:val="2"/>
        </w:numPr>
        <w:spacing w:after="120" w:line="340"/>
      </w:pPr>
      <w:r>
        <w:rPr>
          <w:rFonts w:ascii="微軟正黑體" w:cs="微軟正黑體" w:eastAsia="微軟正黑體" w:hAnsi="微軟正黑體"/>
          <w:sz w:val="22"/>
          <w:szCs w:val="22"/>
        </w:rPr>
        <w:t xml:space="preserve">補充當代批判：可引入沉默輸家（silent loser）理論，說明管制性政策之受益者（分散大眾）往往正是政策分析所稱之沉默輸家，其組織成本遠高於受管制業者之遊說成本，致政策議程長期失衡，此為理解管制政策抗拒現象之深層結構原因。</w:t>
      </w:r>
    </w:p>
    <w:p>
      <w:pPr>
        <w:pStyle w:val="ListParagraph"/>
        <w:numPr>
          <w:ilvl w:val="0"/>
          <w:numId w:val="2"/>
        </w:numPr>
        <w:spacing w:after="120" w:line="340"/>
      </w:pPr>
      <w:r>
        <w:rPr>
          <w:rFonts w:ascii="微軟正黑體" w:cs="微軟正黑體" w:eastAsia="微軟正黑體" w:hAnsi="微軟正黑體"/>
          <w:sz w:val="22"/>
          <w:szCs w:val="22"/>
        </w:rPr>
        <w:t xml:space="preserve">補充AI治理視角：可延伸說明，當代管制性政策已進一步升級為「演算法管制政策」（如歐盟DMA/DSA），管制對象從「人」擴及「演算系統」本身，平台業者（成本集中承擔者）之遊說抗拒模式與傳統管制性政策相似，惟技術複雜性使政府監理能力面臨更嚴峻挑戰。</w:t>
      </w:r>
    </w:p>
    <w:p>
      <w:pPr>
        <w:pStyle w:val="ListParagraph"/>
        <w:numPr>
          <w:ilvl w:val="0"/>
          <w:numId w:val="2"/>
        </w:numPr>
        <w:spacing w:after="120" w:line="340"/>
      </w:pPr>
      <w:r>
        <w:rPr>
          <w:rFonts w:ascii="微軟正黑體" w:cs="微軟正黑體" w:eastAsia="微軟正黑體" w:hAnsi="微軟正黑體"/>
          <w:sz w:val="22"/>
          <w:szCs w:val="22"/>
        </w:rPr>
        <w:t xml:space="preserve">補充臺灣行政實務案例：可具體舉出我國外送平台演算法管制、環保署空污管制標準等案例，並比較不同管制政策在成本集中程度上之差異，展現多案例對照之分析深度。</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須同時完整說明Lowi四類型與Wilson四類型，並清楚呈現兩套架構之互補關係，不可僅背誦其中一套理論。</w:t>
      </w:r>
    </w:p>
    <w:p>
      <w:pPr>
        <w:pStyle w:val="ListParagraph"/>
        <w:numPr>
          <w:ilvl w:val="0"/>
          <w:numId w:val="2"/>
        </w:numPr>
        <w:spacing w:after="120" w:line="340"/>
      </w:pPr>
      <w:r>
        <w:rPr>
          <w:rFonts w:ascii="微軟正黑體" w:cs="微軟正黑體" w:eastAsia="微軟正黑體" w:hAnsi="微軟正黑體"/>
          <w:sz w:val="22"/>
          <w:szCs w:val="22"/>
        </w:rPr>
        <w:t xml:space="preserve">須具體扣連「成本集中、利益分散」此一核心邏輯，解釋管制性政策為何特別容易遭遇強烈抗拒，不可僅籠統稱「管制政策比較難推動」。</w:t>
      </w:r>
    </w:p>
    <w:p>
      <w:pPr>
        <w:pStyle w:val="ListParagraph"/>
        <w:numPr>
          <w:ilvl w:val="0"/>
          <w:numId w:val="2"/>
        </w:numPr>
        <w:spacing w:after="120" w:line="340"/>
      </w:pPr>
      <w:r>
        <w:rPr>
          <w:rFonts w:ascii="微軟正黑體" w:cs="微軟正黑體" w:eastAsia="微軟正黑體" w:hAnsi="微軟正黑體"/>
          <w:sz w:val="22"/>
          <w:szCs w:val="22"/>
        </w:rPr>
        <w:t xml:space="preserve">案例應用須具體且能呼應前述理論分析，不可流於片面政策描述。</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僅背誦Lowi或Wilson其中一套類型學，未能整合兩套架構回應題目核心提問。</w:t>
      </w:r>
    </w:p>
    <w:p>
      <w:pPr>
        <w:pStyle w:val="ListParagraph"/>
        <w:numPr>
          <w:ilvl w:val="0"/>
          <w:numId w:val="2"/>
        </w:numPr>
        <w:spacing w:after="120" w:line="340"/>
      </w:pPr>
      <w:r>
        <w:rPr>
          <w:rFonts w:ascii="微軟正黑體" w:cs="微軟正黑體" w:eastAsia="微軟正黑體" w:hAnsi="微軟正黑體"/>
          <w:sz w:val="22"/>
          <w:szCs w:val="22"/>
        </w:rPr>
        <w:t xml:space="preserve">❌ 未能具體解釋管制性政策抗拒之成本利益結構原因，僅籠統陳述「管制政策比較有爭議」。</w:t>
      </w:r>
    </w:p>
    <w:p>
      <w:pPr>
        <w:pStyle w:val="ListParagraph"/>
        <w:numPr>
          <w:ilvl w:val="0"/>
          <w:numId w:val="2"/>
        </w:numPr>
        <w:spacing w:after="120" w:line="340"/>
      </w:pPr>
      <w:r>
        <w:rPr>
          <w:rFonts w:ascii="微軟正黑體" w:cs="微軟正黑體" w:eastAsia="微軟正黑體" w:hAnsi="微軟正黑體"/>
          <w:sz w:val="22"/>
          <w:szCs w:val="22"/>
        </w:rPr>
        <w:t xml:space="preserve">❌ 案例應用與理論分析脫節，僅描述案例始末而未扣連Lowi或Wilson架構。</w:t>
      </w:r>
    </w:p>
    <w:p>
      <w:pPr>
        <w:spacing w:after="220"/>
      </w:pPr>
    </w:p>
    <w:p>
      <w:pPr>
        <w:spacing w:after="180" w:before="360"/>
      </w:pPr>
      <w:r>
        <w:rPr>
          <w:rFonts w:ascii="微軟正黑體" w:cs="微軟正黑體" w:eastAsia="微軟正黑體" w:hAnsi="微軟正黑體"/>
          <w:b/>
          <w:bCs/>
          <w:color w:val="1F4E79"/>
          <w:sz w:val="26"/>
          <w:szCs w:val="26"/>
        </w:rPr>
        <w:t xml:space="preserve">題目二（B級比較題·模擬命題）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而是依本章第三節母體教材「市場失靈四類型與政策工具六類型」自行設計之模擬命題。本語料庫（107-111年）中，本章尚未查得完全對應一般行政類科之申論真題，爰以模擬題形式呈現，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「請說明市場失靈之意涵與傳統四種類型，並說明政府政策工具之基本類型有那些？請以我國一項具體公共政策為例，說明政府如何運用政策工具矯正市場失靈。（25分）」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概念闡釋＋類型列舉＋案例應用題」，考生須依序完成：說明市場失靈意涵與四類型、說明政策工具六類型、以具體案例說明工具如何矯正失靈——僅列舉市場失靈類型或政策工具類型而未扣連具體案例應用，屬於論述不完整。</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市場失靈 ＋ 四類型 ＋ 政策工具六類型 ＋ 我國具體案例應用。</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一、前言：市場失靈與政府介入之正當性</w:t>
      </w:r>
    </w:p>
    <w:p>
      <w:pPr>
        <w:pStyle w:val="ListParagraph"/>
        <w:numPr>
          <w:ilvl w:val="0"/>
          <w:numId w:val="2"/>
        </w:numPr>
        <w:spacing w:after="120" w:line="340"/>
      </w:pPr>
      <w:r>
        <w:rPr>
          <w:rFonts w:ascii="微軟正黑體" w:cs="微軟正黑體" w:eastAsia="微軟正黑體" w:hAnsi="微軟正黑體"/>
          <w:sz w:val="22"/>
          <w:szCs w:val="22"/>
        </w:rPr>
        <w:t xml:space="preserve">二、市場失靈之意涵與傳統四類型</w:t>
      </w:r>
    </w:p>
    <w:p>
      <w:pPr>
        <w:pStyle w:val="ListParagraph"/>
        <w:numPr>
          <w:ilvl w:val="0"/>
          <w:numId w:val="2"/>
        </w:numPr>
        <w:spacing w:after="120" w:line="340"/>
      </w:pPr>
      <w:r>
        <w:rPr>
          <w:rFonts w:ascii="微軟正黑體" w:cs="微軟正黑體" w:eastAsia="微軟正黑體" w:hAnsi="微軟正黑體"/>
          <w:sz w:val="22"/>
          <w:szCs w:val="22"/>
        </w:rPr>
        <w:t xml:space="preserve">三、政府政策工具之基本類型</w:t>
      </w:r>
    </w:p>
    <w:p>
      <w:pPr>
        <w:pStyle w:val="ListParagraph"/>
        <w:numPr>
          <w:ilvl w:val="0"/>
          <w:numId w:val="2"/>
        </w:numPr>
        <w:spacing w:after="120" w:line="340"/>
      </w:pPr>
      <w:r>
        <w:rPr>
          <w:rFonts w:ascii="微軟正黑體" w:cs="微軟正黑體" w:eastAsia="微軟正黑體" w:hAnsi="微軟正黑體"/>
          <w:sz w:val="22"/>
          <w:szCs w:val="22"/>
        </w:rPr>
        <w:t xml:space="preserve">四、我國具體案例：政策工具矯正市場失靈之應用</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【參考答案·標準版】（約1,150字）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市場失靈之存在，是政府介入市場運作之重要正當性基礎；然而政府介入須選用適當之政策工具，方能有效矯正失靈而不致產生新的政府失靈或政策失靈問題。</w:t>
      </w:r>
    </w:p>
    <w:p>
      <w:pPr>
        <w:spacing w:after="200" w:line="360"/>
        <w:ind w:firstLine="431"/>
        <w:jc w:val="both"/>
      </w:pPr>
      <w:r>
        <w:rPr>
          <w:rFonts w:ascii="微軟正黑體" w:cs="微軟正黑體" w:eastAsia="微軟正黑體" w:hAnsi="微軟正黑體"/>
          <w:sz w:val="22"/>
          <w:szCs w:val="22"/>
        </w:rPr>
        <w:t xml:space="preserve">二、市場失靈之意涵與傳統四類型</w:t>
      </w:r>
    </w:p>
    <w:p>
      <w:pPr>
        <w:spacing w:after="200" w:line="360"/>
        <w:ind w:firstLine="431"/>
        <w:jc w:val="both"/>
      </w:pPr>
      <w:r>
        <w:rPr>
          <w:rFonts w:ascii="微軟正黑體" w:cs="微軟正黑體" w:eastAsia="微軟正黑體" w:hAnsi="微軟正黑體"/>
          <w:sz w:val="22"/>
          <w:szCs w:val="22"/>
        </w:rPr>
        <w:t xml:space="preserve">市場失靈（market failure）指市場自由運作無法達成柏瑞圖最適，即資源配置無效率，需政府介入矯正。傳統四類為：其一，自然獨占，規模經濟極顯著，平均成本隨產量遞減，致單一廠商自然壟斷，如自來水、電網；其二，外部性，經濟主體交易行為對第三人產生非市場性影響且無法求償，負外部性如工廠排污，正外部性如教育提升公民素質；其三，公共財，具無法排他與非對立性之財貨，民間無誘因提供，如國防、路燈；其四，資訊不對稱，一方資訊顯著多於另一方，致議價不公，如二手車市場檸檬問題。</w:t>
      </w:r>
    </w:p>
    <w:p>
      <w:pPr>
        <w:spacing w:after="200" w:line="360"/>
        <w:ind w:firstLine="431"/>
        <w:jc w:val="both"/>
      </w:pPr>
      <w:r>
        <w:rPr>
          <w:rFonts w:ascii="微軟正黑體" w:cs="微軟正黑體" w:eastAsia="微軟正黑體" w:hAnsi="微軟正黑體"/>
          <w:sz w:val="22"/>
          <w:szCs w:val="22"/>
        </w:rPr>
        <w:t xml:space="preserve">三、政府政策工具之基本類型</w:t>
      </w:r>
    </w:p>
    <w:p>
      <w:pPr>
        <w:spacing w:after="200" w:line="360"/>
        <w:ind w:firstLine="431"/>
        <w:jc w:val="both"/>
      </w:pPr>
      <w:r>
        <w:rPr>
          <w:rFonts w:ascii="微軟正黑體" w:cs="微軟正黑體" w:eastAsia="微軟正黑體" w:hAnsi="微軟正黑體"/>
          <w:sz w:val="22"/>
          <w:szCs w:val="22"/>
        </w:rPr>
        <w:t xml:space="preserve">政策工具指政府為達成政策目標所選用的具體手段，基本可分六類：權威型工具（以法規、命令與強制力達成目標，如禁止、許可、標準訂定）、誘因型工具（以價格訊號調整行為誘因，如補貼、課稅）、資訊型工具（透過揭露與教育改變認知與行為，如標示、公告、宣導）、組織型工具（由政府直接提供服務或設立專責機構，如公立機構、國營事業）、自我管制與共管工具（由業者自訂行為準則，政府監督其落實，如產業公約）、能力建構工具（強化受影響者或第三方之知識與議價能力，如教育訓練、申訴管道）。</w:t>
      </w:r>
    </w:p>
    <w:p>
      <w:pPr>
        <w:spacing w:after="200" w:line="360"/>
        <w:ind w:firstLine="431"/>
        <w:jc w:val="both"/>
      </w:pPr>
      <w:r>
        <w:rPr>
          <w:rFonts w:ascii="微軟正黑體" w:cs="微軟正黑體" w:eastAsia="微軟正黑體" w:hAnsi="微軟正黑體"/>
          <w:sz w:val="22"/>
          <w:szCs w:val="22"/>
        </w:rPr>
        <w:t xml:space="preserve">四、我國具體案例：以住宅實價登錄制度為例</w:t>
      </w:r>
    </w:p>
    <w:p>
      <w:pPr>
        <w:spacing w:after="200" w:line="360"/>
        <w:ind w:firstLine="431"/>
        <w:jc w:val="both"/>
      </w:pPr>
      <w:r>
        <w:rPr>
          <w:rFonts w:ascii="微軟正黑體" w:cs="微軟正黑體" w:eastAsia="微軟正黑體" w:hAnsi="微軟正黑體"/>
          <w:sz w:val="22"/>
          <w:szCs w:val="22"/>
        </w:rPr>
        <w:t xml:space="preserve">我國住宅實價登錄制度即為政府運用資訊型政策工具矯正資訊不對稱之典型案例：在實價登錄實施前，房地產市場存在嚴重之資訊不對稱，賣方與仲介掌握之交易價格資訊遠多於買方，致議價地位不公；政府透過強制要求不動產交易案件申報實際成交價格，並將資訊公開供民眾查詢，運用資訊型工具（揭露）矯正市場失靈，提升整體市場之資訊透明度與交易效率。此外，政府亦可能搭配權威型工具（如不實申報之罰則）強化實價登錄制度之落實效果，體現政策工具包（多重工具組合）之運用邏輯。</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市場失靈四類型為政府介入市場提供了理論正當性基礎，惟政府須依失靈類型之性質，選用適當之政策工具（或工具組合）加以矯正，方能真正提升資源配置效率，而不致淪為無效或反致扭曲之政府干預。</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市場失靈四類型須逐一完整說明並各舉一例，不可僅列出名詞而無實質內容。</w:t>
      </w:r>
    </w:p>
    <w:p>
      <w:pPr>
        <w:pStyle w:val="ListParagraph"/>
        <w:numPr>
          <w:ilvl w:val="0"/>
          <w:numId w:val="2"/>
        </w:numPr>
        <w:spacing w:after="120" w:line="340"/>
      </w:pPr>
      <w:r>
        <w:rPr>
          <w:rFonts w:ascii="微軟正黑體" w:cs="微軟正黑體" w:eastAsia="微軟正黑體" w:hAnsi="微軟正黑體"/>
          <w:sz w:val="22"/>
          <w:szCs w:val="22"/>
        </w:rPr>
        <w:t xml:space="preserve">政策工具六類型須完整列舉，並清楚呈現案例中運用的是何種工具類型，展現理論與案例之精確對應。</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僅列舉市場失靈四類型名稱，未說明其機制或舉例，論述流於空泛。</w:t>
      </w:r>
    </w:p>
    <w:p>
      <w:pPr>
        <w:pStyle w:val="ListParagraph"/>
        <w:numPr>
          <w:ilvl w:val="0"/>
          <w:numId w:val="2"/>
        </w:numPr>
        <w:spacing w:after="120" w:line="340"/>
      </w:pPr>
      <w:r>
        <w:rPr>
          <w:rFonts w:ascii="微軟正黑體" w:cs="微軟正黑體" w:eastAsia="微軟正黑體" w:hAnsi="微軟正黑體"/>
          <w:sz w:val="22"/>
          <w:szCs w:val="22"/>
        </w:rPr>
        <w:t xml:space="preserve">❌ 案例應用未能具體指出所運用之政策工具類型，僅籠統描述政策內容。</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可補充引用「有效政府5R」概念，說明政策工具選擇亦須兼顧回應性、可靠性等原則，避免僅從效率角度評價工具選用之適當性。</w:t>
      </w:r>
    </w:p>
    <w:p>
      <w:pPr>
        <w:pStyle w:val="ListParagraph"/>
        <w:numPr>
          <w:ilvl w:val="0"/>
          <w:numId w:val="2"/>
        </w:numPr>
        <w:spacing w:after="120" w:line="340"/>
      </w:pPr>
      <w:r>
        <w:rPr>
          <w:rFonts w:ascii="微軟正黑體" w:cs="微軟正黑體" w:eastAsia="微軟正黑體" w:hAnsi="微軟正黑體"/>
          <w:sz w:val="22"/>
          <w:szCs w:val="22"/>
        </w:rPr>
        <w:t xml:space="preserve">可補充比較不同政策工具組合之優劣（如純粹資訊型工具vs.搭配權威型罰則之混合工具包），展現對「政策工具包」概念之深化理解。</w:t>
      </w:r>
    </w:p>
    <w:p>
      <w:pPr>
        <w:pStyle w:val="ListParagraph"/>
        <w:numPr>
          <w:ilvl w:val="0"/>
          <w:numId w:val="2"/>
        </w:numPr>
        <w:spacing w:after="120" w:line="340"/>
      </w:pPr>
      <w:r>
        <w:rPr>
          <w:rFonts w:ascii="微軟正黑體" w:cs="微軟正黑體" w:eastAsia="微軟正黑體" w:hAnsi="微軟正黑體"/>
          <w:sz w:val="22"/>
          <w:szCs w:val="22"/>
        </w:rPr>
        <w:t xml:space="preserve">可補充當代數位治理視角：說明資訊不對稱矯正工具已延伸至演算法透明化義務（呼應第四節DSA演算法透明要求），並非僅限於傳統之價格資訊揭露。</w:t>
      </w:r>
    </w:p>
    <w:p>
      <w:pPr>
        <w:pStyle w:val="ListParagraph"/>
        <w:numPr>
          <w:ilvl w:val="0"/>
          <w:numId w:val="2"/>
        </w:numPr>
        <w:spacing w:after="120" w:line="340"/>
      </w:pPr>
      <w:r>
        <w:rPr>
          <w:rFonts w:ascii="微軟正黑體" w:cs="微軟正黑體" w:eastAsia="微軟正黑體" w:hAnsi="微軟正黑體"/>
          <w:sz w:val="22"/>
          <w:szCs w:val="22"/>
        </w:rPr>
        <w:t xml:space="preserve">可補充其他臺灣案例（如空氣污染防制費、公共財之開放資料提供），展現對市場失靈四類型與政策工具搭配之廣泛掌握。</w:t>
      </w:r>
    </w:p>
    <w:p>
      <w:pPr>
        <w:spacing w:after="220"/>
      </w:pPr>
    </w:p>
    <w:p>
      <w:pPr>
        <w:spacing w:after="180" w:before="360"/>
      </w:pPr>
      <w:r>
        <w:rPr>
          <w:rFonts w:ascii="微軟正黑體" w:cs="微軟正黑體" w:eastAsia="微軟正黑體" w:hAnsi="微軟正黑體"/>
          <w:b/>
          <w:bCs/>
          <w:color w:val="1F4E79"/>
          <w:sz w:val="26"/>
          <w:szCs w:val="26"/>
        </w:rPr>
        <w:t xml:space="preserve">題目三（C級綜合題·模擬命題）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而是依本章第四節母體教材「演算法失靈作為第五種市場失靈」與「議題判斷中的權力位移」自行設計之模擬命題。本語料庫（107-111年）中，本章尚未查得與演算法失靈及沉默輸家代言人直接對應之申論真題，爰以模擬題形式呈現，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近年來平台演算法所造成之市場失靈，已非傳統四類市場失靈所能完全涵蓋。請說明『演算法失靈』之意涵與四種子類型，並運用『情境建構權』與『沉默輸家代言人』之概念，分析政府應如何強化演算法治理下之政策議程課責。（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概念闡釋＋架構應用＋政策建議題」，考生須依序完成：說明演算法失靈意涵與四子型、運用情境建構權與沉默輸家代言人概念分析政策議程課責問題、提出強化課責之政策建議——僅描述演算法失靈之現象而未扣連「政策議程課責」此一核心提問，屬於論述深度不足。</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演算法失靈 ＋ 四子型 ＋ 情境建構權 ＋ 沉默輸家代言人 ＋ 政策議程課責。</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一、前言：數位平台經濟下市場失靈理論之擴充需求</w:t>
      </w:r>
    </w:p>
    <w:p>
      <w:pPr>
        <w:pStyle w:val="ListParagraph"/>
        <w:numPr>
          <w:ilvl w:val="0"/>
          <w:numId w:val="2"/>
        </w:numPr>
        <w:spacing w:after="120" w:line="340"/>
      </w:pPr>
      <w:r>
        <w:rPr>
          <w:rFonts w:ascii="微軟正黑體" w:cs="微軟正黑體" w:eastAsia="微軟正黑體" w:hAnsi="微軟正黑體"/>
          <w:sz w:val="22"/>
          <w:szCs w:val="22"/>
        </w:rPr>
        <w:t xml:space="preserve">二、演算法失靈之意涵與四種子類型</w:t>
      </w:r>
    </w:p>
    <w:p>
      <w:pPr>
        <w:pStyle w:val="ListParagraph"/>
        <w:numPr>
          <w:ilvl w:val="0"/>
          <w:numId w:val="2"/>
        </w:numPr>
        <w:spacing w:after="120" w:line="340"/>
      </w:pPr>
      <w:r>
        <w:rPr>
          <w:rFonts w:ascii="微軟正黑體" w:cs="微軟正黑體" w:eastAsia="微軟正黑體" w:hAnsi="微軟正黑體"/>
          <w:sz w:val="22"/>
          <w:szCs w:val="22"/>
        </w:rPr>
        <w:t xml:space="preserve">三、情境建構權與沉默輸家代言人：政策議程課責之分析架構</w:t>
      </w:r>
    </w:p>
    <w:p>
      <w:pPr>
        <w:pStyle w:val="ListParagraph"/>
        <w:numPr>
          <w:ilvl w:val="0"/>
          <w:numId w:val="2"/>
        </w:numPr>
        <w:spacing w:after="120" w:line="340"/>
      </w:pPr>
      <w:r>
        <w:rPr>
          <w:rFonts w:ascii="微軟正黑體" w:cs="微軟正黑體" w:eastAsia="微軟正黑體" w:hAnsi="微軟正黑體"/>
          <w:sz w:val="22"/>
          <w:szCs w:val="22"/>
        </w:rPr>
        <w:t xml:space="preserve">四、強化演算法治理政策議程課責之政策建議</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【參考答案·標準版】（約1,300字）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傳統市場失靈四類型（自然獨占、外部性、公共財、資訊不對稱）建立於工業經濟時代之分析基礎，難以完全解釋數位平台經濟下由資料、模型與自動化決策共同形成之新型系統性問題，2020年後學界因而提出演算法失靈作為第五種市場失靈類型。</w:t>
      </w:r>
    </w:p>
    <w:p>
      <w:pPr>
        <w:spacing w:after="200" w:line="360"/>
        <w:ind w:firstLine="431"/>
        <w:jc w:val="both"/>
      </w:pPr>
      <w:r>
        <w:rPr>
          <w:rFonts w:ascii="微軟正黑體" w:cs="微軟正黑體" w:eastAsia="微軟正黑體" w:hAnsi="微軟正黑體"/>
          <w:sz w:val="22"/>
          <w:szCs w:val="22"/>
        </w:rPr>
        <w:t xml:space="preserve">二、演算法失靈之意涵與四種子類型</w:t>
      </w:r>
    </w:p>
    <w:p>
      <w:pPr>
        <w:spacing w:after="200" w:line="360"/>
        <w:ind w:firstLine="431"/>
        <w:jc w:val="both"/>
      </w:pPr>
      <w:r>
        <w:rPr>
          <w:rFonts w:ascii="微軟正黑體" w:cs="微軟正黑體" w:eastAsia="微軟正黑體" w:hAnsi="微軟正黑體"/>
          <w:sz w:val="22"/>
          <w:szCs w:val="22"/>
        </w:rPr>
        <w:t xml:space="preserve">演算法失靈（algorithmic failure）指演算法作為非人行為者，在追求平台利潤最大化過程中，系統性產生效率與公平雙重扭曲，且非單一廠商行為可矯正，包含四子型：其一，演算法共謀，演算法在未有人類明示合意下，透過機器學習自主達成價格一致性，傳統反托拉斯難以認定主觀犯意；其二，數據壟斷，平台拒絕資料可攜與互操作，築高進入障礙，形成「數據—演算—注意力」三位一體之壟斷；其三，注意力剝削，演算法系統性推送煽動、極化與成癮內容，侵蝕理性決策與心理健康；其四，歧視性定價與差別待遇，利用巨量個資與行為軌跡作一級價格歧視與演算操縱。演算法失靈並非取代傳統四類，而是補充傳統分類之複合型失靈。</w:t>
      </w:r>
    </w:p>
    <w:p>
      <w:pPr>
        <w:spacing w:after="200" w:line="360"/>
        <w:ind w:firstLine="431"/>
        <w:jc w:val="both"/>
      </w:pPr>
      <w:r>
        <w:rPr>
          <w:rFonts w:ascii="微軟正黑體" w:cs="微軟正黑體" w:eastAsia="微軟正黑體" w:hAnsi="微軟正黑體"/>
          <w:sz w:val="22"/>
          <w:szCs w:val="22"/>
        </w:rPr>
        <w:t xml:space="preserve">三、情境建構權與沉默輸家代言人：政策議程課責之分析架構</w:t>
      </w:r>
    </w:p>
    <w:p>
      <w:pPr>
        <w:spacing w:after="200" w:line="360"/>
        <w:ind w:firstLine="431"/>
        <w:jc w:val="both"/>
      </w:pPr>
      <w:r>
        <w:rPr>
          <w:rFonts w:ascii="微軟正黑體" w:cs="微軟正黑體" w:eastAsia="微軟正黑體" w:hAnsi="微軟正黑體"/>
          <w:sz w:val="22"/>
          <w:szCs w:val="22"/>
        </w:rPr>
        <w:t xml:space="preserve">運用情境建構權（P1）架構分析，可發現：過去公共問題之所以「被看見」，取決於政務官、民意代表或媒體之框架化工作；然而在演算法失靈脈絡下，問題是否「有問題性」，可能先由訓練資料之完整性、標註者之偏見與模型之特徵工程所前置決定——如外送平台之派單演算法若將「準時率」設為唯一優化目標，交通安全與過勞風險便可能從一開始就不被系統認定為需要處理的問題，此即情境建構權之技術性前置。另一方面，演算法失靈之受害者（沉默輸家）具有分散、隱形、自責化三項結構特徵：分散指受害人數眾多但多無組織；隱形指受害者不知自己正受到差別待遇；自責化指受害者誤將系統性剝削歸咎於自身能力不足。沉默輸家之組織成本遠高於平台之遊說成本，致利益團體型政治中輸家不出聲，政府若僅回應喧鬧之組織聲音，將系統性低估演算法損害，此即政策議程失衡之根本結構原因。</w:t>
      </w:r>
    </w:p>
    <w:p>
      <w:pPr>
        <w:spacing w:after="200" w:line="360"/>
        <w:ind w:firstLine="431"/>
        <w:jc w:val="both"/>
      </w:pPr>
      <w:r>
        <w:rPr>
          <w:rFonts w:ascii="微軟正黑體" w:cs="微軟正黑體" w:eastAsia="微軟正黑體" w:hAnsi="微軟正黑體"/>
          <w:sz w:val="22"/>
          <w:szCs w:val="22"/>
        </w:rPr>
        <w:t xml:space="preserve">四、強化演算法治理政策議程課責之政策建議</w:t>
      </w:r>
    </w:p>
    <w:p>
      <w:pPr>
        <w:pStyle w:val="ListParagraph"/>
        <w:numPr>
          <w:ilvl w:val="0"/>
          <w:numId w:val="2"/>
        </w:numPr>
        <w:spacing w:after="120" w:line="340"/>
      </w:pPr>
      <w:r>
        <w:rPr>
          <w:rFonts w:ascii="微軟正黑體" w:cs="微軟正黑體" w:eastAsia="微軟正黑體" w:hAnsi="微軟正黑體"/>
          <w:sz w:val="22"/>
          <w:szCs w:val="22"/>
        </w:rPr>
        <w:t xml:space="preserve">（一）建立「沉默輸家代言人」之制度化角色，如透過勞動部、消保處等機關主動委託第三方研究，代替分散受害者發聲，彌補其組織動員能力之不足。</w:t>
      </w:r>
    </w:p>
    <w:p>
      <w:pPr>
        <w:pStyle w:val="ListParagraph"/>
        <w:numPr>
          <w:ilvl w:val="0"/>
          <w:numId w:val="2"/>
        </w:numPr>
        <w:spacing w:after="120" w:line="340"/>
      </w:pPr>
      <w:r>
        <w:rPr>
          <w:rFonts w:ascii="微軟正黑體" w:cs="微軟正黑體" w:eastAsia="微軟正黑體" w:hAnsi="微軟正黑體"/>
          <w:sz w:val="22"/>
          <w:szCs w:val="22"/>
        </w:rPr>
        <w:t xml:space="preserve">（二）要求平台揭露演算法之基本邏輯與訓練資料特徵選擇原則，強化情境建構權之透明度，使問題界定過程可被回溯與質疑。</w:t>
      </w:r>
    </w:p>
    <w:p>
      <w:pPr>
        <w:pStyle w:val="ListParagraph"/>
        <w:numPr>
          <w:ilvl w:val="0"/>
          <w:numId w:val="2"/>
        </w:numPr>
        <w:spacing w:after="120" w:line="340"/>
      </w:pPr>
      <w:r>
        <w:rPr>
          <w:rFonts w:ascii="微軟正黑體" w:cs="微軟正黑體" w:eastAsia="微軟正黑體" w:hAnsi="微軟正黑體"/>
          <w:sz w:val="22"/>
          <w:szCs w:val="22"/>
        </w:rPr>
        <w:t xml:space="preserve">（三）建立演算法影響評估（AIA）之強制申報機制，於系統上線前即檢視其可能造成之系統性偏誤與弱勢排除效果。</w:t>
      </w:r>
    </w:p>
    <w:p>
      <w:pPr>
        <w:pStyle w:val="ListParagraph"/>
        <w:numPr>
          <w:ilvl w:val="0"/>
          <w:numId w:val="2"/>
        </w:numPr>
        <w:spacing w:after="120" w:line="340"/>
      </w:pPr>
      <w:r>
        <w:rPr>
          <w:rFonts w:ascii="微軟正黑體" w:cs="微軟正黑體" w:eastAsia="微軟正黑體" w:hAnsi="微軟正黑體"/>
          <w:sz w:val="22"/>
          <w:szCs w:val="22"/>
        </w:rPr>
        <w:t xml:space="preserve">（四）參考歐盟DMA／DSA模式，對超大型平台課予系統性風險評估、獨立稽核與資料可攜義務，並建立跨部會（公平會、數位發展部、勞動部、消保處）之平台經濟專案協調機制。</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演算法失靈作為第五種市場失靈之提出，揭示了數位時代政策議程設定過程之新型權力結構——當技術系統搶先一步框定問題邊界，傳統仰賴政治動員之議程設定機制便可能系統性忽略分散、隱形之受害者。唯有將沉默輸家代言人予以制度化，並強化情境建構過程之透明度與可課責性，方能使演算法治理下之政策議程真正回應「回應性」與「代表性」之有效政府核心價值。</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演算法失靈四子型須逐一完整說明，不可僅籠統稱「演算法有問題」，並須點出其與傳統市場失靈四類之補充關係（而非取代關係）。</w:t>
      </w:r>
    </w:p>
    <w:p>
      <w:pPr>
        <w:pStyle w:val="ListParagraph"/>
        <w:numPr>
          <w:ilvl w:val="0"/>
          <w:numId w:val="2"/>
        </w:numPr>
        <w:spacing w:after="120" w:line="340"/>
      </w:pPr>
      <w:r>
        <w:rPr>
          <w:rFonts w:ascii="微軟正黑體" w:cs="微軟正黑體" w:eastAsia="微軟正黑體" w:hAnsi="微軟正黑體"/>
          <w:sz w:val="22"/>
          <w:szCs w:val="22"/>
        </w:rPr>
        <w:t xml:space="preserve">須具體運用「情境建構權」與「沉默輸家代言人」兩項概念分析政策議程課責問題，並清楚說明兩者之間的邏輯關聯，不可分別堆砌兩個名詞而未整合論述。</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僅描述平台演算法之負面現象（如外送員過勞、消費者被差別定價），未扣連「演算法失靈」四子型或「情境建構權」等本章專屬學理架構。</w:t>
      </w:r>
    </w:p>
    <w:p>
      <w:pPr>
        <w:pStyle w:val="ListParagraph"/>
        <w:numPr>
          <w:ilvl w:val="0"/>
          <w:numId w:val="2"/>
        </w:numPr>
        <w:spacing w:after="120" w:line="340"/>
      </w:pPr>
      <w:r>
        <w:rPr>
          <w:rFonts w:ascii="微軟正黑體" w:cs="微軟正黑體" w:eastAsia="微軟正黑體" w:hAnsi="微軟正黑體"/>
          <w:sz w:val="22"/>
          <w:szCs w:val="22"/>
        </w:rPr>
        <w:t xml:space="preserve">❌ 政策建議與前述理論分析脫節，僅重複「政府應加強監管演算法」等空泛立場，未具體對應情境建構權或沉默輸家代言人之分析。</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可補充「三種結構性效應」（跨格移動、邊界消解、權威重構）之概念，說明原屬政策體系／社會層級之公眾論辯，因技術系統之框定，下沉為管理運作層級之資料異常偵測，深化情境建構權分析之理論層次。</w:t>
      </w:r>
    </w:p>
    <w:p>
      <w:pPr>
        <w:pStyle w:val="ListParagraph"/>
        <w:numPr>
          <w:ilvl w:val="0"/>
          <w:numId w:val="2"/>
        </w:numPr>
        <w:spacing w:after="120" w:line="340"/>
      </w:pPr>
      <w:r>
        <w:rPr>
          <w:rFonts w:ascii="微軟正黑體" w:cs="微軟正黑體" w:eastAsia="微軟正黑體" w:hAnsi="微軟正黑體"/>
          <w:sz w:val="22"/>
          <w:szCs w:val="22"/>
        </w:rPr>
        <w:t xml:space="preserve">可補充環保署空污AI歸因系統案例，說明情境建構權移轉未必發生在爭議性最高之平台經濟領域，也可能發生在看似中立之環境監測系統之中，展現案例廣度。</w:t>
      </w:r>
    </w:p>
    <w:p>
      <w:pPr>
        <w:pStyle w:val="ListParagraph"/>
        <w:numPr>
          <w:ilvl w:val="0"/>
          <w:numId w:val="2"/>
        </w:numPr>
        <w:spacing w:after="120" w:line="340"/>
      </w:pPr>
      <w:r>
        <w:rPr>
          <w:rFonts w:ascii="微軟正黑體" w:cs="微軟正黑體" w:eastAsia="微軟正黑體" w:hAnsi="微軟正黑體"/>
          <w:sz w:val="22"/>
          <w:szCs w:val="22"/>
        </w:rPr>
        <w:t xml:space="preserve">可補充Weimer &amp; Vining原始三類型（客觀技術者、主顧擁護者、議題倡議者）與本書擴充之演算審計者、沉默輸家代言人之完整脈絡，說明政策分析者角色如何隨AI時代演進而擴充。</w:t>
      </w:r>
    </w:p>
    <w:p>
      <w:pPr>
        <w:pStyle w:val="ListParagraph"/>
        <w:numPr>
          <w:ilvl w:val="0"/>
          <w:numId w:val="2"/>
        </w:numPr>
        <w:spacing w:after="120" w:line="340"/>
      </w:pPr>
      <w:r>
        <w:rPr>
          <w:rFonts w:ascii="微軟正黑體" w:cs="微軟正黑體" w:eastAsia="微軟正黑體" w:hAnsi="微軟正黑體"/>
          <w:sz w:val="22"/>
          <w:szCs w:val="22"/>
        </w:rPr>
        <w:t xml:space="preserve">可補充四條治理鏈與七項治理審計架構，具體指出情境建構鏈之「框定缺口」須以資料代表性審計與民主課責審計因應，強化答案之制度分析完整度。</w:t>
      </w:r>
    </w:p>
    <w:p>
      <w:pPr>
        <w:spacing w:after="260"/>
      </w:pPr>
    </w:p>
    <w:p>
      <w:pPr>
        <w:spacing w:after="200" w:before="400"/>
      </w:pPr>
      <w:r>
        <w:rPr>
          <w:rFonts w:ascii="微軟正黑體" w:cs="微軟正黑體" w:eastAsia="微軟正黑體" w:hAnsi="微軟正黑體"/>
          <w:b/>
          <w:bCs/>
          <w:sz w:val="32"/>
          <w:szCs w:val="32"/>
        </w:rPr>
        <w:t xml:space="preserve">【歷屆試題】</w:t>
      </w:r>
    </w:p>
    <w:p>
      <w:pPr>
        <w:spacing w:after="200" w:line="360"/>
        <w:ind w:firstLine="431"/>
        <w:jc w:val="both"/>
      </w:pPr>
      <w:r>
        <w:rPr>
          <w:rFonts w:ascii="微軟正黑體" w:cs="微軟正黑體" w:eastAsia="微軟正黑體" w:hAnsi="微軟正黑體"/>
          <w:sz w:val="22"/>
          <w:szCs w:val="22"/>
        </w:rPr>
        <w:t xml:space="preserve">本章語料庫涵蓋107-111年5個年度之考選部官方公告試題（行政學／行政學概要科目），經逐題比對，尚未查得與本章「問題界定、Lowi與Wilson政策類型、市場失靈與演算法失靈」理論脈絡直接對應且完全符合一般行政類科之申論真題。本章【申論解題】三題均為模擬命題，已於各題「考題出處（重要說明）」欄位明確標示。建議讀者另行參閱112年以後之最新年度考古題，留意是否出現與Lowi/Wilson政策類型、市場失靈、演算法治理相關之新興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1600"/>
        <w:gridCol w:w="1000"/>
        <w:gridCol w:w="2626"/>
        <w:gridCol w:w="1200"/>
      </w:tblGrid>
      <w:tr>
        <w:trPr>
          <w:tblHeader/>
        </w:trPr>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年度／考試</w:t>
            </w:r>
          </w:p>
        </w:tc>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類科</w:t>
            </w:r>
          </w:p>
        </w:tc>
        <w:tc>
          <w:tcPr>
            <w:tcW w:type="dxa" w:w="10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難度</w:t>
            </w:r>
          </w:p>
        </w:tc>
        <w:tc>
          <w:tcPr>
            <w:tcW w:type="dxa" w:w="26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考點</w:t>
            </w:r>
          </w:p>
        </w:tc>
        <w:tc>
          <w:tcPr>
            <w:tcW w:type="dxa" w:w="1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查證狀態</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（本章無對應真題）</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w:t>
            </w:r>
          </w:p>
        </w:tc>
        <w:tc>
          <w:tcPr>
            <w:tcW w:type="dxa" w:w="1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w:t>
            </w:r>
          </w:p>
        </w:tc>
        <w:tc>
          <w:tcPr>
            <w:tcW w:type="dxa" w:w="2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Lowi四政策類型、Wilson四政治類型、市場失靈四類型、演算法失靈四子型等，均為本章核心考點，惟107-111年語料庫中尚無完全對應之申論真題</w:t>
            </w:r>
          </w:p>
        </w:tc>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已逐年查證，本章暫無符合一般行政類科之歷屆真題，三題【申論解題】均為模擬命題</w:t>
            </w:r>
          </w:p>
        </w:tc>
      </w:tr>
    </w:tbl>
    <w:p>
      <w:pPr>
        <w:spacing w:after="280" w:before="120"/>
        <w:jc w:val="center"/>
      </w:pPr>
      <w:r>
        <w:rPr>
          <w:rFonts w:ascii="微軟正黑體" w:cs="微軟正黑體" w:eastAsia="微軟正黑體" w:hAnsi="微軟正黑體"/>
          <w:i/>
          <w:iCs/>
          <w:color w:val="555555"/>
          <w:sz w:val="18"/>
          <w:szCs w:val="18"/>
        </w:rPr>
        <w:t xml:space="preserve">表10-J　本章歷屆試題查證狀態</w:t>
      </w:r>
    </w:p>
    <w:p>
      <w:pPr>
        <w:spacing w:after="260"/>
      </w:pPr>
    </w:p>
    <w:p>
      <w:pPr>
        <w:spacing w:after="200" w:before="400"/>
      </w:pPr>
      <w:r>
        <w:rPr>
          <w:rFonts w:ascii="微軟正黑體" w:cs="微軟正黑體" w:eastAsia="微軟正黑體" w:hAnsi="微軟正黑體"/>
          <w:b/>
          <w:bCs/>
          <w:sz w:val="32"/>
          <w:szCs w:val="32"/>
        </w:rPr>
        <w:t xml:space="preserve">【本章一頁掌握】</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公共政策定義與循環</w:t>
            </w:r>
          </w:p>
          <w:p>
            <w:pPr>
              <w:spacing w:line="340"/>
              <w:jc w:val="both"/>
            </w:pPr>
            <w:r>
              <w:rPr>
                <w:rFonts w:ascii="微軟正黑體" w:cs="微軟正黑體" w:eastAsia="微軟正黑體" w:hAnsi="微軟正黑體"/>
                <w:sz w:val="21"/>
                <w:szCs w:val="21"/>
              </w:rPr>
              <w:t xml:space="preserve">四種經典定義（Easton權威分配/Dye作為不作為/Anderson有目的行動/Jones問題建構）→ 5R（回代可責務）→ 政策循環五階段（界規合執評）</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Lowi與Wilson政策類型</w:t>
            </w:r>
          </w:p>
          <w:p>
            <w:pPr>
              <w:spacing w:line="340"/>
              <w:jc w:val="both"/>
            </w:pPr>
            <w:r>
              <w:rPr>
                <w:rFonts w:ascii="微軟正黑體" w:cs="微軟正黑體" w:eastAsia="微軟正黑體" w:hAnsi="微軟正黑體"/>
                <w:sz w:val="21"/>
                <w:szCs w:val="21"/>
              </w:rPr>
              <w:t xml:space="preserve">零和/非零和賽局 → Lowi四政策類型（分管重自）→ Wilson四政治類型（多顧企利，成本利益二維）→ 管制性政策抗拒邏輯：成本集中利益分散</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公共問題認定與市場/政府/政策失靈</w:t>
            </w:r>
          </w:p>
          <w:p>
            <w:pPr>
              <w:spacing w:line="340"/>
              <w:jc w:val="both"/>
            </w:pPr>
            <w:r>
              <w:rPr>
                <w:rFonts w:ascii="微軟正黑體" w:cs="微軟正黑體" w:eastAsia="微軟正黑體" w:hAnsi="微軟正黑體"/>
                <w:sz w:val="21"/>
                <w:szCs w:val="21"/>
              </w:rPr>
              <w:t xml:space="preserve">問題五特性 → 議程三因素匯流 → 市場失靈四類（獨外公資）→ 政府失靈（滾木肉桶）→ 政策失靈五類（目工執資適）→ 政策工具六類（權誘資組管能）</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AI鑲嵌下的演算法失靈與權力位移</w:t>
            </w:r>
          </w:p>
          <w:p>
            <w:pPr>
              <w:spacing w:line="340"/>
              <w:jc w:val="both"/>
            </w:pPr>
            <w:r>
              <w:rPr>
                <w:rFonts w:ascii="微軟正黑體" w:cs="微軟正黑體" w:eastAsia="微軟正黑體" w:hAnsi="微軟正黑體"/>
                <w:sz w:val="21"/>
                <w:szCs w:val="21"/>
              </w:rPr>
              <w:t xml:space="preserve">演算法失靈四子型（謀壟剝歧）→ Meltsner四分析者 → Weimer&amp;Vining三類型＋演算審計者/沉默輸家代言人 → 三種權力移轉（P1情境建構/P2行政裁量/P3公權力影響力）→ DMA/DSA工具箱 → 環保署空污AI歸因案例</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申論核心句（可直接用於破題或結論）</w:t>
            </w:r>
          </w:p>
          <w:p>
            <w:pPr>
              <w:spacing w:line="340"/>
              <w:jc w:val="both"/>
            </w:pPr>
            <w:r>
              <w:rPr>
                <w:rFonts w:ascii="微軟正黑體" w:cs="微軟正黑體" w:eastAsia="微軟正黑體" w:hAnsi="微軟正黑體"/>
                <w:sz w:val="21"/>
                <w:szCs w:val="21"/>
              </w:rPr>
              <w:t xml:space="preserve">政治的核心不在於解決問題，而在於界定問題；當技術系統搶先一步框定了何謂「異常」、何謂「問題」，人類尚未展開政治辯論，答案的方向便已經被決定——問題界定，永遠比答案本身更具政治性。</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2026-09-01T03:26:43.561Z</dcterms:created>
  <dcterms:modified xsi:type="dcterms:W3CDTF">2026-09-01T03:26:43.561Z</dcterms:modified>
</cp:coreProperties>
</file>

<file path=docProps/custom.xml><?xml version="1.0" encoding="utf-8"?>
<Properties xmlns="http://schemas.openxmlformats.org/officeDocument/2006/custom-properties" xmlns:vt="http://schemas.openxmlformats.org/officeDocument/2006/docPropsVTypes"/>
</file>