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第九章　治理典範</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本章對應大學教科書《行政學》第九章「治理典範」，內容取材自該章八節母體教材（治理的意涵與形成、治理結構官僚—市場—網絡三階段演進、治理失靈與治理能力、Peters四模式與World Bank四面向、治理的類型學、新公共服務與新公共治理、從電子治理到數位與AI治理、本教科書第二層總結）及篇幅甚大之獨立AI鑲嵌專節，依國考「考點化、模組化、背誦＋應用」邏輯重新壓縮改寫為五節：第一節整合治理之意涵、形成與官僚—市場—網絡結構演進（原第一、二節）；第二節整合治理失靈、治理能力與Peters四模式／World Bank四面向（原第三、四節）；第三節整合治理類型學與跨域治理（原第五節）；第四節整合新公共服務與新公共治理典範對話（原第六節）；第五節整合AI鑲嵌下之演算法治理、協同AI治理與元治理（原第七節與AI鑲嵌後內容），為本章AI內容之集中呈現處。第七章「行政環境」原保留之107年地方特考三等「府際協議機制」真題（因核心內容實質對應本章跨域治理理論），於本章第三節完整解題使用。另有三題（107年原三、109年地三、111年身心三，主題均為非政府組織／非營利組織特性、功能與限制）雖於語料庫中以本章為主要標記章節，惟其內容實質對應第八章「政府與市場的抉擇」之Salamon志願失靈與第三部門理論架構，第八章已交付定版不另回頭修改，故僅於本章【歷屆試題】表中列出參照，建議讀者以第八章之志願失靈四類型框架自行練習作答，不在本章重複完整解題。自本章起依格式定版說明，【申論解題】僅第一題維持三種完整答案版本，第二、三題改為標準版參考答案＋【高分加分點】；AI鑲嵌內容集中於第五節與C級綜合題，其餘各節之核心概念、理論發展、主要學者、核心命題、優點與限制、臺灣行政實務等小節，維持以傳統理論為主軸。</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治理的意涵、形成與結構演進</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治理（Governance）一詞於1989年世界銀行《撒哈拉以南非洲：從危機到永續成長》報告中被重新引介，1992年《Governance and Development》正式定義為「行使權力以管理國家經濟與社會資源以促進發展的方式」，將治理與政府（Government）作出區隔，強調治理涉及公民社會行動者之共同參與。</w:t>
      </w:r>
    </w:p>
    <w:p>
      <w:pPr>
        <w:pStyle w:val="ListParagraph"/>
        <w:numPr>
          <w:ilvl w:val="0"/>
          <w:numId w:val="2"/>
        </w:numPr>
        <w:spacing w:after="120" w:line="340"/>
      </w:pPr>
      <w:r>
        <w:rPr>
          <w:rFonts w:ascii="微軟正黑體" w:cs="微軟正黑體" w:eastAsia="微軟正黑體" w:hAnsi="微軟正黑體"/>
          <w:sz w:val="22"/>
          <w:szCs w:val="22"/>
        </w:rPr>
        <w:t xml:space="preserve">聯合國全球治理委員會（1995）定義治理為「各種公共的與私人的個人與機構管理其共同事務的諸多方式之總稱」，是調和衝突利益並採取聯合行動的持續過程；羅茲（Rhodes, 1997）從網絡觀點定義治理為「自我組織、跨組織間的網絡，具相互依賴、資源交換、賽局規則以及相當程度的國家自主性」；UNDP（1997）則強調國家、市場與公民社會互動下之永續人類發展。四種定義共同呈現治理已從經濟發展工具論，擴張為國家、市場與公民社會三部門協力之整體性概念。</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治理的形成以網絡為基礎：公部門、企業與第三部門行動者，基於資源互賴形成穩定互動網絡，彼此擁有相對自主而非相等之治理能力——治理的本質是互賴與相對自主，而非齊頭式平等。治理形成有五大驅力：國家財政危機（1970年代石油危機後福利國家財政負荷過重）、市場意識形態興起（公共選擇與代理人理論主張市場競爭糾正政府失靈）、全球化與國家失靈（跨國議題使主權國家能力受限）、新公共管理的反動（過度市場化造成碎片化與空洞化）、社會變遷複雜化（棘手問題needs眾多利害關係人共解）。</w:t>
      </w:r>
    </w:p>
    <w:p>
      <w:pPr>
        <w:pStyle w:val="ListParagraph"/>
        <w:numPr>
          <w:ilvl w:val="0"/>
          <w:numId w:val="2"/>
        </w:numPr>
        <w:spacing w:after="120" w:line="340"/>
      </w:pPr>
      <w:r>
        <w:rPr>
          <w:rFonts w:ascii="微軟正黑體" w:cs="微軟正黑體" w:eastAsia="微軟正黑體" w:hAnsi="微軟正黑體"/>
          <w:sz w:val="22"/>
          <w:szCs w:val="22"/>
        </w:rPr>
        <w:t xml:space="preserve">治理結構可區分三階段典範轉移，雖三者常並存，但在不同年代有主導邏輯：官僚治理（層級節制、依法行政、永業化，主導於1970年代以前，政府是操槳者與划槳者合一之統治角色，失靈型態為僵化與繁文縟節）、市場治理（競爭、價格、顧客選擇、契約外包，於1980至2000年NPM主導期間興起，政府轉為掌舵者與領航者，失靈型態為不平等、外部性與公共性流失）、網絡治理（信任、互賴、協商、共同創造，自1990年代末後NPM主流時期迄今持續擴張，政府轉為服務者、促進者與編織者，失靈型態則為課責模糊、交易成本高與信任崩解）。</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定義來源</w:t>
            </w:r>
          </w:p>
        </w:tc>
        <w:tc>
          <w:tcPr>
            <w:tcW w:type="dxa" w:w="62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World Bank（1992）</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治理是行使權力以管理國家經濟與社會資源以促進發展的方式；區隔治理與政府</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聯合國全球治理委員會（1995）</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治理是公私個人與機構管理共同事務之總稱，是調和衝突利益、採取聯合行動的持續過程</w:t>
            </w:r>
          </w:p>
        </w:tc>
      </w:tr>
      <w:tr>
        <w:tc>
          <w:tcPr>
            <w:tcW w:type="dxa" w:w="2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Rhodes（1997）</w:t>
            </w:r>
          </w:p>
        </w:tc>
        <w:tc>
          <w:tcPr>
            <w:tcW w:type="dxa" w:w="62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治理是自我組織、跨組織間的網絡，具相互依賴、資源交換、賽局規則與相當程度之國家自主性</w:t>
            </w:r>
          </w:p>
        </w:tc>
      </w:tr>
      <w:tr>
        <w:tc>
          <w:tcPr>
            <w:tcW w:type="dxa" w:w="2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UNDP（1997）</w:t>
            </w:r>
          </w:p>
        </w:tc>
        <w:tc>
          <w:tcPr>
            <w:tcW w:type="dxa" w:w="62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治理是國家、市場、公民社會互動中，於各層次行使權威以管理國家事務之機制、過程與制度，強調永續人類發展</w:t>
            </w:r>
          </w:p>
        </w:tc>
      </w:tr>
    </w:tbl>
    <w:p>
      <w:pPr>
        <w:spacing w:after="280" w:before="120"/>
        <w:jc w:val="center"/>
      </w:pPr>
      <w:r>
        <w:rPr>
          <w:rFonts w:ascii="微軟正黑體" w:cs="微軟正黑體" w:eastAsia="微軟正黑體" w:hAnsi="微軟正黑體"/>
          <w:i/>
          <w:iCs/>
          <w:color w:val="555555"/>
          <w:sz w:val="18"/>
          <w:szCs w:val="18"/>
        </w:rPr>
        <w:t xml:space="preserve">表9-A　治理之四種整合性定義</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治理結構三階段演進之核心命題是「從政府到治理」：傳統公共行政視政府為唯一公共服務提供者，新公共管理將服務外包給市場，新公共治理與新公共服務則主張政府應與公民及網絡共同創造公共價值。空洞國家與碎裂化政府之危機，正是市場治理過度發展後的反動，催生了網絡治理之整合需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2526"/>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階段</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核心邏輯</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政府角色</w:t>
            </w:r>
          </w:p>
        </w:tc>
        <w:tc>
          <w:tcPr>
            <w:tcW w:type="dxa" w:w="25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失靈類型</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官僚治理</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層級節制、依法行政、永業化</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操槳者與划槳者合一</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僵化、繁文縟節</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市場治理</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競爭、價格、顧客選擇、契約外包</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掌舵者、領航者</w:t>
            </w:r>
          </w:p>
        </w:tc>
        <w:tc>
          <w:tcPr>
            <w:tcW w:type="dxa" w:w="2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不平等、外部性、公共性流失</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網絡治理</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信任、互賴、協商、共同創造</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服務者、促進者、編織者</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課責模糊、交易成本高、信任崩解</w:t>
            </w:r>
          </w:p>
        </w:tc>
      </w:tr>
    </w:tbl>
    <w:p>
      <w:pPr>
        <w:spacing w:after="280" w:before="120"/>
        <w:jc w:val="center"/>
      </w:pPr>
      <w:r>
        <w:rPr>
          <w:rFonts w:ascii="微軟正黑體" w:cs="微軟正黑體" w:eastAsia="微軟正黑體" w:hAnsi="微軟正黑體"/>
          <w:i/>
          <w:iCs/>
          <w:color w:val="555555"/>
          <w:sz w:val="18"/>
          <w:szCs w:val="18"/>
        </w:rPr>
        <w:t xml:space="preserve">表9-B　治理結構三階段演進</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治理整合性定義（World Bank/Rhodes/UNDP/全球治理委員會）</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突破傳統政府中心論，將公民社會與市場行動者納入治理分析架構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「治理」一詞定義多元，各定義側重面向不同，易生分析上之模糊性</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治理結構三階段演進</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以歷史敘事清楚呈現政府角色從統治到領航到編織之轉變軌跡</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三階段常並存疊加而非線性取代，過度強調階段性敘事恐簡化實際制度複雜度</w:t>
            </w:r>
          </w:p>
        </w:tc>
      </w:tr>
    </w:tbl>
    <w:p>
      <w:pPr>
        <w:spacing w:after="280" w:before="120"/>
        <w:jc w:val="center"/>
      </w:pPr>
      <w:r>
        <w:rPr>
          <w:rFonts w:ascii="微軟正黑體" w:cs="微軟正黑體" w:eastAsia="微軟正黑體" w:hAnsi="微軟正黑體"/>
          <w:i/>
          <w:iCs/>
          <w:color w:val="555555"/>
          <w:sz w:val="18"/>
          <w:szCs w:val="18"/>
        </w:rPr>
        <w:t xml:space="preserve">表9-C　治理定義與結構演進之貢獻與限制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治理的實踐集中於公私協力（PPP）：廣義指公私部門基於互利互惠共同提供公共服務並分擔風險（如促參法之BOT／ROT／OT／BTO），狹義則更強調公共性與非營利精神；普特南（Putnam, 1993, 2000）指出，協力能否成功取決於社會資本（信任、規範、網絡）之存量。</w:t>
      </w:r>
    </w:p>
    <w:p>
      <w:pPr>
        <w:spacing w:after="140" w:before="260"/>
      </w:pPr>
      <w:r>
        <w:rPr>
          <w:rFonts w:ascii="微軟正黑體" w:cs="微軟正黑體" w:eastAsia="微軟正黑體" w:hAnsi="微軟正黑體"/>
          <w:b/>
          <w:bCs/>
          <w:color w:val="2E5C8A"/>
          <w:sz w:val="23"/>
          <w:szCs w:val="23"/>
        </w:rPr>
        <w:t xml:space="preserve">七、臺灣行政實務</w:t>
      </w:r>
    </w:p>
    <w:p>
      <w:pPr>
        <w:pStyle w:val="ListParagraph"/>
        <w:numPr>
          <w:ilvl w:val="0"/>
          <w:numId w:val="2"/>
        </w:numPr>
        <w:spacing w:after="120" w:line="340"/>
      </w:pPr>
      <w:r>
        <w:rPr>
          <w:rFonts w:ascii="微軟正黑體" w:cs="微軟正黑體" w:eastAsia="微軟正黑體" w:hAnsi="微軟正黑體"/>
          <w:sz w:val="22"/>
          <w:szCs w:val="22"/>
        </w:rPr>
        <w:t xml:space="preserve">我國九二一地震、八八風災重建與社區保母制度，皆體現「政府有限、民力無窮」之網絡治理精神；台灣治理路徑清楚呈現三階段疊加特徵：1990年代前為官僚治理主導（強國家、發展型官僚）、2000年代為市場治理實驗（民營化、BOT、外包）、2010年後為網絡治理擴張（公私協力、跨域治理、開放政府、g0v協力）。</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①治理四種整合性定義：World Bank／聯合國全球治理委員會／Rhodes／UNDP</w:t>
            </w:r>
          </w:p>
          <w:p>
            <w:pPr>
              <w:spacing w:after="80" w:line="320"/>
            </w:pPr>
            <w:r>
              <w:rPr>
                <w:rFonts w:ascii="微軟正黑體" w:cs="微軟正黑體" w:eastAsia="微軟正黑體" w:hAnsi="微軟正黑體"/>
                <w:sz w:val="21"/>
                <w:szCs w:val="21"/>
              </w:rPr>
              <w:t xml:space="preserve">•　②政府（Government）、治理（Governance）、良善治理（Good Governance）三者之描述性至規範性光譜</w:t>
            </w:r>
          </w:p>
          <w:p>
            <w:pPr>
              <w:spacing w:after="80" w:line="320"/>
            </w:pPr>
            <w:r>
              <w:rPr>
                <w:rFonts w:ascii="微軟正黑體" w:cs="微軟正黑體" w:eastAsia="微軟正黑體" w:hAnsi="微軟正黑體"/>
                <w:sz w:val="21"/>
                <w:szCs w:val="21"/>
              </w:rPr>
              <w:t xml:space="preserve">•　③治理形成五大驅力：國家財政危機／市場意識形態興起／全球化與國家失靈／NPM反動／社會變遷複雜化</w:t>
            </w:r>
          </w:p>
          <w:p>
            <w:pPr>
              <w:spacing w:after="80" w:line="320"/>
            </w:pPr>
            <w:r>
              <w:rPr>
                <w:rFonts w:ascii="微軟正黑體" w:cs="微軟正黑體" w:eastAsia="微軟正黑體" w:hAnsi="微軟正黑體"/>
                <w:sz w:val="21"/>
                <w:szCs w:val="21"/>
              </w:rPr>
              <w:t xml:space="preserve">•　④治理結構三階段演進：官僚治理／市場治理／網絡治理（核心邏輯、政府角色、失靈類型）</w:t>
            </w:r>
          </w:p>
          <w:p>
            <w:pPr>
              <w:spacing w:after="0" w:line="320"/>
            </w:pPr>
            <w:r>
              <w:rPr>
                <w:rFonts w:ascii="微軟正黑體" w:cs="微軟正黑體" w:eastAsia="微軟正黑體" w:hAnsi="微軟正黑體"/>
                <w:sz w:val="21"/>
                <w:szCs w:val="21"/>
              </w:rPr>
              <w:t xml:space="preserve">•　⑤公私協力（PPP）廣義與狹義定義；社會資本（Putnam）與協力成功之關係</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治理形成五大驅力口訣：財（政危機）、市（場意識形態）、球（球化與國家失靈）、反（NPM反動）、雜（社會變遷複雜化）——「財市球反雜」五字訣</w:t>
            </w:r>
          </w:p>
          <w:p>
            <w:pPr>
              <w:spacing w:after="80" w:line="320"/>
            </w:pPr>
            <w:r>
              <w:rPr>
                <w:rFonts w:ascii="微軟正黑體" w:cs="微軟正黑體" w:eastAsia="微軟正黑體" w:hAnsi="微軟正黑體"/>
                <w:sz w:val="21"/>
                <w:szCs w:val="21"/>
              </w:rPr>
              <w:t xml:space="preserve">•　三階段政府角色記憶：官僚制「划槳」（統治）、市場制「掌舵」（領航）、網絡制「編織」（促進）——依「政府退到多後面」排序</w:t>
            </w:r>
          </w:p>
          <w:p>
            <w:pPr>
              <w:spacing w:after="0" w:line="320"/>
            </w:pPr>
            <w:r>
              <w:rPr>
                <w:rFonts w:ascii="微軟正黑體" w:cs="微軟正黑體" w:eastAsia="微軟正黑體" w:hAnsi="微軟正黑體"/>
                <w:sz w:val="21"/>
                <w:szCs w:val="21"/>
              </w:rPr>
              <w:t xml:space="preserve">•　治理三者光譜記憶：政府（權威結構）→治理（協調過程）→良善治理（加價值判準）——由描述性走向規範性</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政府」（Government，具合法暴力獨占與課稅權之正式權威結構）與「治理」（Governance，政府與非政府行動者共同管理事務之協調過程與網絡）常被考生混用——政府是治理眾多參與者之一，治理範圍大於政府，兩者是「行動者」與「過程／網絡」之關係，不可等同視之。</w:t>
            </w:r>
          </w:p>
          <w:p>
            <w:pPr>
              <w:spacing w:after="0" w:line="320"/>
            </w:pPr>
            <w:r>
              <w:rPr>
                <w:rFonts w:ascii="微軟正黑體" w:cs="微軟正黑體" w:eastAsia="微軟正黑體" w:hAnsi="微軟正黑體"/>
                <w:sz w:val="21"/>
                <w:szCs w:val="21"/>
              </w:rPr>
              <w:t xml:space="preserve">•　「依法行政」之正確表述常被考生顛倒：公部門為「法無授權即禁止」（法律保留與法律優位原則），私部門則為「法無禁止即自由」——這是本教科書自第一章起反覆強調之基本原則，於治理脈絡下亦不可混淆。</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治理失靈、治理能力與當代治理模式</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治理失靈並非單一治理模式之問題，而是不同治理邏輯在特定條件下產生之制度性限制：官僚治理容易僵化、層級壅塞與回應緩慢；市場治理可能造成公共性流失、資訊不對稱與弱勢排除；網絡治理則可能產生責任分散、參與不平等與協調成本過高。當代治理之重點不是在官僚、市場與網絡之間擇一，而是依問題性質進行制度配置。</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彼得斯（Guy Peters, 1996, 2010）提出四種新治理模式，作為對傳統韋伯官僚之改革處方，其診斷與處方各不相同，但皆試圖回應官僚失靈：市場模式（以公共選擇與代理人理論為基礎，診斷官僚缺乏競爭與獨占，處方是分權化、引進市場競爭、契約化）、參與模式（以新左派、公民授能與審議民主為基礎，診斷官僚層級節制、封閉、公民疏離，處方是扁平化、團隊、公民直接參與）、彈性模式（以新管理主義與永業文官反省為基礎，診斷永業制、年資主義、僵化人事，處方是彈性化、任務編組、任期制）、鬆綁模式（以新右派、反官僚、去管制為基礎，診斷過度規則、繁文縟節、內部管制過多，處方是肯定官僚必要性、簡化規則、賦能基層）。</w:t>
      </w:r>
    </w:p>
    <w:p>
      <w:pPr>
        <w:pStyle w:val="ListParagraph"/>
        <w:numPr>
          <w:ilvl w:val="0"/>
          <w:numId w:val="2"/>
        </w:numPr>
        <w:spacing w:after="120" w:line="340"/>
      </w:pPr>
      <w:r>
        <w:rPr>
          <w:rFonts w:ascii="微軟正黑體" w:cs="微軟正黑體" w:eastAsia="微軟正黑體" w:hAnsi="微軟正黑體"/>
          <w:sz w:val="22"/>
          <w:szCs w:val="22"/>
        </w:rPr>
        <w:t xml:space="preserve">World Bank（1992）治理四面向：公共部門管理（提升公共部門提供財貨與勞務之能力，工具包括公共支出管理、文官改革、去中心化）、課責性（公職人員對行為負責，被視為治理核心，工具包括政治課責、行政課責、績效衡量、公民監督）、發展的法律框架（以法治為基礎之穩定經濟成長，工具包括正當程序、平等與自由）、透明與資訊（競爭市場需及時可靠資訊，工具包括預算公開、資訊自由、防止貪腐）。</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模式</w:t>
            </w:r>
          </w:p>
        </w:tc>
        <w:tc>
          <w:tcPr>
            <w:tcW w:type="dxa" w:w="6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核心內容（意識形態基礎／診斷／處方／台灣實例／風險）</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市場模式</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公共選擇與代理人理論；診斷缺乏競爭與獨占；處方分權化、引進市場競爭、契約化；台灣實例：BOT高鐵、政府採購外包；風險：市場失靈、公平性流失</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參與模式</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新左派、公民授能、審議民主；診斷層級節制、封閉、公民疏離；處方扁平化、團隊、公民直接參與；台灣實例：Join公共政策參與平臺、參與式預算；風險：效率降低、參與疲乏</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彈性模式</w:t>
            </w:r>
          </w:p>
        </w:tc>
        <w:tc>
          <w:tcPr>
            <w:tcW w:type="dxa" w:w="6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新管理主義、永業文官反省；診斷永業制、年資主義、僵化人事；處方彈性化、任務編組、任期制；台灣實例：機要與約聘僱彈性用人；風險：人事不穩、專業流失</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鬆綁模式（解制）</w:t>
            </w:r>
          </w:p>
        </w:tc>
        <w:tc>
          <w:tcPr>
            <w:tcW w:type="dxa" w:w="6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新右派、反官僚、去管制；診斷過度規則、繁文縟節；處方簡化規則、賦能基層；台灣實例：行政程序簡化、一站式服務；風險：回歸舊官僚濫權</w:t>
            </w:r>
          </w:p>
        </w:tc>
      </w:tr>
    </w:tbl>
    <w:p>
      <w:pPr>
        <w:spacing w:after="280" w:before="120"/>
        <w:jc w:val="center"/>
      </w:pPr>
      <w:r>
        <w:rPr>
          <w:rFonts w:ascii="微軟正黑體" w:cs="微軟正黑體" w:eastAsia="微軟正黑體" w:hAnsi="微軟正黑體"/>
          <w:i/>
          <w:iCs/>
          <w:color w:val="555555"/>
          <w:sz w:val="18"/>
          <w:szCs w:val="18"/>
        </w:rPr>
        <w:t xml:space="preserve">表9-D　Peters四種治理模式</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500"/>
        <w:gridCol w:w="2526"/>
      </w:tblGrid>
      <w:tr>
        <w:trPr>
          <w:tblHeader/>
        </w:trPr>
        <w:tc>
          <w:tcPr>
            <w:tcW w:type="dxa" w:w="1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治理模式</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主要優勢</w:t>
            </w:r>
          </w:p>
        </w:tc>
        <w:tc>
          <w:tcPr>
            <w:tcW w:type="dxa" w:w="25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典型失靈</w:t>
            </w:r>
          </w:p>
        </w:tc>
        <w:tc>
          <w:tcPr>
            <w:tcW w:type="dxa" w:w="25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必要補強</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官僚治理</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法治、穩定、責任明確</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僵化、遲延、程序主義</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授權、數位化、回應性</w:t>
            </w:r>
          </w:p>
        </w:tc>
      </w:tr>
      <w:tr>
        <w:tc>
          <w:tcPr>
            <w:tcW w:type="dxa" w:w="1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市場治理</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效率、選擇、創新</w:t>
            </w:r>
          </w:p>
        </w:tc>
        <w:tc>
          <w:tcPr>
            <w:tcW w:type="dxa" w:w="25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不平等、外部性、公共性流失</w:t>
            </w:r>
          </w:p>
        </w:tc>
        <w:tc>
          <w:tcPr>
            <w:tcW w:type="dxa" w:w="25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管制、契約課責、弱勢保障</w:t>
            </w:r>
          </w:p>
        </w:tc>
      </w:tr>
      <w:tr>
        <w:tc>
          <w:tcPr>
            <w:tcW w:type="dxa" w:w="1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網絡治理</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協力、彈性、知識整合</w:t>
            </w:r>
          </w:p>
        </w:tc>
        <w:tc>
          <w:tcPr>
            <w:tcW w:type="dxa" w:w="25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責任模糊、協調成本高、代表性不足</w:t>
            </w:r>
          </w:p>
        </w:tc>
        <w:tc>
          <w:tcPr>
            <w:tcW w:type="dxa" w:w="25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元治理、程序設計、透明監督</w:t>
            </w:r>
          </w:p>
        </w:tc>
      </w:tr>
    </w:tbl>
    <w:p>
      <w:pPr>
        <w:spacing w:after="280" w:before="120"/>
        <w:jc w:val="center"/>
      </w:pPr>
      <w:r>
        <w:rPr>
          <w:rFonts w:ascii="微軟正黑體" w:cs="微軟正黑體" w:eastAsia="微軟正黑體" w:hAnsi="微軟正黑體"/>
          <w:i/>
          <w:iCs/>
          <w:color w:val="555555"/>
          <w:sz w:val="18"/>
          <w:szCs w:val="18"/>
        </w:rPr>
        <w:t xml:space="preserve">表9-E　三種治理邏輯之優勢、失靈與必要補強</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2020後延伸</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公共部門管理</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提升公共部門提供財貨與勞務之能力</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數位公共建設、資料治理</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課責性 Accountability</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公職人員對行為負責，治理核心</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演算法課責、AI可解釋性</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發展的法律框架</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以法治為基礎的穩定經濟成長</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數位法治、平台法制、AI法制</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透明與資訊 Transparency</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競爭市場需及時可靠資訊</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開放資料、政府即平台</w:t>
            </w:r>
          </w:p>
        </w:tc>
      </w:tr>
    </w:tbl>
    <w:p>
      <w:pPr>
        <w:spacing w:after="280" w:before="120"/>
        <w:jc w:val="center"/>
      </w:pPr>
      <w:r>
        <w:rPr>
          <w:rFonts w:ascii="微軟正黑體" w:cs="微軟正黑體" w:eastAsia="微軟正黑體" w:hAnsi="微軟正黑體"/>
          <w:i/>
          <w:iCs/>
          <w:color w:val="555555"/>
          <w:sz w:val="18"/>
          <w:szCs w:val="18"/>
        </w:rPr>
        <w:t xml:space="preserve">表9-F　World Bank治理四面向與當代轉譯</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彈性模式並非反對所有常業文官，而是主張打破永業保障之僵化；鬆綁模式（Deregulation）也並非否定官僚，而是解除內部過多之管制，將行政裁量權還給第一線街頭官僚——這與解除市場管制之「解制」存在層次差異，不可混用，此點呼應第五章對街頭官僚裁量之討論。</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當代政府至少須具備六項治理能力，方能成功推動網絡治理：整合能力（跨部門、跨層級整合資訊、資源與政策目標）、協作能力（建立信任、協商衝突並維持長期合作）、數位能力（理解資料、平台、演算法與AI系統）、法規能力（將新興技術轉化為可執行之法律與行政規範）、反思能力（從政策結果與失誤中學習，修正制度設計）、民主課責能力（確保人民能理解、參與、質疑並挑戰治理決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①治理失靈比較架構：官僚（僵化遲延）／市場（不平等外部性）／網絡（責任模糊協調成本高）</w:t>
            </w:r>
          </w:p>
          <w:p>
            <w:pPr>
              <w:spacing w:after="80" w:line="320"/>
            </w:pPr>
            <w:r>
              <w:rPr>
                <w:rFonts w:ascii="微軟正黑體" w:cs="微軟正黑體" w:eastAsia="微軟正黑體" w:hAnsi="微軟正黑體"/>
                <w:sz w:val="21"/>
                <w:szCs w:val="21"/>
              </w:rPr>
              <w:t xml:space="preserve">•　②Peters四種治理模式：市場模式／參與模式／彈性模式／鬆綁模式（意識形態基礎、診斷、處方）</w:t>
            </w:r>
          </w:p>
          <w:p>
            <w:pPr>
              <w:spacing w:after="80" w:line="320"/>
            </w:pPr>
            <w:r>
              <w:rPr>
                <w:rFonts w:ascii="微軟正黑體" w:cs="微軟正黑體" w:eastAsia="微軟正黑體" w:hAnsi="微軟正黑體"/>
                <w:sz w:val="21"/>
                <w:szCs w:val="21"/>
              </w:rPr>
              <w:t xml:space="preserve">•　③World Bank治理四面向：公共部門管理／課責性／發展的法律框架／透明與資訊</w:t>
            </w:r>
          </w:p>
          <w:p>
            <w:pPr>
              <w:spacing w:after="0" w:line="320"/>
            </w:pPr>
            <w:r>
              <w:rPr>
                <w:rFonts w:ascii="微軟正黑體" w:cs="微軟正黑體" w:eastAsia="微軟正黑體" w:hAnsi="微軟正黑體"/>
                <w:sz w:val="21"/>
                <w:szCs w:val="21"/>
              </w:rPr>
              <w:t xml:space="preserve">•　④當代政府六項治理能力：整合／協作／數位／法規／反思／民主課責</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Peters四模式口訣：市（場，比競爭）、參（與，比民主）、彈（性，比彈性）、鬆（綁，比鬆綁）——「市參彈鬆」四字訣</w:t>
            </w:r>
          </w:p>
          <w:p>
            <w:pPr>
              <w:spacing w:after="80" w:line="320"/>
            </w:pPr>
            <w:r>
              <w:rPr>
                <w:rFonts w:ascii="微軟正黑體" w:cs="微軟正黑體" w:eastAsia="微軟正黑體" w:hAnsi="微軟正黑體"/>
                <w:sz w:val="21"/>
                <w:szCs w:val="21"/>
              </w:rPr>
              <w:t xml:space="preserve">•　World Bank四面向記憶：管（理）、責（課責）、法（法律框架）、透（明）——「管責法透」四字訣</w:t>
            </w:r>
          </w:p>
          <w:p>
            <w:pPr>
              <w:spacing w:after="0" w:line="320"/>
            </w:pPr>
            <w:r>
              <w:rPr>
                <w:rFonts w:ascii="微軟正黑體" w:cs="微軟正黑體" w:eastAsia="微軟正黑體" w:hAnsi="微軟正黑體"/>
                <w:sz w:val="21"/>
                <w:szCs w:val="21"/>
              </w:rPr>
              <w:t xml:space="preserve">•　六項治理能力口訣：整（合）、協（作）、數（位）、法（規）、反（思）、民（主課責）——「整協數法反民」六字訣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鬆綁模式」（解除官僚內部過多管制，將裁量權還給第一線街頭官僚）與「解制」（解除對市場之管制）常被考生視為同一概念——前者發生於官僚體制「內部」，後者發生於政府對「市場」之管制關係，層次不同，不可混用。</w:t>
            </w:r>
          </w:p>
          <w:p>
            <w:pPr>
              <w:spacing w:after="0" w:line="320"/>
            </w:pPr>
            <w:r>
              <w:rPr>
                <w:rFonts w:ascii="微軟正黑體" w:cs="微軟正黑體" w:eastAsia="微軟正黑體" w:hAnsi="微軟正黑體"/>
                <w:sz w:val="21"/>
                <w:szCs w:val="21"/>
              </w:rPr>
              <w:t xml:space="preserve">•　Peters四模式常被考生誤記為「四種相同性質的改革方案」——實則四模式意識形態基礎截然不同（市場模式源自新右派公共選擇論，參與模式源自新左派審議民主），處方方向甚至彼此矛盾（市場模式主張分權引入競爭，鬆綁模式反而肯定官僚必要性），作答時應清楚呈現四者之理論光譜差異。</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治理的類型學與跨域治理</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治理依組織任務與場域而分殊，文獻常見七大類型：參與（民主）治理、全球治理、良善治理、公司治理、環境治理、電子（數位）治理、跨域治理，其分析層次與利害關係人網絡各異。</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良善治理是治理之規範性理想，加入了價值判準：World Bank（1992）認為良善治理是創造與維持強健且公平發展環境之核心；UNDP則定義良善治理為具參與性、透明性、課責性、有效且公平，促進法治，確保政治、社會、經濟優先順序基於廣泛共識，並讓最貧弱者的聲音被聽見，歸納為八項特徵：參與、法治、透明性、回應性、共識取向、公正與包容、效能與效率、課責。</w:t>
      </w:r>
    </w:p>
    <w:p>
      <w:pPr>
        <w:pStyle w:val="ListParagraph"/>
        <w:numPr>
          <w:ilvl w:val="0"/>
          <w:numId w:val="2"/>
        </w:numPr>
        <w:spacing w:after="120" w:line="340"/>
      </w:pPr>
      <w:r>
        <w:rPr>
          <w:rFonts w:ascii="微軟正黑體" w:cs="微軟正黑體" w:eastAsia="微軟正黑體" w:hAnsi="微軟正黑體"/>
          <w:sz w:val="22"/>
          <w:szCs w:val="22"/>
        </w:rPr>
        <w:t xml:space="preserve">跨域治理（Across Boundaries Governance）在後現代脈絡下，為解決複雜且跨界之問題（如COVID-19、流域保育）而興起，意指跨越轄區與機關藩籬之整合治理，其特質有三：系統思維（具全局視野，採機關間與府際合作）、兼顧宏觀與微觀（微觀打破內部本位主義，宏觀整合不同轄區與層級於同一網絡）、參與者相依性（資源互賴、共同承擔風險、通力合作）。我國法制依據為地方制度法第24條至24-3條：直轄市、縣市、鄉鎮市得合辦事業、成立區域合作組織、訂定協議與行政契約，並明定費用分攤、期間、生效要件、違約處理與爭議協調機制。</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特徵</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台灣課題</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參與 Participation</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公民直接或間接、有組織且知情的參與</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數位落差與參與不平等</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法治 Rule of Law</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公平法律架構、獨立司法、廉能警察</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平台與AI時代的法規調適</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透明性 Transparency</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資訊自由流通、政策可被理解</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演算法黑箱與可解釋性</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回應性 Responsiveness</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在時限內提供足夠服務</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1999專線與AI客服回應品質</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共識取向</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以文化與制度調和利益、追求長期發展</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淨零與能源轉型共識</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公正與包容</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成員感到被納入、不被排除</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數位包容、偏鄉服務</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效能與效率</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組織產出符合社會需求、資源永續利用</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資料治理降低行政成本</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課責 Accountability</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政府、私部門、公民社會對人民可究責</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AI決策的課責稀釋</w:t>
            </w:r>
          </w:p>
        </w:tc>
      </w:tr>
    </w:tbl>
    <w:p>
      <w:pPr>
        <w:spacing w:after="280" w:before="120"/>
        <w:jc w:val="center"/>
      </w:pPr>
      <w:r>
        <w:rPr>
          <w:rFonts w:ascii="微軟正黑體" w:cs="微軟正黑體" w:eastAsia="微軟正黑體" w:hAnsi="微軟正黑體"/>
          <w:i/>
          <w:iCs/>
          <w:color w:val="555555"/>
          <w:sz w:val="18"/>
          <w:szCs w:val="18"/>
        </w:rPr>
        <w:t xml:space="preserve">表9-G　良善治理八特徵</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當代挑戰</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參與治理</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公民參與決策與執行</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參與疲勞、假參與</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全球治理</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跨國規則與代理人治理</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主權與人權張力</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公司治理</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企業行為規範碼</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漂綠與ESG洗白</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環境治理</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資源永續利用管理</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科學不確定性與正義</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電子／數位治理</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ICT驅動的治理變革</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數位落差、資安</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跨域治理</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跨轄區、跨部門、跨領域整合</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權責不清、預算與課責</w:t>
            </w:r>
          </w:p>
        </w:tc>
      </w:tr>
    </w:tbl>
    <w:p>
      <w:pPr>
        <w:spacing w:after="280" w:before="120"/>
        <w:jc w:val="center"/>
      </w:pPr>
      <w:r>
        <w:rPr>
          <w:rFonts w:ascii="微軟正黑體" w:cs="微軟正黑體" w:eastAsia="微軟正黑體" w:hAnsi="微軟正黑體"/>
          <w:i/>
          <w:iCs/>
          <w:color w:val="555555"/>
          <w:sz w:val="18"/>
          <w:szCs w:val="18"/>
        </w:rPr>
        <w:t xml:space="preserve">表9-H　治理類型學統整</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良善治理八特徵</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提供治理品質評估之規範性標準，兼顧程序（參與、透明）與實質（公正、效能）</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八特徵之衡量指標須依脈絡調整，開發中國家與已開發國家之操作化標準未必一致</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跨域治理與地制法24-3條</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為跨轄區合作提供明確法制基礎，COVID-19防疫等案例驗證其可行性</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府際協議之權責分工、預算分攤與爭議解決，實務執行仍高度仰賴協商善意</w:t>
            </w:r>
          </w:p>
        </w:tc>
      </w:tr>
    </w:tbl>
    <w:p>
      <w:pPr>
        <w:spacing w:after="280" w:before="120"/>
        <w:jc w:val="center"/>
      </w:pPr>
      <w:r>
        <w:rPr>
          <w:rFonts w:ascii="微軟正黑體" w:cs="微軟正黑體" w:eastAsia="微軟正黑體" w:hAnsi="微軟正黑體"/>
          <w:i/>
          <w:iCs/>
          <w:color w:val="555555"/>
          <w:sz w:val="18"/>
          <w:szCs w:val="18"/>
        </w:rPr>
        <w:t xml:space="preserve">表9-I　治理類型學與跨域治理之貢獻與限制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電子治理是ICT應用於治理，包含E-民主、E-服務、E-管理，可分為G2C、G2B、G2G、G2E四層次，1980年代原屬NPM效率改革工具，1990年代末已成為獨立典範；環境治理2020年後延伸為氣候治理與人類世（Anthropocene）治理。</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COVID-19防疫是典型的跨域治理案例：中央流行疫情指揮中心訂定SOP，地方衛生局執行居家隔離與關懷追蹤，民政系統與里長里幹事負責居家檢疫，警政協助裁罰與強制安置，衛福、內政、警政與地方政府形成跨域網絡，體現資源互補與系統思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①治理七大類型：參與治理／全球治理／良善治理／公司治理／環境治理／電子治理／跨域治理</w:t>
            </w:r>
          </w:p>
          <w:p>
            <w:pPr>
              <w:spacing w:after="80" w:line="320"/>
            </w:pPr>
            <w:r>
              <w:rPr>
                <w:rFonts w:ascii="微軟正黑體" w:cs="微軟正黑體" w:eastAsia="微軟正黑體" w:hAnsi="微軟正黑體"/>
                <w:sz w:val="21"/>
                <w:szCs w:val="21"/>
              </w:rPr>
              <w:t xml:space="preserve">•　②良善治理八特徵：參與／法治／透明性／回應性／共識取向／公正包容／效能效率／課責</w:t>
            </w:r>
          </w:p>
          <w:p>
            <w:pPr>
              <w:spacing w:after="80" w:line="320"/>
            </w:pPr>
            <w:r>
              <w:rPr>
                <w:rFonts w:ascii="微軟正黑體" w:cs="微軟正黑體" w:eastAsia="微軟正黑體" w:hAnsi="微軟正黑體"/>
                <w:sz w:val="21"/>
                <w:szCs w:val="21"/>
              </w:rPr>
              <w:t xml:space="preserve">•　③跨域治理三特質：系統思維／兼顧宏觀與微觀／參與者相依性</w:t>
            </w:r>
          </w:p>
          <w:p>
            <w:pPr>
              <w:spacing w:after="80" w:line="320"/>
            </w:pPr>
            <w:r>
              <w:rPr>
                <w:rFonts w:ascii="微軟正黑體" w:cs="微軟正黑體" w:eastAsia="微軟正黑體" w:hAnsi="微軟正黑體"/>
                <w:sz w:val="21"/>
                <w:szCs w:val="21"/>
              </w:rPr>
              <w:t xml:space="preserve">•　④我國跨域治理法制依據：地方制度法第24條至24-3條</w:t>
            </w:r>
          </w:p>
          <w:p>
            <w:pPr>
              <w:spacing w:after="0" w:line="320"/>
            </w:pPr>
            <w:r>
              <w:rPr>
                <w:rFonts w:ascii="微軟正黑體" w:cs="微軟正黑體" w:eastAsia="微軟正黑體" w:hAnsi="微軟正黑體"/>
                <w:sz w:val="21"/>
                <w:szCs w:val="21"/>
              </w:rPr>
              <w:t xml:space="preserve">•　⑤電子治理G2C／G2B／G2G／G2E四層次</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良善治理八特徵口訣：參（與）、法（治）、透（明）、回（應）、共（識）、公（正包容）、效（能效率）、課（責）——「參法透回共公效課」八字訣</w:t>
            </w:r>
          </w:p>
          <w:p>
            <w:pPr>
              <w:spacing w:after="80" w:line="320"/>
            </w:pPr>
            <w:r>
              <w:rPr>
                <w:rFonts w:ascii="微軟正黑體" w:cs="微軟正黑體" w:eastAsia="微軟正黑體" w:hAnsi="微軟正黑體"/>
                <w:sz w:val="21"/>
                <w:szCs w:val="21"/>
              </w:rPr>
              <w:t xml:space="preserve">•　跨域治理三特質口訣：系（統思維）、宏（微兼具）、依（賴相依性）——「系宏依」三字訣</w:t>
            </w:r>
          </w:p>
          <w:p>
            <w:pPr>
              <w:spacing w:after="0" w:line="320"/>
            </w:pPr>
            <w:r>
              <w:rPr>
                <w:rFonts w:ascii="微軟正黑體" w:cs="微軟正黑體" w:eastAsia="微軟正黑體" w:hAnsi="微軟正黑體"/>
                <w:sz w:val="21"/>
                <w:szCs w:val="21"/>
              </w:rPr>
              <w:t xml:space="preserve">•　電子治理四G記憶：C（民）B（企業）G（機關）E（員工）——依服務對象區分</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「治理」（Governance，描述性，指協調過程）與「良善治理」（Good Governance，規範性，加入民主人權有效性等價值判準）常被考生混用——治理是中性的協調過程，良善治理則是治理的「應然版本」，兩者屬描述性至規範性光譜之不同位置，不可等同視之。</w:t>
            </w:r>
          </w:p>
          <w:p>
            <w:pPr>
              <w:spacing w:after="0" w:line="320"/>
            </w:pPr>
            <w:r>
              <w:rPr>
                <w:rFonts w:ascii="微軟正黑體" w:cs="微軟正黑體" w:eastAsia="微軟正黑體" w:hAnsi="微軟正黑體"/>
                <w:sz w:val="21"/>
                <w:szCs w:val="21"/>
              </w:rPr>
              <w:t xml:space="preserve">•　「跨域治理」（Across Boundaries Governance，跨轄區跨部門跨領域之整合治理）與「網絡治理」（Network Governance，以信任互賴為基礎之治理型態）常被考生視為同義詞——跨域治理是網絡治理的一種「應用場域」（處理跨轄區問題），網絡治理則是更廣義的治理邏輯類型，兩者是「類型」與「特定應用」之關係。</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第四節　新公共服務與新公共治理：典範對話</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鄧哈特夫婦（Denhardt &amp; Denhardt, 2000, 2003, 2015）提出新公共服務（New Public Service, NPS），作為對NPM顧客導向與市場邏輯之反動，主張政府職能既非操槳亦非領航，而在於服務，行政改革之核心價值是公民資格途徑（citizenship approach）。</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NPS理論基礎有四：民主公民資格理論（視人民為公民、分享權力）、社群與公民社會理論（強調厚實的社群與社會資本）、組織人本主義與新公共行政（強調平等、公正、回應）、後現代公共行政（信奉對話理念，主張公共問題透過審議比客觀分析更為有效）。</w:t>
      </w:r>
    </w:p>
    <w:p>
      <w:pPr>
        <w:pStyle w:val="ListParagraph"/>
        <w:numPr>
          <w:ilvl w:val="0"/>
          <w:numId w:val="2"/>
        </w:numPr>
        <w:spacing w:after="120" w:line="340"/>
      </w:pPr>
      <w:r>
        <w:rPr>
          <w:rFonts w:ascii="微軟正黑體" w:cs="微軟正黑體" w:eastAsia="微軟正黑體" w:hAnsi="微軟正黑體"/>
          <w:sz w:val="22"/>
          <w:szCs w:val="22"/>
        </w:rPr>
        <w:t xml:space="preserve">歐斯本（Stephen Osborne, 2006, 2010, 2021）提出新公共治理（New Public Governance, NPG），作為後NPM之整合主流，奠基於組織社會學與網絡理論，主張公共服務由公、私、第三部門網絡共同執行，具四項特徵：從產品主導轉為服務主導與公共服務邏輯（Public Service Logic），價值在服務使用中創造（value-in-use），而非在生產階段就已決定；公民角色從顧客轉為共同生產者與共同創造者（co-producer, co-creator）；治理是共享、水平、參與式的，績效衡量納入多重目標；理論基礎為網絡治理、協力與社會資本。</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5626"/>
      </w:tblGrid>
      <w:tr>
        <w:trPr>
          <w:tblHeader/>
        </w:trPr>
        <w:tc>
          <w:tcPr>
            <w:tcW w:type="dxa" w:w="34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NPS七原則</w:t>
            </w:r>
          </w:p>
        </w:tc>
        <w:tc>
          <w:tcPr>
            <w:tcW w:type="dxa" w:w="5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意涵</w:t>
            </w:r>
          </w:p>
        </w:tc>
      </w:tr>
      <w:tr>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服務公民而非顧客</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超越短期利益，回應公民作為社群成員之長期利益</w:t>
            </w:r>
          </w:p>
        </w:tc>
      </w:tr>
      <w:tr>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追尋公共利益</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行政人員是治理系統主要行動者，需促成集體對話形成公共利益</w:t>
            </w:r>
          </w:p>
        </w:tc>
      </w:tr>
      <w:tr>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重視公民資格更勝企業精神</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強調涉入、對話、審議式決策</w:t>
            </w:r>
          </w:p>
        </w:tc>
      </w:tr>
      <w:tr>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策略思維、民主行動</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政策重點是公民聯盟與社群建立</w:t>
            </w:r>
          </w:p>
        </w:tc>
      </w:tr>
      <w:tr>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理解課責並不容易</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課責是多元且衝突的均衡（專業、政治、法律、公民）</w:t>
            </w:r>
          </w:p>
        </w:tc>
      </w:tr>
      <w:tr>
        <w:tc>
          <w:tcPr>
            <w:tcW w:type="dxa" w:w="34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服務而非領航</w:t>
            </w:r>
          </w:p>
        </w:tc>
        <w:tc>
          <w:tcPr>
            <w:tcW w:type="dxa" w:w="5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帶動熱情與認同，倡導廉能公正，協助公民表達</w:t>
            </w:r>
          </w:p>
        </w:tc>
      </w:tr>
      <w:tr>
        <w:tc>
          <w:tcPr>
            <w:tcW w:type="dxa" w:w="34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重視人性而非生產力</w:t>
            </w:r>
          </w:p>
        </w:tc>
        <w:tc>
          <w:tcPr>
            <w:tcW w:type="dxa" w:w="5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協助人們發現參與公共服務比自利更重要</w:t>
            </w:r>
          </w:p>
        </w:tc>
      </w:tr>
    </w:tbl>
    <w:p>
      <w:pPr>
        <w:spacing w:after="280" w:before="120"/>
        <w:jc w:val="center"/>
      </w:pPr>
      <w:r>
        <w:rPr>
          <w:rFonts w:ascii="微軟正黑體" w:cs="微軟正黑體" w:eastAsia="微軟正黑體" w:hAnsi="微軟正黑體"/>
          <w:i/>
          <w:iCs/>
          <w:color w:val="555555"/>
          <w:sz w:val="18"/>
          <w:szCs w:val="18"/>
        </w:rPr>
        <w:t xml:space="preserve">表9-J　新公共服務（NPS）七原則</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新公共服務提供價值，新公共治理提供結構，兩者互補，共同指向「治理作為共同創造」。</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9"/>
        <w:gridCol w:w="2409"/>
        <w:gridCol w:w="2408"/>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典範</w:t>
            </w:r>
          </w:p>
        </w:tc>
        <w:tc>
          <w:tcPr>
            <w:tcW w:type="dxa" w:w="2409"/>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對人民定位</w:t>
            </w:r>
          </w:p>
        </w:tc>
        <w:tc>
          <w:tcPr>
            <w:tcW w:type="dxa" w:w="2409"/>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政府角色</w:t>
            </w:r>
          </w:p>
        </w:tc>
        <w:tc>
          <w:tcPr>
            <w:tcW w:type="dxa" w:w="2408"/>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績效觀</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傳統公共行政</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人民</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操槳者與划槳者合一</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依法行政與層級節制</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NPM</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顧客</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領航者、契約管理者</w:t>
            </w:r>
          </w:p>
        </w:tc>
        <w:tc>
          <w:tcPr>
            <w:tcW w:type="dxa" w:w="2408"/>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效率、市場、績效指標</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NPS</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公民</w:t>
            </w:r>
          </w:p>
        </w:tc>
        <w:tc>
          <w:tcPr>
            <w:tcW w:type="dxa" w:w="2409"/>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服務者、調解者</w:t>
            </w:r>
          </w:p>
        </w:tc>
        <w:tc>
          <w:tcPr>
            <w:tcW w:type="dxa" w:w="2408"/>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民主、公平、公共利益與對話</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NPG／PSL</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共同創造者</w:t>
            </w:r>
          </w:p>
        </w:tc>
        <w:tc>
          <w:tcPr>
            <w:tcW w:type="dxa" w:w="2409"/>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促進者、網絡編織者</w:t>
            </w:r>
          </w:p>
        </w:tc>
        <w:tc>
          <w:tcPr>
            <w:tcW w:type="dxa" w:w="2408"/>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多重價值：產出、信任、關係、正當性</w:t>
            </w:r>
          </w:p>
        </w:tc>
      </w:tr>
    </w:tbl>
    <w:p>
      <w:pPr>
        <w:spacing w:after="280" w:before="120"/>
        <w:jc w:val="center"/>
      </w:pPr>
      <w:r>
        <w:rPr>
          <w:rFonts w:ascii="微軟正黑體" w:cs="微軟正黑體" w:eastAsia="微軟正黑體" w:hAnsi="微軟正黑體"/>
          <w:i/>
          <w:iCs/>
          <w:color w:val="555555"/>
          <w:sz w:val="18"/>
          <w:szCs w:val="18"/>
        </w:rPr>
        <w:t xml:space="preserve">表9-K　典範轉移：從政府到共同創造</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新公共服務具高度理想性，但公民教育投入與產出不成比例，且我國公民行動多屬偶發、衝動，難以支撐長期改革；公務員在官僚文化與依法行政框架下，雖有行政裁量空間，但若僅以NPM方法改善服務品質而未投注公民社會建立，易淪為管理主義包裝。學者亦批評NPS僅是新公共行政、批判理論與後現代主義之混合——這正是新公共治理與共同創造試圖回應之問題：需要設計制度化之參與機制與資料基礎建設，而非僅仰賴公民美德。</w:t>
      </w:r>
    </w:p>
    <w:p>
      <w:pPr>
        <w:spacing w:after="140" w:before="260"/>
      </w:pPr>
      <w:r>
        <w:rPr>
          <w:rFonts w:ascii="微軟正黑體" w:cs="微軟正黑體" w:eastAsia="微軟正黑體" w:hAnsi="微軟正黑體"/>
          <w:b/>
          <w:bCs/>
          <w:color w:val="2E5C8A"/>
          <w:sz w:val="23"/>
          <w:szCs w:val="23"/>
        </w:rPr>
        <w:t xml:space="preserve">六、當代發展</w:t>
      </w:r>
    </w:p>
    <w:p>
      <w:pPr>
        <w:pStyle w:val="ListParagraph"/>
        <w:numPr>
          <w:ilvl w:val="0"/>
          <w:numId w:val="2"/>
        </w:numPr>
        <w:spacing w:after="120" w:line="340"/>
      </w:pPr>
      <w:r>
        <w:rPr>
          <w:rFonts w:ascii="微軟正黑體" w:cs="微軟正黑體" w:eastAsia="微軟正黑體" w:hAnsi="微軟正黑體"/>
          <w:sz w:val="22"/>
          <w:szCs w:val="22"/>
        </w:rPr>
        <w:t xml:space="preserve">2020年代之治理主流已從NPM顧客導向與契約外包，轉向公共服務生態系觀點：治理角色上，政府從掌舵者或服務者，轉為平台編織者、共同創造之促進者與後設治理者（metagovernance）；課責上，從單一績效指標轉為多重課責之動態均衡；能力上，政府需具備資料素養、平台管理、社群編織與信任建構四種新能力，此一發展與「實現的公共性」（Realized Publicness，公共性不在組織屬性，而在公共價值是否於網絡互動中被實現）相互呼應。</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Join公共政策參與平臺與參與式預算，即為NPS「重視公民資格更勝企業精神」原則之具體實踐；社區照顧關懷據點結合在地NGO共同提供服務，則體現NPG「共同生產者」理念，公民不再是被動之服務接受者，而是與政府協同創造服務價值之夥伴。</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①新公共服務（NPS）七原則（Denhardt &amp; Denhardt）及其理論基礎四項</w:t>
            </w:r>
          </w:p>
          <w:p>
            <w:pPr>
              <w:spacing w:after="80" w:line="320"/>
            </w:pPr>
            <w:r>
              <w:rPr>
                <w:rFonts w:ascii="微軟正黑體" w:cs="微軟正黑體" w:eastAsia="微軟正黑體" w:hAnsi="微軟正黑體"/>
                <w:sz w:val="21"/>
                <w:szCs w:val="21"/>
              </w:rPr>
              <w:t xml:space="preserve">•　②新公共治理（NPG，Osborne）四項特徵：公共服務邏輯、共同生產者、共享水平治理、多重績效</w:t>
            </w:r>
          </w:p>
          <w:p>
            <w:pPr>
              <w:spacing w:after="80" w:line="320"/>
            </w:pPr>
            <w:r>
              <w:rPr>
                <w:rFonts w:ascii="微軟正黑體" w:cs="微軟正黑體" w:eastAsia="微軟正黑體" w:hAnsi="微軟正黑體"/>
                <w:sz w:val="21"/>
                <w:szCs w:val="21"/>
              </w:rPr>
              <w:t xml:space="preserve">•　③典範轉移表：傳統公共行政→NPM→NPS→NPG／PSL（對人民定位、政府角色、績效觀）</w:t>
            </w:r>
          </w:p>
          <w:p>
            <w:pPr>
              <w:spacing w:after="80" w:line="320"/>
            </w:pPr>
            <w:r>
              <w:rPr>
                <w:rFonts w:ascii="微軟正黑體" w:cs="微軟正黑體" w:eastAsia="微軟正黑體" w:hAnsi="微軟正黑體"/>
                <w:sz w:val="21"/>
                <w:szCs w:val="21"/>
              </w:rPr>
              <w:t xml:space="preserve">•　④公共服務邏輯（Public Service Logic）：value-in-use（價值在使用中創造）</w:t>
            </w:r>
          </w:p>
          <w:p>
            <w:pPr>
              <w:spacing w:after="0" w:line="320"/>
            </w:pPr>
            <w:r>
              <w:rPr>
                <w:rFonts w:ascii="微軟正黑體" w:cs="微軟正黑體" w:eastAsia="微軟正黑體" w:hAnsi="微軟正黑體"/>
                <w:sz w:val="21"/>
                <w:szCs w:val="21"/>
              </w:rPr>
              <w:t xml:space="preserve">•　⑤NPS困境：公民教育投入產出不成比例、易淪為管理主義包裝</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四典範隱喻記憶：政府是城堡（傳統公行）→政府是商場（NPM）→政府是廣場（NPS）→政府是平台與生態系（NPG）</w:t>
            </w:r>
          </w:p>
          <w:p>
            <w:pPr>
              <w:spacing w:after="80" w:line="320"/>
            </w:pPr>
            <w:r>
              <w:rPr>
                <w:rFonts w:ascii="微軟正黑體" w:cs="微軟正黑體" w:eastAsia="微軟正黑體" w:hAnsi="微軟正黑體"/>
                <w:sz w:val="21"/>
                <w:szCs w:val="21"/>
              </w:rPr>
              <w:t xml:space="preserve">•　NPS七原則精簡記憶：服務公民、追尋公益、重公民資格、策略民主、課責不易、服務而非領航、重人性——核心是「服務」取代「領航」</w:t>
            </w:r>
          </w:p>
          <w:p>
            <w:pPr>
              <w:spacing w:after="0" w:line="320"/>
            </w:pPr>
            <w:r>
              <w:rPr>
                <w:rFonts w:ascii="微軟正黑體" w:cs="微軟正黑體" w:eastAsia="微軟正黑體" w:hAnsi="微軟正黑體"/>
                <w:sz w:val="21"/>
                <w:szCs w:val="21"/>
              </w:rPr>
              <w:t xml:space="preserve">•　NPG四特徵口訣：服（務主導）、共（同生產）、享（共享水平）、多（重績效）——「服共享多」四字訣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顧客」（NPM語彙，被動之服務接受者）、「公民」（NPS語彙，具參與義務與權利之社群成員）與「共同創造者」（NPG語彙，主動參與服務設計與提供）三者常被考生混為一談——三者對應三種不同治理典範對人民角色之根本假設，答題時應清楚點出典範轉換之意涵而非僅是用詞替換。</w:t>
            </w:r>
          </w:p>
          <w:p>
            <w:pPr>
              <w:spacing w:after="0" w:line="320"/>
            </w:pPr>
            <w:r>
              <w:rPr>
                <w:rFonts w:ascii="微軟正黑體" w:cs="微軟正黑體" w:eastAsia="微軟正黑體" w:hAnsi="微軟正黑體"/>
                <w:sz w:val="21"/>
                <w:szCs w:val="21"/>
              </w:rPr>
              <w:t xml:space="preserve">•　「新公共服務」（NPS，提供價值層次之規範性主張，強調公民資格）與「新公共治理」（NPG，提供結構層次之網絡治理架構，強調共同生產）常被考生視為同一理論之不同名稱——本章明確指出兩者互補而非同義，NPS關注「政府應追求什麼價值」，NPG關注「治理應如何組織運作」。</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第五節　AI鑲嵌下的治理典範整合：演算法治理、協同AI治理與元治理</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將前四節的討論串成一條完整的演進弧線：官僚→市場→網絡→數位時代治理（DEG）→演算法治理。這條弧線的關鍵不在於「取代」，而在於「疊加」——官僚體制的層級節制並未消失，而是被要求提供可稽核的資料軌跡；市場機制的契約外包並未消失，而是延伸為對演算法供應商的採購契約課責；網絡治理的信任協商也並未消失，而是必須將AI代理人納入協同網絡的成員之一。</w:t>
      </w:r>
    </w:p>
    <w:p>
      <w:pPr>
        <w:pStyle w:val="ListParagraph"/>
        <w:numPr>
          <w:ilvl w:val="0"/>
          <w:numId w:val="2"/>
        </w:numPr>
        <w:spacing w:after="120" w:line="340"/>
      </w:pPr>
      <w:r>
        <w:rPr>
          <w:rFonts w:ascii="微軟正黑體" w:cs="微軟正黑體" w:eastAsia="微軟正黑體" w:hAnsi="微軟正黑體"/>
          <w:sz w:val="22"/>
          <w:szCs w:val="22"/>
        </w:rPr>
        <w:t xml:space="preserve">鄧利維等人（Dunleavy et al., 2006）提出數位時代治理（Digital Era Governance, DEG）取代NPM，主張三要素：再整合（將外包拉回避免碎片化）、需求為本之整體主義（圍繞客戶群重組政府）、數位化；2013年第二波強調平台政府與巨量資料；2023年第三波（Dunleavy &amp; Margetts）則指出，資料科學與生成式AI已進入核心行政，帶來自動化決策、街頭演算法與黑箱課責挑戰，電子治理G2C/G2B/G2G/G2E四層次已升級為「政府即平台」與「政府即生態系」。</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演算法治理（Algorithmic Governance）指政府日益依賴自動化規則、機器學習模型對公民進行資格審查、風險預測與資源分配（如社福詐欺偵測、就業媒合）；卡岑巴赫與烏爾布里希特（Katzenbach &amp; Ulbricht, 2019）定義其為透過演算法程序協調社會行動之治理形式；丹納赫（Danaher, 2016）進一步提出「演算法統治」（algocracy）一詞，警示決策系統日益不透明時公民將難以理解、參與或挑戰形塑其生活之規則體系。演算法治理衍生三大風險：偏見與歧視放大、課責稀釋（多部門外包與模型疊加使責任歸屬不明）、可解釋性不足（黑箱模型使人民無法有效救濟）。</w:t>
      </w:r>
    </w:p>
    <w:p>
      <w:pPr>
        <w:pStyle w:val="ListParagraph"/>
        <w:numPr>
          <w:ilvl w:val="0"/>
          <w:numId w:val="2"/>
        </w:numPr>
        <w:spacing w:after="120" w:line="340"/>
      </w:pPr>
      <w:r>
        <w:rPr>
          <w:rFonts w:ascii="微軟正黑體" w:cs="微軟正黑體" w:eastAsia="微軟正黑體" w:hAnsi="微軟正黑體"/>
          <w:sz w:val="22"/>
          <w:szCs w:val="22"/>
        </w:rPr>
        <w:t xml:space="preserve">哈伯瑪斯（Habermas, 2022, 2023）對數位公共領域提出批判：平台拒絕編輯責任、公私主體模糊；碎片化導致民主系統作為整體受損；數位化侵蝕公民與國家之對應關係，危害審議民主——傳統上問政府是否提供公共財，數位時代則須追問平台是否提供公共領域、誰承擔編輯與審議責任。</w:t>
      </w:r>
    </w:p>
    <w:p>
      <w:pPr>
        <w:pStyle w:val="ListParagraph"/>
        <w:numPr>
          <w:ilvl w:val="0"/>
          <w:numId w:val="2"/>
        </w:numPr>
        <w:spacing w:after="120" w:line="340"/>
      </w:pPr>
      <w:r>
        <w:rPr>
          <w:rFonts w:ascii="微軟正黑體" w:cs="微軟正黑體" w:eastAsia="微軟正黑體" w:hAnsi="微軟正黑體"/>
          <w:sz w:val="22"/>
          <w:szCs w:val="22"/>
        </w:rPr>
        <w:t xml:space="preserve">協同治理（Collaborative Governance）由安塞爾與加什（Ansell &amp; Gash, 2008）定義為：政府與非政府利害關係人進行正式、共識導向、審議之集體決策，以制訂或執行公共政策，含六項要件——政府發起、包含非政府行動者、正式集體決策、共識導向、審議、關注公共政策；延伸至協同AI治理，須追加檢視：AI代理人是否被明確界定為網絡中之「工具」而非「行動者」，以避免責任主體混淆；審議過程中AI輔助之意見分群或摘要工具，是否可能預先框定何謂「共識」。核心工具是人類監督強度三分類：人在迴路（HITL）、人在迴路之上（HOTL）、人於指揮（HIC）。</w:t>
      </w:r>
    </w:p>
    <w:p>
      <w:pPr>
        <w:pStyle w:val="ListParagraph"/>
        <w:numPr>
          <w:ilvl w:val="0"/>
          <w:numId w:val="2"/>
        </w:numPr>
        <w:spacing w:after="120" w:line="340"/>
      </w:pPr>
      <w:r>
        <w:rPr>
          <w:rFonts w:ascii="微軟正黑體" w:cs="微軟正黑體" w:eastAsia="微軟正黑體" w:hAnsi="微軟正黑體"/>
          <w:sz w:val="22"/>
          <w:szCs w:val="22"/>
        </w:rPr>
        <w:t xml:space="preserve">韌性治理（Resilient Governance）因COVID-19、氣候變遷與資安攻擊而興起，博因與洛奇（Boin &amp; Lodge, 2021）指出，韌性並非僅是危機後復原，更是事前預應與學習能力，其關鍵在於科技、流程、政策、人才、監管之融合。OECD（2023）更新AI原則，提出五大原則：包容成長與永續、公平與非歧視、透明與可解釋、堅韌與安全、課責，並依脈絡、資料與輸入、模型、任務與輸出四維度風險分級；歐盟（2024）通過《人工智慧法案》，是全球首部全面性AI法制，採風險分級管制。</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理論／概念</w:t>
            </w:r>
          </w:p>
        </w:tc>
        <w:tc>
          <w:tcPr>
            <w:tcW w:type="dxa" w:w="5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核心內容</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Dunleavy et al.（DEG三波）</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電子化→整合服務→政府即平台（GaaP）／政府即生態系；2023年第三波納入資料科學與生成式AI</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Katzenbach &amp; Ulbricht（2019）／Danaher（2016）</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演算法治理定義；「演算法統治」（algocracy）：決策不透明使公民難以理解、參與、挑戰規則</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Ansell &amp; Gash（2008）</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協同治理六要件：政府發起、含非政府行動者、正式集體決策、共識導向、審議、關注公共政策</w:t>
            </w:r>
          </w:p>
        </w:tc>
      </w:tr>
      <w:tr>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Habermas（2022, 2023）</w:t>
            </w:r>
          </w:p>
        </w:tc>
        <w:tc>
          <w:tcPr>
            <w:tcW w:type="dxa" w:w="5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數位公共領域批判：平台拒絕編輯責任、碎片化侵蝕審議民主</w:t>
            </w:r>
          </w:p>
        </w:tc>
      </w:tr>
      <w:tr>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Boin &amp; Lodge（2021）</w:t>
            </w:r>
          </w:p>
        </w:tc>
        <w:tc>
          <w:tcPr>
            <w:tcW w:type="dxa" w:w="5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韌性治理：非僅危機復原，更是事前預應與學習能力，關鍵在科技流程政策人才監管之融合</w:t>
            </w:r>
          </w:p>
        </w:tc>
      </w:tr>
    </w:tbl>
    <w:p>
      <w:pPr>
        <w:spacing w:after="280" w:before="120"/>
        <w:jc w:val="center"/>
      </w:pPr>
      <w:r>
        <w:rPr>
          <w:rFonts w:ascii="微軟正黑體" w:cs="微軟正黑體" w:eastAsia="微軟正黑體" w:hAnsi="微軟正黑體"/>
          <w:i/>
          <w:iCs/>
          <w:color w:val="555555"/>
          <w:sz w:val="18"/>
          <w:szCs w:val="18"/>
        </w:rPr>
        <w:t xml:space="preserve">表9-L　演算法治理、協同治理與韌性治理主要學者</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元治理指「治理治理者」的層級——當協同網絡本身納入AI代理人與私部門平台，誰來監督這個網絡整體之運作，便成為新的治理難題；元治理可歸納為四類具體工具：制度設計（建立參與規則、決策程序、資訊公開與爭議處理機制）、資源配置（透過經費、資料、技術與專業支持，調整網絡中的權力不對等）、敘事與框架設定（界定公共問題、共同目標與政策方向）、監督與評估（建立績效衡量、第三方審查、申訴救濟與退出機制）。虛擬政府之想像進一步延伸至數位分身政府（Digital Twin Government）與主權AI（Sovereign AI，國家對關鍵AI模型與基礎設施保有自主可控能力之主張）。</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協同治理平台之意見分群、共識摘要演算法，預先框定哪些意見被視為「主流共識」）、行政裁量權（P2，演算法治理下之資格審查、風險預測與資源分配決定，實質承擔原本應由公務員審酌個案脈絡之裁量功能）、公權力影響力（P3，元治理層級高度依賴少數AI模型供應商與雲端服務商，這些私部門行動者對治理網絡整體運作規則之影響力已近似於網絡治理秩序之共同制定者）；並伴隨三種結構性效應：跨格移動（原屬制度結構層之集體決策下滲至管理運作層之個別演算法參數設定）、邊界消解（官僚、市場、網絡三種治理邏輯之邊界日益模糊）、權威重構（監督AI代理人與平台運作之權力，部分從民主課責機制轉移至掌握模型與資料基礎設施之技術行為者手中）。</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演算法治理與協同AI治理六要件</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提供系統性工具檢視AI代理人納入治理網絡後之責任主體界定與監督強度</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「人在迴路」等監督強度分類須有明確宣告機制，否則易淪為口號而非實質落實</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元治理與三種權力移轉／結構性效應</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揭示AI鑲嵌治理中權力如何從民主課責機制悄然轉移至技術行為者，補足傳統治理理論之分析空缺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元治理本身如何被監督（治理治理者的治理者是誰）仍是尚待解決之遞迴難題</w:t>
            </w:r>
          </w:p>
        </w:tc>
      </w:tr>
    </w:tbl>
    <w:p>
      <w:pPr>
        <w:spacing w:after="280" w:before="120"/>
        <w:jc w:val="center"/>
      </w:pPr>
      <w:r>
        <w:rPr>
          <w:rFonts w:ascii="微軟正黑體" w:cs="微軟正黑體" w:eastAsia="微軟正黑體" w:hAnsi="微軟正黑體"/>
          <w:i/>
          <w:iCs/>
          <w:color w:val="555555"/>
          <w:sz w:val="18"/>
          <w:szCs w:val="18"/>
        </w:rPr>
        <w:t xml:space="preserve">表9-M　AI鑲嵌治理架構之貢獻與限制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EU AI Act（2024）依風險分級：不可接受風險（如政府對公民社會信用評分，全面禁止）、高風險（如履歷篩選、司法風險評估，須強制性符合性評估、資料治理、人工監督、可追溯、可解釋性）、有限風險（如生成式AI聊天機器人，需透明性義務）、最小風險（如垃圾郵件過濾，自願行為準則）；這對台灣有三點啟示：AI治理不只是技術治理，更是公共價值衝突管理；需建立公共部門AI登記、演算法影響評估（AIA）、可解釋性報告與人工覆核救濟通道；政府角色須從持有資料，轉為管理資料基礎建設與模型稽核能力之後設治理者。</w:t>
      </w:r>
    </w:p>
    <w:p>
      <w:pPr>
        <w:spacing w:after="200" w:line="360"/>
        <w:ind w:firstLine="431"/>
        <w:jc w:val="both"/>
      </w:pPr>
      <w:r>
        <w:rPr>
          <w:rFonts w:ascii="微軟正黑體" w:cs="微軟正黑體" w:eastAsia="微軟正黑體" w:hAnsi="微軟正黑體"/>
          <w:sz w:val="22"/>
          <w:szCs w:val="22"/>
        </w:rPr>
        <w:t xml:space="preserve">AI治理之公平性，不只在於模型是否對不同群體產生相同錯誤率，也包括不同群體是否具有使用數位服務、理解決策理由及提出異議之能力；政府導入AI服務時，至少應保留非數位替代管道、真人服務與人工覆核、多語言與無障礙介面、清楚易懂之決策理由、申訴更正與重新審查機制、對弱勢群體之差異影響評估等安全網。緊急治理與常態治理之分際亦須注意：緊急狀態下之快速協力可合理降低部分程序成本，但緊急措施若延續至常態治理，則須重新檢視法律授權、資料保存期限、目的外利用、第三方監督與人民救濟等問題，緊急治理之正當性不能自動延伸為常態治理之正當性。</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台灣的治理數位化路徑清楚呈現「疊加」而非「取代」之特徵：從口罩地圖之協同數位基礎建設，到TAIDE主權AI對話引擎之建置，再到監理沙盒與演算法影響評估（AIA）指引之逐步導入。vTaiwan與Polis協作平台是協同AI治理最具代表性之台灣案例：vTaiwan結合線上與線下審議，處理如Uber納管、電商酒類銷售等具高度爭議性之政策議題；Polis則是開源意見分群工具，運用統計與視覺化技術將數千名參與者之意見自動分群為若干共識群體，協助政策制定者快速掌握「哪些立場獲得跨陣營支持」——其特殊之處在於用AI輔助審議而非取代審議，分群結果仍須交由人類參與者與政策制定者共同詮釋與決策。COVID-19期間之1922簡訊實聯制，則是「協力成功、但元治理失靈」之對照案例：資料保存期限、目的外利用界線與整體監督權責，在系統快速上線之壓力下並未充分制度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①DEG三波演進（Dunleavy）：電子化→整合服務→政府即平台（GaaP）／政府即生態系</w:t>
            </w:r>
          </w:p>
          <w:p>
            <w:pPr>
              <w:spacing w:after="80" w:line="320"/>
            </w:pPr>
            <w:r>
              <w:rPr>
                <w:rFonts w:ascii="微軟正黑體" w:cs="微軟正黑體" w:eastAsia="微軟正黑體" w:hAnsi="微軟正黑體"/>
                <w:sz w:val="21"/>
                <w:szCs w:val="21"/>
              </w:rPr>
              <w:t xml:space="preserve">•　②演算法治理三大風險：偏見歧視放大／課責稀釋／可解釋性不足；「演算法統治」（algocracy）</w:t>
            </w:r>
          </w:p>
          <w:p>
            <w:pPr>
              <w:spacing w:after="80" w:line="320"/>
            </w:pPr>
            <w:r>
              <w:rPr>
                <w:rFonts w:ascii="微軟正黑體" w:cs="微軟正黑體" w:eastAsia="微軟正黑體" w:hAnsi="微軟正黑體"/>
                <w:sz w:val="21"/>
                <w:szCs w:val="21"/>
              </w:rPr>
              <w:t xml:space="preserve">•　③協同治理六要件（Ansell &amp; Gash）延伸至協同AI治理；人類監督強度三分類：HITL／HOTL／HIC</w:t>
            </w:r>
          </w:p>
          <w:p>
            <w:pPr>
              <w:spacing w:after="80" w:line="320"/>
            </w:pPr>
            <w:r>
              <w:rPr>
                <w:rFonts w:ascii="微軟正黑體" w:cs="微軟正黑體" w:eastAsia="微軟正黑體" w:hAnsi="微軟正黑體"/>
                <w:sz w:val="21"/>
                <w:szCs w:val="21"/>
              </w:rPr>
              <w:t xml:space="preserve">•　④元治理定義與四類工具：制度設計／資源配置／敘事框架設定／監督評估；主權AI、數位分身政府</w:t>
            </w:r>
          </w:p>
          <w:p>
            <w:pPr>
              <w:spacing w:after="80" w:line="320"/>
            </w:pPr>
            <w:r>
              <w:rPr>
                <w:rFonts w:ascii="微軟正黑體" w:cs="微軟正黑體" w:eastAsia="微軟正黑體" w:hAnsi="微軟正黑體"/>
                <w:sz w:val="21"/>
                <w:szCs w:val="21"/>
              </w:rPr>
              <w:t xml:space="preserve">•　⑤三種權力移轉（情境建構權／行政裁量權／公權力影響力）與三種結構性效應（跨格移動／邊界消解／權威重構）</w:t>
            </w:r>
          </w:p>
          <w:p>
            <w:pPr>
              <w:spacing w:after="80" w:line="320"/>
            </w:pPr>
            <w:r>
              <w:rPr>
                <w:rFonts w:ascii="微軟正黑體" w:cs="微軟正黑體" w:eastAsia="微軟正黑體" w:hAnsi="微軟正黑體"/>
                <w:sz w:val="21"/>
                <w:szCs w:val="21"/>
              </w:rPr>
              <w:t xml:space="preserve">•　⑥EU AI Act 2024四級風險分級管制架構；OECD 2023 AI五大原則</w:t>
            </w:r>
          </w:p>
          <w:p>
            <w:pPr>
              <w:spacing w:after="0" w:line="320"/>
            </w:pPr>
            <w:r>
              <w:rPr>
                <w:rFonts w:ascii="微軟正黑體" w:cs="微軟正黑體" w:eastAsia="微軟正黑體" w:hAnsi="微軟正黑體"/>
                <w:sz w:val="21"/>
                <w:szCs w:val="21"/>
              </w:rPr>
              <w:t xml:space="preserve">•　⑦vTaiwan／Polis案例；1922簡訊實聯制「協力成功、元治理失靈」對照案例；緊急治理vs.常態治理</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DEG三波口訣：電（子化）、整（合服務）、平（台GaaP）——「電整平」三字訣，與第八章GovTech脈絡呼應</w:t>
            </w:r>
          </w:p>
          <w:p>
            <w:pPr>
              <w:spacing w:after="80" w:line="320"/>
            </w:pPr>
            <w:r>
              <w:rPr>
                <w:rFonts w:ascii="微軟正黑體" w:cs="微軟正黑體" w:eastAsia="微軟正黑體" w:hAnsi="微軟正黑體"/>
                <w:sz w:val="21"/>
                <w:szCs w:val="21"/>
              </w:rPr>
              <w:t xml:space="preserve">•　人類監督強度三分類記憶：迴（路中，HITL最強）、迴之上（HOTL，監督不介入）、指揮（HIC，人下指令AI執行）——監督強度依序遞減</w:t>
            </w:r>
          </w:p>
          <w:p>
            <w:pPr>
              <w:spacing w:after="80" w:line="320"/>
            </w:pPr>
            <w:r>
              <w:rPr>
                <w:rFonts w:ascii="微軟正黑體" w:cs="微軟正黑體" w:eastAsia="微軟正黑體" w:hAnsi="微軟正黑體"/>
                <w:sz w:val="21"/>
                <w:szCs w:val="21"/>
              </w:rPr>
              <w:t xml:space="preserve">•　元治理四工具口訣：制（度設計）、資（源配置）、敘（事框架）、監（督評估）——「制資敘監」四字訣</w:t>
            </w:r>
          </w:p>
          <w:p>
            <w:pPr>
              <w:spacing w:after="0" w:line="320"/>
            </w:pPr>
            <w:r>
              <w:rPr>
                <w:rFonts w:ascii="微軟正黑體" w:cs="微軟正黑體" w:eastAsia="微軟正黑體" w:hAnsi="微軟正黑體"/>
                <w:sz w:val="21"/>
                <w:szCs w:val="21"/>
              </w:rPr>
              <w:t xml:space="preserve">•　三種權力移轉記憶：P1框問題（情境建構）、P2做決定（行政裁量）、P3定規則（公權力影響力）——與第八章平台治理架構相同邏輯</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「協同治理」（Ansell &amp; Gash，政府與非政府行動者之正式集體決策，六要件）與「協同AI治理」（將AI代理人納入協同治理網絡後之延伸架構）常被考生視為同一概念——後者是前者在AI時代之延伸應用，關鍵差異在於須額外檢視AI代理人是否被界定為「工具」而非「行動者」，以及人類監督強度是否明確宣告，並非單純換句話說。</w:t>
            </w:r>
          </w:p>
          <w:p>
            <w:pPr>
              <w:spacing w:after="0" w:line="320"/>
            </w:pPr>
            <w:r>
              <w:rPr>
                <w:rFonts w:ascii="微軟正黑體" w:cs="微軟正黑體" w:eastAsia="微軟正黑體" w:hAnsi="微軟正黑體"/>
                <w:sz w:val="21"/>
                <w:szCs w:val="21"/>
              </w:rPr>
              <w:t xml:space="preserve">•　「元治理」（Metagovernance，治理治理者，監督整個協同網絡運作之後設層級）與「治理」常被考生混為一談——治理是政府與多元行動者管理事務之協調過程本身，元治理則是「監督這套協調過程整體運作」之更高層級後設安排，兩者是「層級」關係而非同義詞，這正是1922簡訊實聯制案例所凸顯之關鍵區辨。</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以下依A級基本題、B級比較題、C級綜合題三種難度示範解題流程。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110年公務人員特種考試地方政府公務人員三等考試（一般行政），行政學，申論題（25分）——完全符合一般行政類科、地方特考三等（相當高考三級）目標等別，內容對應本章第二節治理失靈與Peters四模式，同時參照第23章財務管理與績效管理之政府績效議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「民主國家的政府常被民眾詬病績效不彰，請說明可能的原因為何？並試分析可以藉由何種『政府再造』的運作原則加以改進？（25分）」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原因分析＋改革方案應用題」，考生須先分析政府績效不彰之可能原因，再運用政府再造（可扣連Peters四模式與治理失靈架構）之運作原則提出改進之道——僅列舉政府績效不彰之表面現象而未扣連治理理論架構，或僅背誦政府再造原則清單而未回應「績效不彰之原因」，均屬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政府績效不彰原因 ＋ 治理失靈 ＋ Peters四模式 ＋ 政府再造運作原則。</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一、前言：民主政府績效不彰之治理脈絡</w:t>
      </w:r>
    </w:p>
    <w:p>
      <w:pPr>
        <w:pStyle w:val="ListParagraph"/>
        <w:numPr>
          <w:ilvl w:val="0"/>
          <w:numId w:val="2"/>
        </w:numPr>
        <w:spacing w:after="120" w:line="340"/>
      </w:pPr>
      <w:r>
        <w:rPr>
          <w:rFonts w:ascii="微軟正黑體" w:cs="微軟正黑體" w:eastAsia="微軟正黑體" w:hAnsi="微軟正黑體"/>
          <w:sz w:val="22"/>
          <w:szCs w:val="22"/>
        </w:rPr>
        <w:t xml:space="preserve">二、政府績效不彰之可能原因（治理失靈架構）</w:t>
      </w:r>
    </w:p>
    <w:p>
      <w:pPr>
        <w:pStyle w:val="ListParagraph"/>
        <w:numPr>
          <w:ilvl w:val="0"/>
          <w:numId w:val="2"/>
        </w:numPr>
        <w:spacing w:after="120" w:line="340"/>
      </w:pPr>
      <w:r>
        <w:rPr>
          <w:rFonts w:ascii="微軟正黑體" w:cs="微軟正黑體" w:eastAsia="微軟正黑體" w:hAnsi="微軟正黑體"/>
          <w:sz w:val="22"/>
          <w:szCs w:val="22"/>
        </w:rPr>
        <w:t xml:space="preserve">三、政府再造之運作原則及其對應改進策略</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民主國家政府績效不彰，常源於官僚治理之典型失靈：層級節制導致決策遲延、依法行政流於程序主義、永業化文官體制回應遲緩，此外亦可能參雜市場治理引入不當所致之公共性流失，或網絡治理下之責任分散問題。</w:t>
      </w:r>
    </w:p>
    <w:p>
      <w:pPr>
        <w:spacing w:after="200" w:line="360"/>
        <w:ind w:firstLine="431"/>
        <w:jc w:val="both"/>
      </w:pPr>
      <w:r>
        <w:rPr>
          <w:rFonts w:ascii="微軟正黑體" w:cs="微軟正黑體" w:eastAsia="微軟正黑體" w:hAnsi="微軟正黑體"/>
          <w:sz w:val="22"/>
          <w:szCs w:val="22"/>
        </w:rPr>
        <w:t xml:space="preserve">改進之道可運用Peters（1996）四種治理模式之運作原則：市場模式主張分權化、引進市場競爭與契約化，以競爭機制刺激績效提升；參與模式主張扁平化與公民直接參與，透過民主監督提升回應性；彈性模式主張任務編組與任期制，打破永業僵化人事；鬆綁模式主張簡化規則、賦能基層，減少繁文縟節對績效之拖累。</w:t>
      </w:r>
    </w:p>
    <w:p>
      <w:pPr>
        <w:spacing w:after="200" w:line="360"/>
        <w:ind w:firstLine="431"/>
        <w:jc w:val="both"/>
      </w:pPr>
      <w:r>
        <w:rPr>
          <w:rFonts w:ascii="微軟正黑體" w:cs="微軟正黑體" w:eastAsia="微軟正黑體" w:hAnsi="微軟正黑體"/>
          <w:sz w:val="22"/>
          <w:szCs w:val="22"/>
        </w:rPr>
        <w:t xml:space="preserve">政府應依機關業務性質，靈活選用適當之政府再造原則進行改進，而非單一套用某一模式，方能兼顧效率提升與公共性維持之平衡。</w:t>
      </w:r>
    </w:p>
    <w:p>
      <w:pPr>
        <w:spacing w:after="100" w:before="160"/>
      </w:pPr>
      <w:r>
        <w:rPr>
          <w:rFonts w:ascii="微軟正黑體" w:cs="微軟正黑體" w:eastAsia="微軟正黑體" w:hAnsi="微軟正黑體"/>
          <w:b/>
          <w:bCs/>
          <w:color w:val="444444"/>
          <w:sz w:val="21"/>
          <w:szCs w:val="21"/>
        </w:rPr>
        <w:t xml:space="preserve">【參考答案·標準版】（約1,100-1,400字，主要示範答案）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民主國家政府績效不彰之現象，普遍存在於各國治理實務，其根源往往並非單一因素，而是官僚、市場、網絡三種治理邏輯各自可能出現之典型失靈交織所致；欲對症下藥，須先系統性分析可能原因，再運用政府再造之運作原則提出對應之改進策略。</w:t>
      </w:r>
    </w:p>
    <w:p>
      <w:pPr>
        <w:spacing w:after="200" w:line="360"/>
        <w:ind w:firstLine="431"/>
        <w:jc w:val="both"/>
      </w:pPr>
      <w:r>
        <w:rPr>
          <w:rFonts w:ascii="微軟正黑體" w:cs="微軟正黑體" w:eastAsia="微軟正黑體" w:hAnsi="微軟正黑體"/>
          <w:sz w:val="22"/>
          <w:szCs w:val="22"/>
        </w:rPr>
        <w:t xml:space="preserve">二、政府績效不彰之可能原因</w:t>
      </w:r>
    </w:p>
    <w:p>
      <w:pPr>
        <w:spacing w:after="200" w:line="360"/>
        <w:ind w:firstLine="431"/>
        <w:jc w:val="both"/>
      </w:pPr>
      <w:r>
        <w:rPr>
          <w:rFonts w:ascii="微軟正黑體" w:cs="微軟正黑體" w:eastAsia="微軟正黑體" w:hAnsi="微軟正黑體"/>
          <w:sz w:val="22"/>
          <w:szCs w:val="22"/>
        </w:rPr>
        <w:t xml:space="preserve">其一，官僚治理失靈：層級節制與依法行政雖確保法治穩定與責任明確，惟過度強調程序合規，容易導致決策遲延、繁文縟節與回應遲緩，永業化文官體制亦可能形成年資主義與僵化人事，抑制創新與效率。其二，市場治理引入不當：若過度移植私部門效率邏輯而忽略公共性維持，可能造成服務公平性流失、弱勢群體排除等問題，反而侵蝕民眾對政府之信任與滿意度。其三，網絡治理協調失靈：當政府職能大量分散予各類代理機構、私部門夥伴或協力團體時，容易產生責任歸屬模糊、協調成本過高與代表性不足等問題，形成課責空隙。其四，六項治理能力不足：政府若欠缺整合、協作、數位、法規、反思與民主課責能力，即便有心改革，亦難以有效回應民眾期待。</w:t>
      </w:r>
    </w:p>
    <w:p>
      <w:pPr>
        <w:spacing w:after="200" w:line="360"/>
        <w:ind w:firstLine="431"/>
        <w:jc w:val="both"/>
      </w:pPr>
      <w:r>
        <w:rPr>
          <w:rFonts w:ascii="微軟正黑體" w:cs="微軟正黑體" w:eastAsia="微軟正黑體" w:hAnsi="微軟正黑體"/>
          <w:sz w:val="22"/>
          <w:szCs w:val="22"/>
        </w:rPr>
        <w:t xml:space="preserve">三、政府再造之運作原則及其對應改進策略</w:t>
      </w:r>
    </w:p>
    <w:p>
      <w:pPr>
        <w:spacing w:after="200" w:line="360"/>
        <w:ind w:firstLine="431"/>
        <w:jc w:val="both"/>
      </w:pPr>
      <w:r>
        <w:rPr>
          <w:rFonts w:ascii="微軟正黑體" w:cs="微軟正黑體" w:eastAsia="微軟正黑體" w:hAnsi="微軟正黑體"/>
          <w:sz w:val="22"/>
          <w:szCs w:val="22"/>
        </w:rPr>
        <w:t xml:space="preserve">依Peters（1996）四種治理模式，可依政府績效不彰之具體成因，選用對應之運作原則：其一，若病因在於官僚缺乏競爭與獨占，可採市場模式之分權化、引進市場與競爭、契約化等原則，透過競爭機制與績效誘因提升效率；其二，若病因在於層級節制、公民疏離，可採參與模式之扁平化、團隊合作與公民直接參與，透過民主監督機制強化政府回應性與正當性；其三，若病因在於永業制與僵化人事，可採彈性模式之任務編組、任期制與彈性用人，打破年資主義對績效之抑制；其四，若病因在於過度規則與內部管制過多，可採鬆綁模式之簡化規則、賦能基層，減少繁文縟節對第一線公務人員之束縛。政府再造之運作，須依機關業務性質與績效不彰之具體病因，靈活搭配上述原則，而非機械式全面套用單一模式。</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民主國家政府績效不彰，是官僚、市場、網絡三種治理邏輯各自可能出現之典型失靈交織之結果，並非單一原因所能解釋；政府再造之運作原則，提供了依問題性質靈活配置改革策略之工具箱，惟須注意各模式亦各有其風險（市場模式恐生市場失靈與公平性流失、參與模式恐生效率降低與參與疲乏、彈性模式恐生人事不穩、鬆綁模式恐生舊官僚濫權回歸），改革者須在提升績效與維持公共性、課責性之間，審慎權衡。</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補充理論深化：可引入World Bank治理四面向（公共部門管理、課責性、發展的法律框架、透明與資訊）作為評估政府績效之補充架構，說明績效不彰亦可能源於課責性與透明度之制度性不足，而非僅是效率問題。</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補充當代批判：可指出政府再造若僅套用市場模式而忽略六項治理能力中之「反思能力」與「民主課責能力」，恐使改革淪為表面績效指標之達成，而未能真正提升民眾對政府之信任與滿意度。</w:t>
      </w:r>
    </w:p>
    <w:p>
      <w:pPr>
        <w:pStyle w:val="ListParagraph"/>
        <w:numPr>
          <w:ilvl w:val="0"/>
          <w:numId w:val="2"/>
        </w:numPr>
        <w:spacing w:after="120" w:line="340"/>
      </w:pPr>
      <w:r>
        <w:rPr>
          <w:rFonts w:ascii="微軟正黑體" w:cs="微軟正黑體" w:eastAsia="微軟正黑體" w:hAnsi="微軟正黑體"/>
          <w:sz w:val="22"/>
          <w:szCs w:val="22"/>
        </w:rPr>
        <w:t xml:space="preserve">補充數位治理視角：可延伸說明，當代政府績效提升已不限於組織結構調整，亦涉及數位能力與資料治理能力之建構（呼應本章第五節DEG與演算法治理討論），例如運用數位化工具強化服務回應時效與透明度，惟須同步注意演算法課責與可解釋性風險。</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案例：可具體舉出我國Join公共政策參與平臺（參與模式實踐）、機要與約聘僱彈性用人（彈性模式實踐）、行政程序簡化與一站式服務（鬆綁模式實踐）等具體案例，強化答案之時事掌握度與在地連結。</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原因分析須具體扣連官僚、市場、網絡三種治理邏輯之典型失靈，不可僅籠統描述「公務員效率低落」等表面現象。</w:t>
      </w:r>
    </w:p>
    <w:p>
      <w:pPr>
        <w:pStyle w:val="ListParagraph"/>
        <w:numPr>
          <w:ilvl w:val="0"/>
          <w:numId w:val="2"/>
        </w:numPr>
        <w:spacing w:after="120" w:line="340"/>
      </w:pPr>
      <w:r>
        <w:rPr>
          <w:rFonts w:ascii="微軟正黑體" w:cs="微軟正黑體" w:eastAsia="微軟正黑體" w:hAnsi="微軟正黑體"/>
          <w:sz w:val="22"/>
          <w:szCs w:val="22"/>
        </w:rPr>
        <w:t xml:space="preserve">政府再造之運作原則須明確對應Peters四模式，並具體說明每一模式之運作邏輯，不可僅列舉原則名稱而無實質內容。</w:t>
      </w:r>
    </w:p>
    <w:p>
      <w:pPr>
        <w:pStyle w:val="ListParagraph"/>
        <w:numPr>
          <w:ilvl w:val="0"/>
          <w:numId w:val="2"/>
        </w:numPr>
        <w:spacing w:after="120" w:line="340"/>
      </w:pPr>
      <w:r>
        <w:rPr>
          <w:rFonts w:ascii="微軟正黑體" w:cs="微軟正黑體" w:eastAsia="微軟正黑體" w:hAnsi="微軟正黑體"/>
          <w:sz w:val="22"/>
          <w:szCs w:val="22"/>
        </w:rPr>
        <w:t xml:space="preserve">若能指出各項改革原則亦各有其風險，展現辯證思考而非單向倡議，是本題拉開分數差距之關鍵。</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僅列舉政府績效不彰之個人印象式原因（如「公務員不認真」），未扣連任何治理理論架構。</w:t>
      </w:r>
    </w:p>
    <w:p>
      <w:pPr>
        <w:pStyle w:val="ListParagraph"/>
        <w:numPr>
          <w:ilvl w:val="0"/>
          <w:numId w:val="2"/>
        </w:numPr>
        <w:spacing w:after="120" w:line="340"/>
      </w:pPr>
      <w:r>
        <w:rPr>
          <w:rFonts w:ascii="微軟正黑體" w:cs="微軟正黑體" w:eastAsia="微軟正黑體" w:hAnsi="微軟正黑體"/>
          <w:sz w:val="22"/>
          <w:szCs w:val="22"/>
        </w:rPr>
        <w:t xml:space="preserve">❌ 政府再造原則與前述原因分析脫節，未能對應具體病因提出對應之改革策略。</w:t>
      </w:r>
    </w:p>
    <w:p>
      <w:pPr>
        <w:pStyle w:val="ListParagraph"/>
        <w:numPr>
          <w:ilvl w:val="0"/>
          <w:numId w:val="2"/>
        </w:numPr>
        <w:spacing w:after="120" w:line="340"/>
      </w:pPr>
      <w:r>
        <w:rPr>
          <w:rFonts w:ascii="微軟正黑體" w:cs="微軟正黑體" w:eastAsia="微軟正黑體" w:hAnsi="微軟正黑體"/>
          <w:sz w:val="22"/>
          <w:szCs w:val="22"/>
        </w:rPr>
        <w:t xml:space="preserve">❌ 通篇僅倡議改革而未提及任何模式可能之風險或限制，論述流於片面。</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考題出處</w:t>
            </w:r>
          </w:p>
          <w:p>
            <w:pPr>
              <w:spacing w:line="340"/>
              <w:jc w:val="both"/>
            </w:pPr>
            <w:r>
              <w:rPr>
                <w:rFonts w:ascii="微軟正黑體" w:cs="微軟正黑體" w:eastAsia="微軟正黑體" w:hAnsi="微軟正黑體"/>
                <w:sz w:val="21"/>
                <w:szCs w:val="21"/>
              </w:rPr>
              <w:t xml:space="preserve">107年公務人員特種考試地方政府公務人員三等考試（一般行政），行政學，申論題（25分）——本題原保留於第七章「行政環境」語料標記中（因涉及府際互動之廣義環境關聯），惟核心內容（協議機制之準備、探查、提議過程）實質對應本章跨域治理理論，故改列本章完整解題。</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府際間為解決衝突或促成合作，常運用協議（Negotiating）的機制。該機制包含『準備（preparing）』、『探查（probing）』、『提議（proposing）』等過程，試舉一府際協議案例，說明如何經由此等過程解決府際關係問題。（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說明＋案例應用題」，考生須先說明府際協議機制之三階段過程（準備、探查、提議），再舉一具體府際協議案例，逐一說明如何經由此三階段解決府際關係問題——僅描述案例始末而未扣連準備、探查、提議三階段架構，屬於見樹不見林。</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府際協議機制 ＋ 準備／探查／提議三階段 ＋ 跨域治理 ＋ 具體案例應用。</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一、前言：跨域治理下之府際協議機制</w:t>
      </w:r>
    </w:p>
    <w:p>
      <w:pPr>
        <w:pStyle w:val="ListParagraph"/>
        <w:numPr>
          <w:ilvl w:val="0"/>
          <w:numId w:val="2"/>
        </w:numPr>
        <w:spacing w:after="120" w:line="340"/>
      </w:pPr>
      <w:r>
        <w:rPr>
          <w:rFonts w:ascii="微軟正黑體" w:cs="微軟正黑體" w:eastAsia="微軟正黑體" w:hAnsi="微軟正黑體"/>
          <w:sz w:val="22"/>
          <w:szCs w:val="22"/>
        </w:rPr>
        <w:t xml:space="preserve">二、府際協議機制三階段：準備、探查、提議</w:t>
      </w:r>
    </w:p>
    <w:p>
      <w:pPr>
        <w:pStyle w:val="ListParagraph"/>
        <w:numPr>
          <w:ilvl w:val="0"/>
          <w:numId w:val="2"/>
        </w:numPr>
        <w:spacing w:after="120" w:line="340"/>
      </w:pPr>
      <w:r>
        <w:rPr>
          <w:rFonts w:ascii="微軟正黑體" w:cs="微軟正黑體" w:eastAsia="微軟正黑體" w:hAnsi="微軟正黑體"/>
          <w:sz w:val="22"/>
          <w:szCs w:val="22"/>
        </w:rPr>
        <w:t xml:space="preserve">三、具體案例應用：以COVID-19跨域防疫協作為例</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跨域治理強調系統思維、宏微兼具與參與者相依性，我國地方制度法第24條至24-3條，明定直轄市、縣市、鄉鎮市得合辦事業、成立區域合作組織、訂定協議與行政契約；然而府際間因資源、權責與利益立場不同，衝突在所難免，故常運用協議（Negotiating）機制，透過準備、探查、提議三階段過程，促成合作或化解衝突。</w:t>
      </w:r>
    </w:p>
    <w:p>
      <w:pPr>
        <w:spacing w:after="200" w:line="360"/>
        <w:ind w:firstLine="431"/>
        <w:jc w:val="both"/>
      </w:pPr>
      <w:r>
        <w:rPr>
          <w:rFonts w:ascii="微軟正黑體" w:cs="微軟正黑體" w:eastAsia="微軟正黑體" w:hAnsi="微軟正黑體"/>
          <w:sz w:val="22"/>
          <w:szCs w:val="22"/>
        </w:rPr>
        <w:t xml:space="preserve">二、府際協議機制三階段</w:t>
      </w:r>
    </w:p>
    <w:p>
      <w:pPr>
        <w:spacing w:after="200" w:line="360"/>
        <w:ind w:firstLine="431"/>
        <w:jc w:val="both"/>
      </w:pPr>
      <w:r>
        <w:rPr>
          <w:rFonts w:ascii="微軟正黑體" w:cs="微軟正黑體" w:eastAsia="微軟正黑體" w:hAnsi="微軟正黑體"/>
          <w:sz w:val="22"/>
          <w:szCs w:val="22"/>
        </w:rPr>
        <w:t xml:space="preserve">其一，準備（Preparing）階段：各府際行動者釐清自身立場、利益與底線，並蒐集相關資訊與法制依據，評估合作或協議之可行性與風險；其二，探查（Probing）階段：各方透過非正式溝通、意見交換，試探對方之立場彈性與可能讓步空間，尋找雙方利益之交集，此階段強調建立初步信任與資訊透明；其三，提議（Proposing）階段：在前兩階段基礎上，正式提出具體協議方案，包括權責分工、費用分攤、期間與生效要件，並依地方制度法相關規定完成協議簽署或訂定行政契約，落實府際合作。</w:t>
      </w:r>
    </w:p>
    <w:p>
      <w:pPr>
        <w:spacing w:after="200" w:line="360"/>
        <w:ind w:firstLine="431"/>
        <w:jc w:val="both"/>
      </w:pPr>
      <w:r>
        <w:rPr>
          <w:rFonts w:ascii="微軟正黑體" w:cs="微軟正黑體" w:eastAsia="微軟正黑體" w:hAnsi="微軟正黑體"/>
          <w:sz w:val="22"/>
          <w:szCs w:val="22"/>
        </w:rPr>
        <w:t xml:space="preserve">三、具體案例應用：COVID-19跨域防疫協作</w:t>
      </w:r>
    </w:p>
    <w:p>
      <w:pPr>
        <w:spacing w:after="200" w:line="360"/>
        <w:ind w:firstLine="431"/>
        <w:jc w:val="both"/>
      </w:pPr>
      <w:r>
        <w:rPr>
          <w:rFonts w:ascii="微軟正黑體" w:cs="微軟正黑體" w:eastAsia="微軟正黑體" w:hAnsi="微軟正黑體"/>
          <w:sz w:val="22"/>
          <w:szCs w:val="22"/>
        </w:rPr>
        <w:t xml:space="preserve">以COVID-19疫情期間之跨域防疫協作為例：準備階段，中央流行疫情指揮中心與各地方政府衛生局，分別依疫情資訊蒐集所轄轄區之防疫量能、醫療資源與人力配置現況，作為後續協商基礎；探查階段，中央與地方政府透過每日疫情記者會、跨部會協調會議等機制，就居家隔離、關懷追蹤、疫苗配送等業務之權責分工進行意見交換，探詢地方政府之執行能量與意願；提議階段，中央流行疫情指揮中心正式訂定SOP，明確劃分中央（政策訂定、資源統籌）與地方（居家隔離執行、關懷追蹤、民政系統里長里幹事協助居家檢疫、警政協助裁罰與強制安置）之權責分工，形成跨域協力網絡，體現資源互補與系統思維之具體實踐。</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府際協議機制之準備、探查、提議三階段，提供了系統化理解跨域合作形成過程之分析工具；COVID-19跨域防疫協作案例顯示，成功之府際協議，須奠基於充分之事前資訊準備、非正式之信任建立探查，方能在正式提議階段形成具體可行、權責分明之協議方案，這正是跨域治理「參與者相依性」特質之具體體現。</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須完整說明準備、探查、提議三階段之意涵，並清楚區辨三階段之先後邏輯與功能差異，不可僅籠統帶過。</w:t>
      </w:r>
    </w:p>
    <w:p>
      <w:pPr>
        <w:pStyle w:val="ListParagraph"/>
        <w:numPr>
          <w:ilvl w:val="0"/>
          <w:numId w:val="2"/>
        </w:numPr>
        <w:spacing w:after="120" w:line="340"/>
      </w:pPr>
      <w:r>
        <w:rPr>
          <w:rFonts w:ascii="微軟正黑體" w:cs="微軟正黑體" w:eastAsia="微軟正黑體" w:hAnsi="微軟正黑體"/>
          <w:sz w:val="22"/>
          <w:szCs w:val="22"/>
        </w:rPr>
        <w:t xml:space="preserve">案例應用須逐一對應三階段架構具體展開，不可僅描述案例本身而未扣連協議機制理論。</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僅描述府際協議案例之政策內容，未依「準備、探查、提議」三階段架構逐一分析。</w:t>
      </w:r>
    </w:p>
    <w:p>
      <w:pPr>
        <w:pStyle w:val="ListParagraph"/>
        <w:numPr>
          <w:ilvl w:val="0"/>
          <w:numId w:val="2"/>
        </w:numPr>
        <w:spacing w:after="120" w:line="340"/>
      </w:pPr>
      <w:r>
        <w:rPr>
          <w:rFonts w:ascii="微軟正黑體" w:cs="微軟正黑體" w:eastAsia="微軟正黑體" w:hAnsi="微軟正黑體"/>
          <w:sz w:val="22"/>
          <w:szCs w:val="22"/>
        </w:rPr>
        <w:t xml:space="preserve">❌ 混淆準備與探查階段之功能（如將正式立場確立誤植於探查階段），顯示對三階段先後邏輯掌握不精確。</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可補充引用跨域治理三特質（系統思維、兼顧宏觀與微觀、參與者相依性），說明府際協議機制正是「參與者相依性」特質之制度化操作工具，深化理論與案例之連結層次。</w:t>
      </w:r>
    </w:p>
    <w:p>
      <w:pPr>
        <w:pStyle w:val="ListParagraph"/>
        <w:numPr>
          <w:ilvl w:val="0"/>
          <w:numId w:val="2"/>
        </w:numPr>
        <w:spacing w:after="120" w:line="340"/>
      </w:pPr>
      <w:r>
        <w:rPr>
          <w:rFonts w:ascii="微軟正黑體" w:cs="微軟正黑體" w:eastAsia="微軟正黑體" w:hAnsi="微軟正黑體"/>
          <w:sz w:val="22"/>
          <w:szCs w:val="22"/>
        </w:rPr>
        <w:t xml:space="preserve">可補充其他府際協議案例（如流域保育跨縣市協作、區域垃圾焚化廠代處理協議）作為輔助佐證，展現對跨域治理實務案例之廣泛掌握。</w:t>
      </w:r>
    </w:p>
    <w:p>
      <w:pPr>
        <w:pStyle w:val="ListParagraph"/>
        <w:numPr>
          <w:ilvl w:val="0"/>
          <w:numId w:val="2"/>
        </w:numPr>
        <w:spacing w:after="120" w:line="340"/>
      </w:pPr>
      <w:r>
        <w:rPr>
          <w:rFonts w:ascii="微軟正黑體" w:cs="微軟正黑體" w:eastAsia="微軟正黑體" w:hAnsi="微軟正黑體"/>
          <w:sz w:val="22"/>
          <w:szCs w:val="22"/>
        </w:rPr>
        <w:t xml:space="preserve">可補充地方制度法第24條至24-3條之具體條文內涵（合辦事業、區域合作組織、行政契約、費用分攤、爭議協調機制），強化答案之法制精確度。</w:t>
      </w:r>
    </w:p>
    <w:p>
      <w:pPr>
        <w:pStyle w:val="ListParagraph"/>
        <w:numPr>
          <w:ilvl w:val="0"/>
          <w:numId w:val="2"/>
        </w:numPr>
        <w:spacing w:after="120" w:line="340"/>
      </w:pPr>
      <w:r>
        <w:rPr>
          <w:rFonts w:ascii="微軟正黑體" w:cs="微軟正黑體" w:eastAsia="微軟正黑體" w:hAnsi="微軟正黑體"/>
          <w:sz w:val="22"/>
          <w:szCs w:val="22"/>
        </w:rPr>
        <w:t xml:space="preserve">可補充當代數位治理視角：說明跨域資訊系統整合（如跨縣市防疫資料即時共享平台）已成為府際協議探查與提議階段之重要技術基礎，呼應本章第五節政府即平台與資料治理之當代發展。</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五節母體教材「AI鑲嵌下之演算法治理、協同AI治理與元治理」（含vTaiwan／Polis案例、四條治理鏈與七項治理審計架構）自行設計之模擬命題。本語料庫（107-111年）中，本章可完全對應一般行政類科之真題已用於題目一、題目二；現階段公開歷屆試題中尚未查得與協同AI治理及元治理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我國vTaiwan平台運用Polis意見分群工具，協助處理Uber納管等高度爭議之政策議題，被視為協同AI治理之成功實踐。請說明何謂『元治理』？並運用『三種權力移轉』架構，分析協同治理平台導入AI輔助工具後，可能產生哪些課責挑戰，最後提出強化元治理課責之政策建議。」</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架構應用＋政策建議題」，考生須依序完成三項任務：說明元治理之意涵、運用三種權力移轉架構分析協同AI治理平台之課責挑戰、提出強化元治理課責之政策建議——僅正面肯定vTaiwan／Polis案例之成功而未深入分析其潛在課責挑戰，屬於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元治理 ＋ 三種權力移轉 ＋ 協同AI治理 ＋ vTaiwan／Polis ＋ 民主課責。</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一、前言：協同治理網絡納入AI代理人後之新課題</w:t>
      </w:r>
    </w:p>
    <w:p>
      <w:pPr>
        <w:pStyle w:val="ListParagraph"/>
        <w:numPr>
          <w:ilvl w:val="0"/>
          <w:numId w:val="2"/>
        </w:numPr>
        <w:spacing w:after="120" w:line="340"/>
      </w:pPr>
      <w:r>
        <w:rPr>
          <w:rFonts w:ascii="微軟正黑體" w:cs="微軟正黑體" w:eastAsia="微軟正黑體" w:hAnsi="微軟正黑體"/>
          <w:sz w:val="22"/>
          <w:szCs w:val="22"/>
        </w:rPr>
        <w:t xml:space="preserve">二、元治理之意涵</w:t>
      </w:r>
    </w:p>
    <w:p>
      <w:pPr>
        <w:pStyle w:val="ListParagraph"/>
        <w:numPr>
          <w:ilvl w:val="0"/>
          <w:numId w:val="2"/>
        </w:numPr>
        <w:spacing w:after="120" w:line="340"/>
      </w:pPr>
      <w:r>
        <w:rPr>
          <w:rFonts w:ascii="微軟正黑體" w:cs="微軟正黑體" w:eastAsia="微軟正黑體" w:hAnsi="微軟正黑體"/>
          <w:sz w:val="22"/>
          <w:szCs w:val="22"/>
        </w:rPr>
        <w:t xml:space="preserve">三、三種權力移轉架構分析協同AI治理之課責挑戰</w:t>
      </w:r>
    </w:p>
    <w:p>
      <w:pPr>
        <w:pStyle w:val="ListParagraph"/>
        <w:numPr>
          <w:ilvl w:val="0"/>
          <w:numId w:val="2"/>
        </w:numPr>
        <w:spacing w:after="120" w:line="340"/>
      </w:pPr>
      <w:r>
        <w:rPr>
          <w:rFonts w:ascii="微軟正黑體" w:cs="微軟正黑體" w:eastAsia="微軟正黑體" w:hAnsi="微軟正黑體"/>
          <w:sz w:val="22"/>
          <w:szCs w:val="22"/>
        </w:rPr>
        <w:t xml:space="preserve">四、強化元治理課責之政策建議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vTaiwan結合Polis意見分群工具，是我國協同AI治理最具代表性之案例，展現AI輔助審議而非取代審議之精神；然而，當協同治理網絡中出現AI代理人與意見分群演算法時，傳統上仰賴人際信任與談判建立之治理邏輯，也隨之面臨新的課責挑戰，這正是「元治理」概念所欲處理之核心問題。</w:t>
      </w:r>
    </w:p>
    <w:p>
      <w:pPr>
        <w:spacing w:after="200" w:line="360"/>
        <w:ind w:firstLine="431"/>
        <w:jc w:val="both"/>
      </w:pPr>
      <w:r>
        <w:rPr>
          <w:rFonts w:ascii="微軟正黑體" w:cs="微軟正黑體" w:eastAsia="微軟正黑體" w:hAnsi="微軟正黑體"/>
          <w:sz w:val="22"/>
          <w:szCs w:val="22"/>
        </w:rPr>
        <w:t xml:space="preserve">二、元治理之意涵</w:t>
      </w:r>
    </w:p>
    <w:p>
      <w:pPr>
        <w:spacing w:after="200" w:line="360"/>
        <w:ind w:firstLine="431"/>
        <w:jc w:val="both"/>
      </w:pPr>
      <w:r>
        <w:rPr>
          <w:rFonts w:ascii="微軟正黑體" w:cs="微軟正黑體" w:eastAsia="微軟正黑體" w:hAnsi="微軟正黑體"/>
          <w:sz w:val="22"/>
          <w:szCs w:val="22"/>
        </w:rPr>
        <w:t xml:space="preserve">元治理（Metagovernance）指「治理治理者」的層級——當協同網絡本身納入AI代理人與私部門平台，誰來監督這個網絡整體之運作，便成為新的治理難題。元治理不是政府重新恢復單向控制，而是政府在尊重網絡自主性之前提下，透過制度設計、資源配置、敘事與框架設定、監督與評估四類工具，設計規則、配置資源、設定方向並維持公共責任；其核心難題在於須同時避免過度介入（使網絡退化為官僚命令體系）與過度放任（使網絡陷入責任模糊）兩種極端。</w:t>
      </w:r>
    </w:p>
    <w:p>
      <w:pPr>
        <w:spacing w:after="200" w:line="360"/>
        <w:ind w:firstLine="431"/>
        <w:jc w:val="both"/>
      </w:pPr>
      <w:r>
        <w:rPr>
          <w:rFonts w:ascii="微軟正黑體" w:cs="微軟正黑體" w:eastAsia="微軟正黑體" w:hAnsi="微軟正黑體"/>
          <w:sz w:val="22"/>
          <w:szCs w:val="22"/>
        </w:rPr>
        <w:t xml:space="preserve">三、三種權力移轉架構分析課責挑戰</w:t>
      </w:r>
    </w:p>
    <w:p>
      <w:pPr>
        <w:spacing w:after="200" w:line="360"/>
        <w:ind w:firstLine="431"/>
        <w:jc w:val="both"/>
      </w:pPr>
      <w:r>
        <w:rPr>
          <w:rFonts w:ascii="微軟正黑體" w:cs="微軟正黑體" w:eastAsia="微軟正黑體" w:hAnsi="微軟正黑體"/>
          <w:sz w:val="22"/>
          <w:szCs w:val="22"/>
        </w:rPr>
        <w:t xml:space="preserve">運用三種權力移轉架構分析，可發現協同AI治理平台導入AI輔助工具後之課責挑戰：其一，情境建構權（P1）之挑戰——Polis之意見分群演算法，在審議正式開始之前，即已透過統計分群邏輯預先框定哪些意見被視為「主流共識」、哪些被邊緣化為「離群意見」，此一框定過程若未對外公開透明，將實質影響審議走向，卻可能未被參與者充分察覺；其二，行政裁量權（P2）之挑戰——若政策制定者過度倚賴演算法分群結果作為決策依據，實質上將原本應由人類審議者承擔之價值判斷功能，部分讓渡予演算法之統計邏輯，恐削弱審議民主應有之公共理性論辯過程；其三，公權力影響力（P3）之挑戰——若Polis等意見分群工具之技術維護、演算法邏輯更新高度仰賴少數技術團隊或平台供應商，這些行動者對協同治理網絡運作規則之實質影響力，可能已超越單純技術工具提供者之角色。</w:t>
      </w:r>
    </w:p>
    <w:p>
      <w:pPr>
        <w:spacing w:after="200" w:line="360"/>
        <w:ind w:firstLine="431"/>
        <w:jc w:val="both"/>
      </w:pPr>
      <w:r>
        <w:rPr>
          <w:rFonts w:ascii="微軟正黑體" w:cs="微軟正黑體" w:eastAsia="微軟正黑體" w:hAnsi="微軟正黑體"/>
          <w:sz w:val="22"/>
          <w:szCs w:val="22"/>
        </w:rPr>
        <w:t xml:space="preserve">四、強化元治理課責之政策建議</w:t>
      </w:r>
    </w:p>
    <w:p>
      <w:pPr>
        <w:pStyle w:val="ListParagraph"/>
        <w:numPr>
          <w:ilvl w:val="0"/>
          <w:numId w:val="2"/>
        </w:numPr>
        <w:spacing w:after="120" w:line="340"/>
      </w:pPr>
      <w:r>
        <w:rPr>
          <w:rFonts w:ascii="微軟正黑體" w:cs="微軟正黑體" w:eastAsia="微軟正黑體" w:hAnsi="微軟正黑體"/>
          <w:sz w:val="22"/>
          <w:szCs w:val="22"/>
        </w:rPr>
        <w:t xml:space="preserve">（一）公開分群演算法之基本邏輯與分類標準，並定期委託第三方進行稽核，回應「情境建構權」之透明度挑戰。</w:t>
      </w:r>
    </w:p>
    <w:p>
      <w:pPr>
        <w:pStyle w:val="ListParagraph"/>
        <w:numPr>
          <w:ilvl w:val="0"/>
          <w:numId w:val="2"/>
        </w:numPr>
        <w:spacing w:after="120" w:line="340"/>
      </w:pPr>
      <w:r>
        <w:rPr>
          <w:rFonts w:ascii="微軟正黑體" w:cs="微軟正黑體" w:eastAsia="微軟正黑體" w:hAnsi="微軟正黑體"/>
          <w:sz w:val="22"/>
          <w:szCs w:val="22"/>
        </w:rPr>
        <w:t xml:space="preserve">（二）明確宣告人類監督強度屬於人在迴路（HITL）、人在迴路之上（HOTL）或人於指揮（HIC）何者，避免監督強度模糊帶過，回應「行政裁量權」讓渡之風險。</w:t>
      </w:r>
    </w:p>
    <w:p>
      <w:pPr>
        <w:pStyle w:val="ListParagraph"/>
        <w:numPr>
          <w:ilvl w:val="0"/>
          <w:numId w:val="2"/>
        </w:numPr>
        <w:spacing w:after="120" w:line="340"/>
      </w:pPr>
      <w:r>
        <w:rPr>
          <w:rFonts w:ascii="微軟正黑體" w:cs="微軟正黑體" w:eastAsia="微軟正黑體" w:hAnsi="微軟正黑體"/>
          <w:sz w:val="22"/>
          <w:szCs w:val="22"/>
        </w:rPr>
        <w:t xml:space="preserve">（三）建立協同治理網絡之民主課責審計機制，確保即便決策經AI輔助分群呈現為「共識」，最終政策選擇之政治責任仍可追溯至具體政府機關，而非以「這是演算法算出來的共識」作為卸責理由。</w:t>
      </w:r>
    </w:p>
    <w:p>
      <w:pPr>
        <w:pStyle w:val="ListParagraph"/>
        <w:numPr>
          <w:ilvl w:val="0"/>
          <w:numId w:val="2"/>
        </w:numPr>
        <w:spacing w:after="120" w:line="340"/>
      </w:pPr>
      <w:r>
        <w:rPr>
          <w:rFonts w:ascii="微軟正黑體" w:cs="微軟正黑體" w:eastAsia="微軟正黑體" w:hAnsi="微軟正黑體"/>
          <w:sz w:val="22"/>
          <w:szCs w:val="22"/>
        </w:rPr>
        <w:t xml:space="preserve">（四）建立技術供應商之採購課責條款，明確界定AI代理人於協同治理網絡中之「工具」角色，避免因技術依賴而使私部門實質取得公權力影響力。</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vTaiwan與Polis案例展現了協同AI治理「用AI輔助審議而非取代審議」之正面典範，惟本題分析顯示，即便是成功案例，仍可能在情境建構權、行政裁量權與公權力影響力三個層次，潛藏尚待強化之課責缺口。元治理之意義正在於：治理典範越是多元整合，課責的追溯機制就越不能模糊——唯有將元治理課責機制予以制度化，協同AI治理之正當性方能持續維繫。</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須完整說明元治理之定義與其四類工具（制度設計、資源配置、敘事框架設定、監督評估），不可僅籠統稱「元治理就是監督AI」。</w:t>
      </w:r>
    </w:p>
    <w:p>
      <w:pPr>
        <w:pStyle w:val="ListParagraph"/>
        <w:numPr>
          <w:ilvl w:val="0"/>
          <w:numId w:val="2"/>
        </w:numPr>
        <w:spacing w:after="120" w:line="340"/>
      </w:pPr>
      <w:r>
        <w:rPr>
          <w:rFonts w:ascii="微軟正黑體" w:cs="微軟正黑體" w:eastAsia="微軟正黑體" w:hAnsi="微軟正黑體"/>
          <w:sz w:val="22"/>
          <w:szCs w:val="22"/>
        </w:rPr>
        <w:t xml:space="preserve">須逐一運用「三種權力移轉」架構（情境建構權、行政裁量權、公權力影響力）具體分析vTaiwan／Polis案例之課責挑戰，不可僅泛泛而談「演算法有風險」。</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僅正面描述vTaiwan／Polis案例之成功之處，未能扣連題目要求之「課責挑戰」進行批判性分析。</w:t>
      </w:r>
    </w:p>
    <w:p>
      <w:pPr>
        <w:pStyle w:val="ListParagraph"/>
        <w:numPr>
          <w:ilvl w:val="0"/>
          <w:numId w:val="2"/>
        </w:numPr>
        <w:spacing w:after="120" w:line="340"/>
      </w:pPr>
      <w:r>
        <w:rPr>
          <w:rFonts w:ascii="微軟正黑體" w:cs="微軟正黑體" w:eastAsia="微軟正黑體" w:hAnsi="微軟正黑體"/>
          <w:sz w:val="22"/>
          <w:szCs w:val="22"/>
        </w:rPr>
        <w:t xml:space="preserve">❌ 政策建議與前述權力移轉分析脫節，僅重複「政府應加強監督AI」等空泛立場，未具體對應三種權力移轉之各自挑戰。</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用1922簡訊實聯制「協力成功、但元治理失靈」之對照案例，指出即便協力動員效率極高，若資料保存期限、目的外利用界線與整體監督權責未充分制度化，仍可能構成元治理失靈，強化vTaiwan案例與此對照案例之比較深度。</w:t>
      </w:r>
    </w:p>
    <w:p>
      <w:pPr>
        <w:pStyle w:val="ListParagraph"/>
        <w:numPr>
          <w:ilvl w:val="0"/>
          <w:numId w:val="2"/>
        </w:numPr>
        <w:spacing w:after="120" w:line="340"/>
      </w:pPr>
      <w:r>
        <w:rPr>
          <w:rFonts w:ascii="微軟正黑體" w:cs="微軟正黑體" w:eastAsia="微軟正黑體" w:hAnsi="微軟正黑體"/>
          <w:sz w:val="22"/>
          <w:szCs w:val="22"/>
        </w:rPr>
        <w:t xml:space="preserve">可補充「三種結構性效應」（跨格移動、邊界消解、權威重構）之概念，說明意見分群演算法之參數設定，實質上使原屬制度結構層之集體審議判斷，下滲至管理運作層之技術參數決定，此即「跨格移動」之具體展現。</w:t>
      </w:r>
    </w:p>
    <w:p>
      <w:pPr>
        <w:pStyle w:val="ListParagraph"/>
        <w:numPr>
          <w:ilvl w:val="0"/>
          <w:numId w:val="2"/>
        </w:numPr>
        <w:spacing w:after="120" w:line="340"/>
      </w:pPr>
      <w:r>
        <w:rPr>
          <w:rFonts w:ascii="微軟正黑體" w:cs="微軟正黑體" w:eastAsia="微軟正黑體" w:hAnsi="微軟正黑體"/>
          <w:sz w:val="22"/>
          <w:szCs w:val="22"/>
        </w:rPr>
        <w:t xml:space="preserve">可補充緊急治理與常態治理之分際原則，說明若vTaiwan／Polis模式未來擴大應用於更具急迫性之政策審議（如重大公衛或災害應變），應特別注意緊急正當性不能自動延伸為常態正當性之原則。</w:t>
      </w:r>
    </w:p>
    <w:p>
      <w:pPr>
        <w:pStyle w:val="ListParagraph"/>
        <w:numPr>
          <w:ilvl w:val="0"/>
          <w:numId w:val="2"/>
        </w:numPr>
        <w:spacing w:after="120" w:line="340"/>
      </w:pPr>
      <w:r>
        <w:rPr>
          <w:rFonts w:ascii="微軟正黑體" w:cs="微軟正黑體" w:eastAsia="微軟正黑體" w:hAnsi="微軟正黑體"/>
          <w:sz w:val="22"/>
          <w:szCs w:val="22"/>
        </w:rPr>
        <w:t xml:space="preserve">可補充EU AI Act風險分級架構，說明意見分群工具若被歸類於「有限風險」等級（如聊天機器人與深偽技術之透明性義務類推），我國可參考建立相應之揭露義務，作為國際比較視野之延伸。</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以下彙整與本章主題相關之歷屆試題，來源為考選部官方公告試題（107-111年，行政學／行政學概要科目），依考選部「類科」欄位是否明列「一般行政」判斷是否為一般行政類科直接命題紀錄。其中3題（107年原三、109年地三、111年身心三）雖語料庫標記本章，惟核心內容實質對應第八章「政府與市場的抉擇」之志願失靈與第三部門理論，僅列出參照，建議讀者以第八章框架自行練習；110年身三「財政緊迫科技創新驅動變革」一題則因核心內容更貼近第二十四章「數位政府與行政溝通」，僅列出參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110年公務人員特種考試地方政府公務人員三等考試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政府績效不彰原因與政府再造原則（即題目一）</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考選部官方公告試題，一般行政符合，等別對應地方特考三等</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107年公務人員特種考試地方政府公務人員三等考試</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府際協議機制：準備、探查、提議三階段（即題目二）</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考選部官方公告試題，一般行政符合，原保留於第7章，本章完整解題</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110年公務人員特種考試身心障礙人員三等考試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財政緊迫、人民期待、科技創新驅動變革趨勢（完整解題見第24章）</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考選部官方公告試題，一般行政符合，本章僅列出參照不重複解題</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107年公務人員特種考試原住民族考試三等考試</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非政府組織特性與功能（完整解題建議見第8章志願失靈框架）</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考選部官方公告試題，一般行政符合，本章僅列出參照不重複解題</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109年公務人員特種考試地方政府公務人員三等考試</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非營利組織意義功能與事業化爭議（完整解題建議見第8章）</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考選部官方公告試題，一般行政符合，本章僅列出參照不重複解題</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111年公務人員特種考試身心障礙人員三等考試</w:t>
            </w:r>
          </w:p>
        </w:tc>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一般行政</w:t>
            </w:r>
          </w:p>
        </w:tc>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w:t>
            </w:r>
          </w:p>
        </w:tc>
        <w:tc>
          <w:tcPr>
            <w:tcW w:type="dxa" w:w="2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非營利組織角色與限制挑戰（完整解題建議見第8章）</w:t>
            </w:r>
          </w:p>
        </w:tc>
        <w:tc>
          <w:tcPr>
            <w:tcW w:type="dxa" w:w="1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考選部官方公告試題，一般行政符合，本章僅列出參照不重複解題</w:t>
            </w:r>
          </w:p>
        </w:tc>
      </w:tr>
    </w:tbl>
    <w:p>
      <w:pPr>
        <w:spacing w:after="280" w:before="120"/>
        <w:jc w:val="center"/>
      </w:pPr>
      <w:r>
        <w:rPr>
          <w:rFonts w:ascii="微軟正黑體" w:cs="微軟正黑體" w:eastAsia="微軟正黑體" w:hAnsi="微軟正黑體"/>
          <w:i/>
          <w:iCs/>
          <w:color w:val="555555"/>
          <w:sz w:val="18"/>
          <w:szCs w:val="18"/>
        </w:rPr>
        <w:t xml:space="preserve">表9-N　本章相關歷屆試題彙整</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試題，共查得6題與本章理論脈絡相關且完全符合一般行政類科之申論真題，其中2題（110年地三、107年地三）於本章完整解題，其餘4題因核心內容更貼近第八章或第二十四章，僅列出參照不重複解題；演算法治理、協同AI治理、元治理等新興考點，於本語料庫年度範圍內尚未查得直接對應之申論真題，惟屬近年國考行政學命題趨勢之重要新興領域，建議另行參閱112年以後之最新年度考古題補充。</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治理的意涵、形成與結構演進</w:t>
            </w:r>
          </w:p>
          <w:p>
            <w:pPr>
              <w:spacing w:line="340"/>
              <w:jc w:val="both"/>
            </w:pPr>
            <w:r>
              <w:rPr>
                <w:rFonts w:ascii="微軟正黑體" w:cs="微軟正黑體" w:eastAsia="微軟正黑體" w:hAnsi="微軟正黑體"/>
                <w:sz w:val="21"/>
                <w:szCs w:val="21"/>
              </w:rPr>
              <w:t xml:space="preserve">治理四種定義（World Bank/Rhodes/UNDP/全球治理委員會）→ 形成五大驅力（財市球反雜）→ 官僚治理（划槳）→市場治理（掌舵）→網絡治理（編織）三階段疊加</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治理失靈、治理能力與治理模式</w:t>
            </w:r>
          </w:p>
          <w:p>
            <w:pPr>
              <w:spacing w:line="340"/>
              <w:jc w:val="both"/>
            </w:pPr>
            <w:r>
              <w:rPr>
                <w:rFonts w:ascii="微軟正黑體" w:cs="微軟正黑體" w:eastAsia="微軟正黑體" w:hAnsi="微軟正黑體"/>
                <w:sz w:val="21"/>
                <w:szCs w:val="21"/>
              </w:rPr>
              <w:t xml:space="preserve">官僚/市場/網絡三種失靈與補強 → 六項治理能力（整協數法反民）→ Peters四模式（市參彈鬆）→ World Bank四面向（管責法透）</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治理類型學與跨域治理</w:t>
            </w:r>
          </w:p>
          <w:p>
            <w:pPr>
              <w:spacing w:line="340"/>
              <w:jc w:val="both"/>
            </w:pPr>
            <w:r>
              <w:rPr>
                <w:rFonts w:ascii="微軟正黑體" w:cs="微軟正黑體" w:eastAsia="微軟正黑體" w:hAnsi="微軟正黑體"/>
                <w:sz w:val="21"/>
                <w:szCs w:val="21"/>
              </w:rPr>
              <w:t xml:space="preserve">七大治理類型 → 良善治理八特徵（參法透回共公效課）→ 跨域治理三特質（系宏依）→ 地方制度法24-24之3條</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新公共服務與新公共治理</w:t>
            </w:r>
          </w:p>
          <w:p>
            <w:pPr>
              <w:spacing w:line="340"/>
              <w:jc w:val="both"/>
            </w:pPr>
            <w:r>
              <w:rPr>
                <w:rFonts w:ascii="微軟正黑體" w:cs="微軟正黑體" w:eastAsia="微軟正黑體" w:hAnsi="微軟正黑體"/>
                <w:sz w:val="21"/>
                <w:szCs w:val="21"/>
              </w:rPr>
              <w:t xml:space="preserve">NPS七原則（服務公民、追尋公益、重公民資格…）→ NPG四特徵（服共享多）→ 典範轉移：城堡（傳統公行）→商場（NPM）→廣場（NPS）→平台生態系（NPG）</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AI鑲嵌下的治理典範整合</w:t>
            </w:r>
          </w:p>
          <w:p>
            <w:pPr>
              <w:spacing w:line="340"/>
              <w:jc w:val="both"/>
            </w:pPr>
            <w:r>
              <w:rPr>
                <w:rFonts w:ascii="微軟正黑體" w:cs="微軟正黑體" w:eastAsia="微軟正黑體" w:hAnsi="微軟正黑體"/>
                <w:sz w:val="21"/>
                <w:szCs w:val="21"/>
              </w:rPr>
              <w:t xml:space="preserve">官僚→市場→網絡→DEG（電整平）→演算法治理疊加弧線 → 協同AI治理六要件＋人類監督三分類（HITL/HOTL/HIC）→ 元治理四工具（制資敘監）→ 三種權力移轉／三種結構性效應 → EU AI Act四級風險 → vTaiwan/Polis與1922簡訊實聯制對照案例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從官僚到市場到網絡，治理典範的演進從來不是取代，而是疊加；當AI代理人成為協同網絡的新成員，真正的考驗不是「AI能不能參與治理」，而是「當大家都在用AI治理時，誰來治理這套治理」。</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2026-09-01T03:19:58.526Z</dcterms:created>
  <dcterms:modified xsi:type="dcterms:W3CDTF">2026-09-01T03:19:58.526Z</dcterms:modified>
</cp:coreProperties>
</file>

<file path=docProps/custom.xml><?xml version="1.0" encoding="utf-8"?>
<Properties xmlns="http://schemas.openxmlformats.org/officeDocument/2006/custom-properties" xmlns:vt="http://schemas.openxmlformats.org/officeDocument/2006/docPropsVTypes"/>
</file>