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0"/>
          <w:szCs w:val="40"/>
        </w:rPr>
        <w:t xml:space="preserve">國家考試行政學：從行政學理論到申論實戰</w:t>
      </w:r>
    </w:p>
    <w:p>
      <w:pPr>
        <w:spacing w:after="60"/>
        <w:jc w:val="center"/>
      </w:pPr>
      <w:r>
        <w:rPr>
          <w:rFonts w:ascii="微軟正黑體" w:cs="微軟正黑體" w:eastAsia="微軟正黑體" w:hAnsi="微軟正黑體"/>
          <w:b/>
          <w:bCs/>
          <w:color w:val="444444"/>
          <w:sz w:val="28"/>
          <w:szCs w:val="28"/>
        </w:rPr>
        <w:t xml:space="preserve">第八章　政府與市場的抉擇</w:t>
      </w:r>
    </w:p>
    <w:p>
      <w:pPr>
        <w:spacing w:after="400"/>
        <w:jc w:val="center"/>
      </w:pPr>
      <w:r>
        <w:rPr>
          <w:rFonts w:ascii="微軟正黑體" w:cs="微軟正黑體" w:eastAsia="微軟正黑體" w:hAnsi="微軟正黑體"/>
          <w:i/>
          <w:iCs/>
          <w:color w:val="777777"/>
          <w:sz w:val="22"/>
          <w:szCs w:val="22"/>
        </w:rPr>
        <w:t xml:space="preserve">適用：高考三級／普考　一般行政類科　行政學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本章定位</w:t>
            </w:r>
          </w:p>
          <w:p>
            <w:pPr>
              <w:spacing w:line="340"/>
              <w:jc w:val="both"/>
            </w:pPr>
            <w:r>
              <w:rPr>
                <w:rFonts w:ascii="微軟正黑體" w:cs="微軟正黑體" w:eastAsia="微軟正黑體" w:hAnsi="微軟正黑體"/>
                <w:sz w:val="21"/>
                <w:szCs w:val="21"/>
              </w:rPr>
              <w:t xml:space="preserve">本章對應大學教科書《行政學》第八章「政府與市場的抉擇」，內容取材自該章九節母體教材（新右派與NPM理論基礎、政府再造與民營化促參、第三部門與志願失靈、後NPM治理典範、平台治理GovTech與AI雙重失靈、資料共有財與政府即平台、四條治理鏈與七項治理審計），依國考「考點化、模組化、背誦＋應用」邏輯重新壓縮改寫為四節：第一節整合新右派興起與NPM理論基礎（原第二、三節）；第二節整合政府再造與民營化促參（原第三節末段與第四節）；第三節整合第三部門志願失靈與後NPM治理典範演進（原第五、六節）；第四節整合AI鑲嵌下之平台治理、GovTech與雙重失靈（原第七、八、九節），為本章AI內容之集中呈現處。本語料庫中另有一題「107年高考行政法人」雖與本章組織轉型主題有關，惟其核心內容更完整對應第十六章「我國行政組織」之行政法人專章討論，故僅於本章【歷屆試題】表中列出參照，完整解題留待第十六章處理，避免重複。自本章起，依使用者確認之格式定版說明，【申論解題】僅第一題維持三種完整答案版本，第二、三題改為標準版參考答案＋【高分加分點】；AI鑲嵌內容集中於第四節與C級綜合題，其餘各節之核心概念、理論發展、主要學者、核心命題、優點與限制、臺灣行政實務等小節，維持以傳統理論為主軸，不逐一硬接AI論述。</w:t>
            </w:r>
          </w:p>
        </w:tc>
      </w:tr>
    </w:tbl>
    <w:p>
      <w:pPr>
        <w:spacing w:after="200"/>
      </w:pPr>
    </w:p>
    <w:p>
      <w:pPr>
        <w:spacing w:after="180" w:before="360"/>
      </w:pPr>
      <w:r>
        <w:rPr>
          <w:rFonts w:ascii="微軟正黑體" w:cs="微軟正黑體" w:eastAsia="微軟正黑體" w:hAnsi="微軟正黑體"/>
          <w:b/>
          <w:bCs/>
          <w:color w:val="1F4E79"/>
          <w:sz w:val="26"/>
          <w:szCs w:val="26"/>
        </w:rPr>
        <w:t xml:space="preserve">第一節　新右派興起與新公共管理的理論基礎</w:t>
      </w:r>
    </w:p>
    <w:p>
      <w:pPr>
        <w:spacing w:after="140" w:before="260"/>
      </w:pPr>
      <w:r>
        <w:rPr>
          <w:rFonts w:ascii="微軟正黑體" w:cs="微軟正黑體" w:eastAsia="微軟正黑體" w:hAnsi="微軟正黑體"/>
          <w:b/>
          <w:bCs/>
          <w:color w:val="2E5C8A"/>
          <w:sz w:val="23"/>
          <w:szCs w:val="23"/>
        </w:rPr>
        <w:t xml:space="preserve">一、核心概念</w:t>
      </w:r>
    </w:p>
    <w:p>
      <w:pPr>
        <w:pStyle w:val="ListParagraph"/>
        <w:numPr>
          <w:ilvl w:val="0"/>
          <w:numId w:val="2"/>
        </w:numPr>
        <w:spacing w:after="120" w:line="340"/>
      </w:pPr>
      <w:r>
        <w:rPr>
          <w:rFonts w:ascii="微軟正黑體" w:cs="微軟正黑體" w:eastAsia="微軟正黑體" w:hAnsi="微軟正黑體"/>
          <w:sz w:val="22"/>
          <w:szCs w:val="22"/>
        </w:rPr>
        <w:t xml:space="preserve">1970年代末期，福利國家陷入財政危機（社福支出持續膨脹致財政赤字）、效率危機（公部門生產力低落、官僚組織僵化）、官僚危機（機關本位主義、本位擴權）與正當性危機（人民對政府信任下降）四重危機交織，傳統大有為政府之正當性受到根本挑戰，為新右派（New Right）思潮興起提供了歷史背景。</w:t>
      </w:r>
    </w:p>
    <w:p>
      <w:pPr>
        <w:pStyle w:val="ListParagraph"/>
        <w:numPr>
          <w:ilvl w:val="0"/>
          <w:numId w:val="2"/>
        </w:numPr>
        <w:spacing w:after="120" w:line="340"/>
      </w:pPr>
      <w:r>
        <w:rPr>
          <w:rFonts w:ascii="微軟正黑體" w:cs="微軟正黑體" w:eastAsia="微軟正黑體" w:hAnsi="微軟正黑體"/>
          <w:sz w:val="22"/>
          <w:szCs w:val="22"/>
        </w:rPr>
        <w:t xml:space="preserve">新右派主張以市場機制取代官僚組織作為資源配置之主要手段，政府角色應從「生產者」（直接提供服務）逐步退居為「規制者」乃至「催化者」（引導市場與社會自行解決問題），此一角色轉變構成新公共管理（NPM）運動之思想根基。</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新右派三大思想支柱：其一為海耶克（Hayek）與傅利曼（Friedman）之新自由主義經濟學，主張市場價格機制優於政府計畫；其二為布坎南（Buchanan）與塔洛克開創之公共選擇理論，將經濟學之理性自利假設應用於政治與行政領域；其三為杜拉克（Drucker）與彼得斯、華特曼（Peters &amp; Waterman）之企業型政府與管理主義思潮，主張政府應師法企業之效率與創新精神。</w:t>
      </w:r>
    </w:p>
    <w:p>
      <w:pPr>
        <w:pStyle w:val="ListParagraph"/>
        <w:numPr>
          <w:ilvl w:val="0"/>
          <w:numId w:val="2"/>
        </w:numPr>
        <w:spacing w:after="120" w:line="340"/>
      </w:pPr>
      <w:r>
        <w:rPr>
          <w:rFonts w:ascii="微軟正黑體" w:cs="微軟正黑體" w:eastAsia="微軟正黑體" w:hAnsi="微軟正黑體"/>
          <w:sz w:val="22"/>
          <w:szCs w:val="22"/>
        </w:rPr>
        <w:t xml:space="preserve">政府角色演進光譜：從二戰後之「大有為政府」（直接生產與供給），歷經1980年代新右派衝擊轉向「精簡政府」（去任務化、委外化），再到晚近強調政府作為「催化者」與「夥伴」（掌舵而非划槳，導航者角色），此一光譜之移動即為NPM改革之核心敘事。</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00"/>
        <w:gridCol w:w="6226"/>
      </w:tblGrid>
      <w:tr>
        <w:trPr>
          <w:tblHeader/>
        </w:trPr>
        <w:tc>
          <w:tcPr>
            <w:tcW w:type="dxa" w:w="2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理論／學者</w:t>
            </w:r>
          </w:p>
        </w:tc>
        <w:tc>
          <w:tcPr>
            <w:tcW w:type="dxa" w:w="62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核心內容</w:t>
            </w:r>
          </w:p>
        </w:tc>
      </w:tr>
      <w:tr>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公共選擇理論（Buchanan &amp; Tullock）</w:t>
            </w:r>
          </w:p>
        </w:tc>
        <w:tc>
          <w:tcPr>
            <w:tcW w:type="dxa" w:w="6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以理性自利假設分析政治行為：尋租（rent-seeking，利益團體遊說扭曲資源配置）、理性無知（rational ignorance，選民監督成本過高而放棄監督）、預算極大化（Niskanen，官僚傾向擴張機關預算以極大化自身效用）</w:t>
            </w:r>
          </w:p>
        </w:tc>
      </w:tr>
      <w:tr>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代理人理論（Principal-Agent Theory）</w:t>
            </w:r>
          </w:p>
        </w:tc>
        <w:tc>
          <w:tcPr>
            <w:tcW w:type="dxa" w:w="6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委託人（人民／政治首長）與代理人（官僚）間存在資訊不對稱，衍生逆選擇（事前，難以篩選出真正適任之代理人）與道德風險（事後，代理人於資訊優勢下偷懶或謀私）兩類問題</w:t>
            </w:r>
          </w:p>
        </w:tc>
      </w:tr>
      <w:tr>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交易成本理論（Williamson）</w:t>
            </w:r>
          </w:p>
        </w:tc>
        <w:tc>
          <w:tcPr>
            <w:tcW w:type="dxa" w:w="6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組織應否自製或外包，取決於資產專屬性、交易頻率與環境不確定性三項因素；資產專屬性越高、環境越不確定，越傾向以科層組織自製而非透過市場委外</w:t>
            </w:r>
          </w:p>
        </w:tc>
      </w:tr>
      <w:tr>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Osborne &amp; Gaebler（1992）</w:t>
            </w:r>
          </w:p>
        </w:tc>
        <w:tc>
          <w:tcPr>
            <w:tcW w:type="dxa" w:w="6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《新政府運動》提出企業型政府十大原則，主張政府應師法企業精神，強調結果導向、顧客導向與市場機制之運用</w:t>
            </w:r>
          </w:p>
        </w:tc>
      </w:tr>
    </w:tbl>
    <w:p>
      <w:pPr>
        <w:spacing w:after="280" w:before="120"/>
        <w:jc w:val="center"/>
      </w:pPr>
      <w:r>
        <w:rPr>
          <w:rFonts w:ascii="微軟正黑體" w:cs="微軟正黑體" w:eastAsia="微軟正黑體" w:hAnsi="微軟正黑體"/>
          <w:i/>
          <w:iCs/>
          <w:color w:val="555555"/>
          <w:sz w:val="18"/>
          <w:szCs w:val="18"/>
        </w:rPr>
        <w:t xml:space="preserve">表8-A　新右派與NPM理論基礎主要學者</w:t>
      </w:r>
    </w:p>
    <w:p>
      <w:pPr>
        <w:spacing w:after="140" w:before="260"/>
      </w:pPr>
      <w:r>
        <w:rPr>
          <w:rFonts w:ascii="微軟正黑體" w:cs="微軟正黑體" w:eastAsia="微軟正黑體" w:hAnsi="微軟正黑體"/>
          <w:b/>
          <w:bCs/>
          <w:color w:val="2E5C8A"/>
          <w:sz w:val="23"/>
          <w:szCs w:val="23"/>
        </w:rPr>
        <w:t xml:space="preserve">四、核心命題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3513"/>
        <w:gridCol w:w="3513"/>
      </w:tblGrid>
      <w:tr>
        <w:trPr>
          <w:tblHeader/>
        </w:trPr>
        <w:tc>
          <w:tcPr>
            <w:tcW w:type="dxa" w:w="20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理論</w:t>
            </w:r>
          </w:p>
        </w:tc>
        <w:tc>
          <w:tcPr>
            <w:tcW w:type="dxa" w:w="35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分析焦點</w:t>
            </w:r>
          </w:p>
        </w:tc>
        <w:tc>
          <w:tcPr>
            <w:tcW w:type="dxa" w:w="35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對行政革新之啟示</w:t>
            </w:r>
          </w:p>
        </w:tc>
      </w:tr>
      <w:tr>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公共選擇理論</w:t>
            </w:r>
          </w:p>
        </w:tc>
        <w:tc>
          <w:tcPr>
            <w:tcW w:type="dxa" w:w="35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官僚與利益團體之自利行為如何扭曲公共資源配置</w:t>
            </w:r>
          </w:p>
        </w:tc>
        <w:tc>
          <w:tcPr>
            <w:tcW w:type="dxa" w:w="35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應透過市場競爭機制與績效誘因，抑制預算極大化與尋租行為</w:t>
            </w:r>
          </w:p>
        </w:tc>
      </w:tr>
      <w:tr>
        <w:tc>
          <w:tcPr>
            <w:tcW w:type="dxa" w:w="2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代理人理論</w:t>
            </w:r>
          </w:p>
        </w:tc>
        <w:tc>
          <w:tcPr>
            <w:tcW w:type="dxa" w:w="35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委託人與代理人間之資訊不對稱與監督成本</w:t>
            </w:r>
          </w:p>
        </w:tc>
        <w:tc>
          <w:tcPr>
            <w:tcW w:type="dxa" w:w="35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應強化績效契約、資訊揭露與課責機制，降低代理成本</w:t>
            </w:r>
          </w:p>
        </w:tc>
      </w:tr>
      <w:tr>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交易成本理論</w:t>
            </w:r>
          </w:p>
        </w:tc>
        <w:tc>
          <w:tcPr>
            <w:tcW w:type="dxa" w:w="35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自製（科層）與外包（市場）之效率比較</w:t>
            </w:r>
          </w:p>
        </w:tc>
        <w:tc>
          <w:tcPr>
            <w:tcW w:type="dxa" w:w="35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資產專屬性低、交易頻繁度可預測之業務，適合委外；反之則宜自製</w:t>
            </w:r>
          </w:p>
        </w:tc>
      </w:tr>
    </w:tbl>
    <w:p>
      <w:pPr>
        <w:spacing w:after="280" w:before="120"/>
        <w:jc w:val="center"/>
      </w:pPr>
      <w:r>
        <w:rPr>
          <w:rFonts w:ascii="微軟正黑體" w:cs="微軟正黑體" w:eastAsia="微軟正黑體" w:hAnsi="微軟正黑體"/>
          <w:i/>
          <w:iCs/>
          <w:color w:val="555555"/>
          <w:sz w:val="18"/>
          <w:szCs w:val="18"/>
        </w:rPr>
        <w:t xml:space="preserve">表8-B　公共選擇、代理人與交易成本三理論之核心命題對照</w:t>
      </w:r>
    </w:p>
    <w:p>
      <w:pPr>
        <w:spacing w:after="140" w:before="260"/>
      </w:pPr>
      <w:r>
        <w:rPr>
          <w:rFonts w:ascii="微軟正黑體" w:cs="微軟正黑體" w:eastAsia="微軟正黑體" w:hAnsi="微軟正黑體"/>
          <w:b/>
          <w:bCs/>
          <w:color w:val="2E5C8A"/>
          <w:sz w:val="23"/>
          <w:szCs w:val="23"/>
        </w:rPr>
        <w:t xml:space="preserve">五、優點與限制</w:t>
      </w:r>
    </w:p>
    <w:p>
      <w:pPr>
        <w:pStyle w:val="ListParagraph"/>
        <w:numPr>
          <w:ilvl w:val="0"/>
          <w:numId w:val="2"/>
        </w:numPr>
        <w:spacing w:after="120" w:line="340"/>
      </w:pPr>
      <w:r>
        <w:rPr>
          <w:rFonts w:ascii="微軟正黑體" w:cs="微軟正黑體" w:eastAsia="微軟正黑體" w:hAnsi="微軟正黑體"/>
          <w:sz w:val="22"/>
          <w:szCs w:val="22"/>
        </w:rPr>
        <w:t xml:space="preserve">新公共管理（NPM）自1991年由Hood正式定名，核心主張為將私部門管理技術、市場機制與績效導向引入公部門運作；Hood歸納NPM七項核心論點：專業管理（授能予專業經理人）、明確績效標準、重視產出控制（勝於投入與流程控制）、部門分散化（打散大型科層為小型單位）、引入競爭機制、師法私部門管理風格、強調資源運用紀律與撙節。</w:t>
      </w:r>
    </w:p>
    <w:p>
      <w:pPr>
        <w:pStyle w:val="ListParagraph"/>
        <w:numPr>
          <w:ilvl w:val="0"/>
          <w:numId w:val="2"/>
        </w:numPr>
        <w:spacing w:after="120" w:line="340"/>
      </w:pPr>
      <w:r>
        <w:rPr>
          <w:rFonts w:ascii="微軟正黑體" w:cs="微軟正黑體" w:eastAsia="微軟正黑體" w:hAnsi="微軟正黑體"/>
          <w:sz w:val="22"/>
          <w:szCs w:val="22"/>
        </w:rPr>
        <w:t xml:space="preserve">NPM追求4E目標：經濟（economy，投入成本最小化）、效率（efficiency，投入產出比最適化）、效能（effectiveness，目標達成程度）、公平（equity，晚近增列，回應NPM過度強調效率而忽略公平分配之批評）。</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公共選擇／代理人／交易成本三理論</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提供分析官僚自利行為與委外決策之嚴謹經濟學工具，突破傳統行政學對「善意官僚」之素樸假設</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過度強調自利動機，忽略公務員之公共服務動機（PSM）與專業倫理；市場化建議未必適用於高度公共性業務</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NPM（Hood七論點、4E目標）</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系統性提出可操作之改革工具箱，帶動全球政府再造風潮，提升部分公共服務之效率與回應性</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過度移植私部門邏輯，可能侵蝕公共性、課責模糊化，並衍生第六節所述之「空洞國家」批評</w:t>
            </w:r>
          </w:p>
        </w:tc>
      </w:tr>
    </w:tbl>
    <w:p>
      <w:pPr>
        <w:spacing w:after="280" w:before="120"/>
        <w:jc w:val="center"/>
      </w:pPr>
      <w:r>
        <w:rPr>
          <w:rFonts w:ascii="微軟正黑體" w:cs="微軟正黑體" w:eastAsia="微軟正黑體" w:hAnsi="微軟正黑體"/>
          <w:i/>
          <w:iCs/>
          <w:color w:val="555555"/>
          <w:sz w:val="18"/>
          <w:szCs w:val="18"/>
        </w:rPr>
        <w:t xml:space="preserve">表8-C　新右派與NPM理論之貢獻與限制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pStyle w:val="ListParagraph"/>
        <w:numPr>
          <w:ilvl w:val="0"/>
          <w:numId w:val="2"/>
        </w:numPr>
        <w:spacing w:after="120" w:line="340"/>
      </w:pPr>
      <w:r>
        <w:rPr>
          <w:rFonts w:ascii="微軟正黑體" w:cs="微軟正黑體" w:eastAsia="微軟正黑體" w:hAnsi="微軟正黑體"/>
          <w:sz w:val="22"/>
          <w:szCs w:val="22"/>
        </w:rPr>
        <w:t xml:space="preserve">Osborne與Plastrik進一步將政府再造工具歸納為5C策略——核心策略（Core，釐清目標）、結果策略（Consequence，建立績效誘因）、顧客策略（Customer，引入顧客導向與選擇權）、控制策略（Control，授權基層與社區）、文化策略（Culture，改變組織行為模式）；我國2002年推動政府改造，即以「去任務化、地方化、行政法人化、委外化」四化原則對應5C策略之精神，可視為NPM理念在地化之具體實踐。</w:t>
      </w:r>
    </w:p>
    <w:p>
      <w:pPr>
        <w:spacing w:after="140" w:before="260"/>
      </w:pPr>
      <w:r>
        <w:rPr>
          <w:rFonts w:ascii="微軟正黑體" w:cs="微軟正黑體" w:eastAsia="微軟正黑體" w:hAnsi="微軟正黑體"/>
          <w:b/>
          <w:bCs/>
          <w:color w:val="2E5C8A"/>
          <w:sz w:val="23"/>
          <w:szCs w:val="23"/>
        </w:rPr>
        <w:t xml:space="preserve">七、臺灣行政實務</w:t>
      </w:r>
    </w:p>
    <w:p>
      <w:pPr>
        <w:pStyle w:val="ListParagraph"/>
        <w:numPr>
          <w:ilvl w:val="0"/>
          <w:numId w:val="2"/>
        </w:numPr>
        <w:spacing w:after="120" w:line="340"/>
      </w:pPr>
      <w:r>
        <w:rPr>
          <w:rFonts w:ascii="微軟正黑體" w:cs="微軟正黑體" w:eastAsia="微軟正黑體" w:hAnsi="微軟正黑體"/>
          <w:sz w:val="22"/>
          <w:szCs w:val="22"/>
        </w:rPr>
        <w:t xml:space="preserve">我國政府改造四化原則中，去任務化指檢討並移除不必要之政府職能；地方化指將原屬中央之業務下放地方政府執行；行政法人化指部分具公共性但講求效率彈性之業務改制為行政法人（如國家表演藝術中心、國家運動訓練中心）；委外化則指將部分服務性業務以契約委託民間辦理，四者共同構成我國回應NPM思潮之制度性改革路徑。</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①福利國家四重危機：財政危機／效率危機／官僚危機／正當性危機</w:t>
            </w:r>
          </w:p>
          <w:p>
            <w:pPr>
              <w:spacing w:after="80" w:line="320"/>
            </w:pPr>
            <w:r>
              <w:rPr>
                <w:rFonts w:ascii="微軟正黑體" w:cs="微軟正黑體" w:eastAsia="微軟正黑體" w:hAnsi="微軟正黑體"/>
                <w:sz w:val="21"/>
                <w:szCs w:val="21"/>
              </w:rPr>
              <w:t xml:space="preserve">•　②新右派三思想支柱：新自由主義經濟學／公共選擇理論／企業型政府管理主義</w:t>
            </w:r>
          </w:p>
          <w:p>
            <w:pPr>
              <w:spacing w:after="80" w:line="320"/>
            </w:pPr>
            <w:r>
              <w:rPr>
                <w:rFonts w:ascii="微軟正黑體" w:cs="微軟正黑體" w:eastAsia="微軟正黑體" w:hAnsi="微軟正黑體"/>
                <w:sz w:val="21"/>
                <w:szCs w:val="21"/>
              </w:rPr>
              <w:t xml:space="preserve">•　③公共選擇理論核心概念：尋租、理性無知、預算極大化（Niskanen）</w:t>
            </w:r>
          </w:p>
          <w:p>
            <w:pPr>
              <w:spacing w:after="80" w:line="320"/>
            </w:pPr>
            <w:r>
              <w:rPr>
                <w:rFonts w:ascii="微軟正黑體" w:cs="微軟正黑體" w:eastAsia="微軟正黑體" w:hAnsi="微軟正黑體"/>
                <w:sz w:val="21"/>
                <w:szCs w:val="21"/>
              </w:rPr>
              <w:t xml:space="preserve">•　④代理人理論：資訊不對稱、逆選擇、道德風險</w:t>
            </w:r>
          </w:p>
          <w:p>
            <w:pPr>
              <w:spacing w:after="80" w:line="320"/>
            </w:pPr>
            <w:r>
              <w:rPr>
                <w:rFonts w:ascii="微軟正黑體" w:cs="微軟正黑體" w:eastAsia="微軟正黑體" w:hAnsi="微軟正黑體"/>
                <w:sz w:val="21"/>
                <w:szCs w:val="21"/>
              </w:rPr>
              <w:t xml:space="preserve">•　⑤交易成本理論（Williamson）：資產專屬性、交易頻率、不確定性</w:t>
            </w:r>
          </w:p>
          <w:p>
            <w:pPr>
              <w:spacing w:after="80" w:line="320"/>
            </w:pPr>
            <w:r>
              <w:rPr>
                <w:rFonts w:ascii="微軟正黑體" w:cs="微軟正黑體" w:eastAsia="微軟正黑體" w:hAnsi="微軟正黑體"/>
                <w:sz w:val="21"/>
                <w:szCs w:val="21"/>
              </w:rPr>
              <w:t xml:space="preserve">•　⑥NPM名稱定義（Hood, 1991）與七項核心論點、4E目標、5C策略</w:t>
            </w:r>
          </w:p>
          <w:p>
            <w:pPr>
              <w:spacing w:after="0" w:line="320"/>
            </w:pPr>
            <w:r>
              <w:rPr>
                <w:rFonts w:ascii="微軟正黑體" w:cs="微軟正黑體" w:eastAsia="微軟正黑體" w:hAnsi="微軟正黑體"/>
                <w:sz w:val="21"/>
                <w:szCs w:val="21"/>
              </w:rPr>
              <w:t xml:space="preserve">•　⑦我國政府改造四化原則：去任務化／地方化／行政法人化／委外化</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福利國家四重危機口訣：財（政危機）、效（率危機）、官（僚危機）、正（當性危機）——「財效官正」四字訣</w:t>
            </w:r>
          </w:p>
          <w:p>
            <w:pPr>
              <w:spacing w:after="80" w:line="320"/>
            </w:pPr>
            <w:r>
              <w:rPr>
                <w:rFonts w:ascii="微軟正黑體" w:cs="微軟正黑體" w:eastAsia="微軟正黑體" w:hAnsi="微軟正黑體"/>
                <w:sz w:val="21"/>
                <w:szCs w:val="21"/>
              </w:rPr>
              <w:t xml:space="preserve">•　代理人理論兩問題記憶：逆選擇在「事前」（選錯人），道德風險在「事後」（做壞事）</w:t>
            </w:r>
          </w:p>
          <w:p>
            <w:pPr>
              <w:spacing w:after="0" w:line="320"/>
            </w:pPr>
            <w:r>
              <w:rPr>
                <w:rFonts w:ascii="微軟正黑體" w:cs="微軟正黑體" w:eastAsia="微軟正黑體" w:hAnsi="微軟正黑體"/>
                <w:sz w:val="21"/>
                <w:szCs w:val="21"/>
              </w:rPr>
              <w:t xml:space="preserve">•　四化原則口訣：去（任務化）、地（方化）、法（人化）、委（外化）——「去地法委」四字訣，對應5C策略之精神</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公共選擇理論」（分析官僚與利益團體自利行為之總體理論）與「代理人理論」（聚焦委託人與代理人間資訊不對稱之特定關係）常被考生混為一談——前者是較廣義之政治經濟分析架構，後者是前者之下、專門處理委託代理關係之次理論，兩者關係為「大架構」與「子理論」而非同義詞。</w:t>
            </w:r>
          </w:p>
          <w:p>
            <w:pPr>
              <w:spacing w:after="0" w:line="320"/>
            </w:pPr>
            <w:r>
              <w:rPr>
                <w:rFonts w:ascii="微軟正黑體" w:cs="微軟正黑體" w:eastAsia="微軟正黑體" w:hAnsi="微軟正黑體"/>
                <w:sz w:val="21"/>
                <w:szCs w:val="21"/>
              </w:rPr>
              <w:t xml:space="preserve">•　「效率」（efficiency，投入產出比）與「效能」（effectiveness，目標達成程度）在4E目標中常被考生混用——效率關心「有沒有把事情做對」（doing things right），效能關心「有沒有做對的事情」（doing the right things），兩者評估角度不同。</w:t>
            </w:r>
          </w:p>
        </w:tc>
      </w:tr>
    </w:tbl>
    <w:p>
      <w:pPr>
        <w:spacing w:after="220"/>
      </w:pPr>
    </w:p>
    <w:p>
      <w:pPr>
        <w:spacing w:after="180" w:before="360"/>
      </w:pPr>
      <w:r>
        <w:rPr>
          <w:rFonts w:ascii="微軟正黑體" w:cs="微軟正黑體" w:eastAsia="微軟正黑體" w:hAnsi="微軟正黑體"/>
          <w:b/>
          <w:bCs/>
          <w:color w:val="1F4E79"/>
          <w:sz w:val="26"/>
          <w:szCs w:val="26"/>
        </w:rPr>
        <w:t xml:space="preserve">第二節　政府再造、民營化與促參</w:t>
      </w:r>
    </w:p>
    <w:p>
      <w:pPr>
        <w:spacing w:after="140" w:before="260"/>
      </w:pPr>
      <w:r>
        <w:rPr>
          <w:rFonts w:ascii="微軟正黑體" w:cs="微軟正黑體" w:eastAsia="微軟正黑體" w:hAnsi="微軟正黑體"/>
          <w:b/>
          <w:bCs/>
          <w:color w:val="2E5C8A"/>
          <w:sz w:val="23"/>
          <w:szCs w:val="23"/>
        </w:rPr>
        <w:t xml:space="preserve">一、核心概念</w:t>
      </w:r>
    </w:p>
    <w:p>
      <w:pPr>
        <w:pStyle w:val="ListParagraph"/>
        <w:numPr>
          <w:ilvl w:val="0"/>
          <w:numId w:val="2"/>
        </w:numPr>
        <w:spacing w:after="120" w:line="340"/>
      </w:pPr>
      <w:r>
        <w:rPr>
          <w:rFonts w:ascii="微軟正黑體" w:cs="微軟正黑體" w:eastAsia="微軟正黑體" w:hAnsi="微軟正黑體"/>
          <w:sz w:val="22"/>
          <w:szCs w:val="22"/>
        </w:rPr>
        <w:t xml:space="preserve">民營化（Privatization）廣義指將原屬政府之活動、資產或財產權移轉予私部門之過程；其推動須具備三項前提：市場存在可行之替代供給者、公共性（普及性、可負擔性、課責性）仍可透過契約設計維持、以及風險可合理移轉予私部門承擔——若欠缺此三前提，貿然民營化恐衍生服務品質下降或公共利益受損之風險。</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Savas（1987）將民營化區分為三種類型：撤資（Divestment，政府完全退出，將資產或事業所有權移轉民間，如國營事業釋股）、委託（Contracting Out，政府保留規劃與監督權，委託民間提供服務，如環保清潔委外）、替代（Load Shedding，政府停止供給，任由市場或第三部門自行填補，如部分社福業務轉由NGO承接）。</w:t>
      </w:r>
    </w:p>
    <w:p>
      <w:pPr>
        <w:pStyle w:val="ListParagraph"/>
        <w:numPr>
          <w:ilvl w:val="0"/>
          <w:numId w:val="2"/>
        </w:numPr>
        <w:spacing w:after="120" w:line="340"/>
      </w:pPr>
      <w:r>
        <w:rPr>
          <w:rFonts w:ascii="微軟正黑體" w:cs="微軟正黑體" w:eastAsia="微軟正黑體" w:hAnsi="微軟正黑體"/>
          <w:sz w:val="22"/>
          <w:szCs w:val="22"/>
        </w:rPr>
        <w:t xml:space="preserve">促進民間參與公共建設（PPP）依政府與民間權責及風險分配程度形成一道光譜：BOT（興建-營運-移轉，民間興建營運，特許期滿移轉政府）、OT（營運-移轉，政府興建、民間營運）、ROT（重建-營運-移轉，民間整建既有設施後營運）、BOO（興建-擁有-營運，民間永久擁有）、BTO（興建-移轉-營運，興建完成即移轉政府所有、由民間營運）——由左至右，民間承擔之所有權與經營風險依序遞增。</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類型</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定義</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我國案例</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撤資（Divestment）</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政府完全退出，所有權移轉民間</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中華電信、台灣菸酒等國營事業民營化釋股</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委託（Contracting Out）</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政府保留規劃監督權，委託民間執行</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環保清潔、資訊系統維護等業務委外</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替代（Load Shedding）</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政府停止供給，由市場或第三部門填補</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部分社福服務轉由民間團體承接辦理</w:t>
            </w:r>
          </w:p>
        </w:tc>
      </w:tr>
    </w:tbl>
    <w:p>
      <w:pPr>
        <w:spacing w:after="280" w:before="120"/>
        <w:jc w:val="center"/>
      </w:pPr>
      <w:r>
        <w:rPr>
          <w:rFonts w:ascii="微軟正黑體" w:cs="微軟正黑體" w:eastAsia="微軟正黑體" w:hAnsi="微軟正黑體"/>
          <w:i/>
          <w:iCs/>
          <w:color w:val="555555"/>
          <w:sz w:val="18"/>
          <w:szCs w:val="18"/>
        </w:rPr>
        <w:t xml:space="preserve">表8-D　Savas民營化三類型與我國案例</w:t>
      </w:r>
    </w:p>
    <w:p>
      <w:pPr>
        <w:spacing w:after="140" w:before="260"/>
      </w:pPr>
      <w:r>
        <w:rPr>
          <w:rFonts w:ascii="微軟正黑體" w:cs="微軟正黑體" w:eastAsia="微軟正黑體" w:hAnsi="微軟正黑體"/>
          <w:b/>
          <w:bCs/>
          <w:color w:val="2E5C8A"/>
          <w:sz w:val="23"/>
          <w:szCs w:val="23"/>
        </w:rPr>
        <w:t xml:space="preserve">四、核心命題</w:t>
      </w:r>
    </w:p>
    <w:p>
      <w:pPr>
        <w:pStyle w:val="ListParagraph"/>
        <w:numPr>
          <w:ilvl w:val="0"/>
          <w:numId w:val="2"/>
        </w:numPr>
        <w:spacing w:after="120" w:line="340"/>
      </w:pPr>
      <w:r>
        <w:rPr>
          <w:rFonts w:ascii="微軟正黑體" w:cs="微軟正黑體" w:eastAsia="微軟正黑體" w:hAnsi="微軟正黑體"/>
          <w:sz w:val="22"/>
          <w:szCs w:val="22"/>
        </w:rPr>
        <w:t xml:space="preserve">Osborne與Gaebler（1992）提出政府再造十項原則，核心精神包括：導航式政府（掌舵而非划槳）、社區性政府（授能而非服務）、競爭性政府（將競爭導入公共服務）、任務導向政府（打破法規束縛）、結果導向政府（重視產出而非投入）、顧客導向政府（滿足顧客需求而非官僚體制需求）、企業導向政府（開創收入而非一味支出）、預應性政府（預防而非治療）、分權式政府（參與式管理團隊精神）、市場導向政府（透過市場力量進行變革）；此十原則對我國1990年代以降之行政革新運動具有深遠影響，惟亦招致「過度移植企業邏輯、忽略公部門特殊性」之批評。</w:t>
      </w:r>
    </w:p>
    <w:p>
      <w:pPr>
        <w:pStyle w:val="ListParagraph"/>
        <w:numPr>
          <w:ilvl w:val="0"/>
          <w:numId w:val="2"/>
        </w:numPr>
        <w:spacing w:after="120" w:line="340"/>
      </w:pPr>
      <w:r>
        <w:rPr>
          <w:rFonts w:ascii="微軟正黑體" w:cs="微軟正黑體" w:eastAsia="微軟正黑體" w:hAnsi="微軟正黑體"/>
          <w:sz w:val="22"/>
          <w:szCs w:val="22"/>
        </w:rPr>
        <w:t xml:space="preserve">觀念釐清案例：高速公路電子收費系統（ETC）採BOT模式，特許公司興建營運後期滿移轉政府，屬「民間長期經營、政府仍保有最終所有權」之促參模式；而中華電信民營化則屬Savas分類中之「撤資」，政府釋出股權，性質與促參BOT並不相同——考生常誤將所有「政府與民間合作」案例籠統歸為同一類，須注意所有權移轉程度與風險分配之差異。</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民營化（Savas三類型）</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引入市場競爭機制，可望提升服務效率、減輕政府財政負擔</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若監督機制不足，恐衍生公共性流失、服務品質下降或圖利特定廠商之疑慮</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促參PPP光譜</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結合政府規劃能力與民間資金效率，加速公共建設推動</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特許期間之風險分配與履約監督須有完善制度設計，否則易生爭議（如BOT案履約糾紛）</w:t>
            </w:r>
          </w:p>
        </w:tc>
      </w:tr>
    </w:tbl>
    <w:p>
      <w:pPr>
        <w:spacing w:after="280" w:before="120"/>
        <w:jc w:val="center"/>
      </w:pPr>
      <w:r>
        <w:rPr>
          <w:rFonts w:ascii="微軟正黑體" w:cs="微軟正黑體" w:eastAsia="微軟正黑體" w:hAnsi="微軟正黑體"/>
          <w:i/>
          <w:iCs/>
          <w:color w:val="555555"/>
          <w:sz w:val="18"/>
          <w:szCs w:val="18"/>
        </w:rPr>
        <w:t xml:space="preserve">表8-E　民營化與促參之貢獻與限制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pStyle w:val="ListParagraph"/>
        <w:numPr>
          <w:ilvl w:val="0"/>
          <w:numId w:val="2"/>
        </w:numPr>
        <w:spacing w:after="120" w:line="340"/>
      </w:pPr>
      <w:r>
        <w:rPr>
          <w:rFonts w:ascii="微軟正黑體" w:cs="微軟正黑體" w:eastAsia="微軟正黑體" w:hAnsi="微軟正黑體"/>
          <w:sz w:val="22"/>
          <w:szCs w:val="22"/>
        </w:rPr>
        <w:t xml:space="preserve">近年促參模式亦逐漸延伸至智慧城市與數位基礎設施建設領域，惟此類新興案例之公共性維持與資料治理課責問題，涉及本章第四節「AI鑲嵌下之平台治理」議題，將於該節統一處理。</w:t>
      </w:r>
    </w:p>
    <w:p>
      <w:pPr>
        <w:spacing w:after="140" w:before="260"/>
      </w:pPr>
      <w:r>
        <w:rPr>
          <w:rFonts w:ascii="微軟正黑體" w:cs="微軟正黑體" w:eastAsia="微軟正黑體" w:hAnsi="微軟正黑體"/>
          <w:b/>
          <w:bCs/>
          <w:color w:val="2E5C8A"/>
          <w:sz w:val="23"/>
          <w:szCs w:val="23"/>
        </w:rPr>
        <w:t xml:space="preserve">七、臺灣行政實務</w:t>
      </w:r>
    </w:p>
    <w:p>
      <w:pPr>
        <w:pStyle w:val="ListParagraph"/>
        <w:numPr>
          <w:ilvl w:val="0"/>
          <w:numId w:val="2"/>
        </w:numPr>
        <w:spacing w:after="120" w:line="340"/>
      </w:pPr>
      <w:r>
        <w:rPr>
          <w:rFonts w:ascii="微軟正黑體" w:cs="微軟正黑體" w:eastAsia="微軟正黑體" w:hAnsi="微軟正黑體"/>
          <w:sz w:val="22"/>
          <w:szCs w:val="22"/>
        </w:rPr>
        <w:t xml:space="preserve">我國重大促參案例包括台灣高速鐵路（BOT）、高速公路電子收費系統ETC（BOT）、台北大巨蛋（BOT，因履約爭議一度停工）等；中華電信、台灣菸酒公司則屬國營事業撤資民營化之代表案例，考生應能區辨兩類案例之性質差異。</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①民營化定義與三項前提：市場替代性／公共性維持／風險可移轉</w:t>
            </w:r>
          </w:p>
          <w:p>
            <w:pPr>
              <w:spacing w:after="80" w:line="320"/>
            </w:pPr>
            <w:r>
              <w:rPr>
                <w:rFonts w:ascii="微軟正黑體" w:cs="微軟正黑體" w:eastAsia="微軟正黑體" w:hAnsi="微軟正黑體"/>
                <w:sz w:val="21"/>
                <w:szCs w:val="21"/>
              </w:rPr>
              <w:t xml:space="preserve">•　②Savas民營化三類型：撤資／委託／替代</w:t>
            </w:r>
          </w:p>
          <w:p>
            <w:pPr>
              <w:spacing w:after="80" w:line="320"/>
            </w:pPr>
            <w:r>
              <w:rPr>
                <w:rFonts w:ascii="微軟正黑體" w:cs="微軟正黑體" w:eastAsia="微軟正黑體" w:hAnsi="微軟正黑體"/>
                <w:sz w:val="21"/>
                <w:szCs w:val="21"/>
              </w:rPr>
              <w:t xml:space="preserve">•　③促參PPP光譜：BOT／OT／ROT／BOO／BTO及其所有權與風險分配差異</w:t>
            </w:r>
          </w:p>
          <w:p>
            <w:pPr>
              <w:spacing w:after="80" w:line="320"/>
            </w:pPr>
            <w:r>
              <w:rPr>
                <w:rFonts w:ascii="微軟正黑體" w:cs="微軟正黑體" w:eastAsia="微軟正黑體" w:hAnsi="微軟正黑體"/>
                <w:sz w:val="21"/>
                <w:szCs w:val="21"/>
              </w:rPr>
              <w:t xml:space="preserve">•　④Osborne &amp; Gaebler政府再造十項原則</w:t>
            </w:r>
          </w:p>
          <w:p>
            <w:pPr>
              <w:spacing w:after="0" w:line="320"/>
            </w:pPr>
            <w:r>
              <w:rPr>
                <w:rFonts w:ascii="微軟正黑體" w:cs="微軟正黑體" w:eastAsia="微軟正黑體" w:hAnsi="微軟正黑體"/>
                <w:sz w:val="21"/>
                <w:szCs w:val="21"/>
              </w:rPr>
              <w:t xml:space="preserve">•　⑤ETC（BOT）與中華電信（撤資）之案例辨析</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Savas三類型口訣：撤（資，所有權移轉）、委（託，政府仍監督）、替（代，政府退出由市場填補）——「撤委替」三字訣</w:t>
            </w:r>
          </w:p>
          <w:p>
            <w:pPr>
              <w:spacing w:after="80" w:line="320"/>
            </w:pPr>
            <w:r>
              <w:rPr>
                <w:rFonts w:ascii="微軟正黑體" w:cs="微軟正黑體" w:eastAsia="微軟正黑體" w:hAnsi="微軟正黑體"/>
                <w:sz w:val="21"/>
                <w:szCs w:val="21"/>
              </w:rPr>
              <w:t xml:space="preserve">•　促參光譜記憶：BOT最常見（興建營運移轉）、OT只做營運、ROT重建加營運、BOO民間永久擁有、BTO先移轉再營運——依「政府拿回所有權的時間點」排序</w:t>
            </w:r>
          </w:p>
          <w:p>
            <w:pPr>
              <w:spacing w:after="0" w:line="320"/>
            </w:pPr>
            <w:r>
              <w:rPr>
                <w:rFonts w:ascii="微軟正黑體" w:cs="微軟正黑體" w:eastAsia="微軟正黑體" w:hAnsi="微軟正黑體"/>
                <w:sz w:val="21"/>
                <w:szCs w:val="21"/>
              </w:rPr>
              <w:t xml:space="preserve">•　政府再造十原則精簡記憶：導航（掌舵不划槳）、顧客（導向）、結果（導向）、市場（導向）——四個最常考的關鍵詞</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撤資」（Divestment，所有權完全移轉民間，如中華電信民營化）與「BOT」（政府仍保有特許期滿後之所有權，僅移轉一定期間之經營權）常被考生混為一談——撤資是永久性所有權移轉，BOT是期限內之經營權移轉，期滿後設施仍歸還政府，性質截然不同。</w:t>
            </w:r>
          </w:p>
          <w:p>
            <w:pPr>
              <w:spacing w:after="0" w:line="320"/>
            </w:pPr>
            <w:r>
              <w:rPr>
                <w:rFonts w:ascii="微軟正黑體" w:cs="微軟正黑體" w:eastAsia="微軟正黑體" w:hAnsi="微軟正黑體"/>
                <w:sz w:val="21"/>
                <w:szCs w:val="21"/>
              </w:rPr>
              <w:t xml:space="preserve">•　「委託」（Contracting Out，政府保留規劃監督權）與「替代」（Load Shedding，政府完全退出停止供給）常被考生誤認為程度相近——委託中政府仍是服務品質之最終負責人，替代中政府則已不再介入，課責主體完全不同。</w:t>
            </w:r>
          </w:p>
        </w:tc>
      </w:tr>
    </w:tbl>
    <w:p>
      <w:pPr>
        <w:spacing w:after="220"/>
      </w:pPr>
    </w:p>
    <w:p>
      <w:pPr>
        <w:spacing w:after="180" w:before="360"/>
      </w:pPr>
      <w:r>
        <w:rPr>
          <w:rFonts w:ascii="微軟正黑體" w:cs="微軟正黑體" w:eastAsia="微軟正黑體" w:hAnsi="微軟正黑體"/>
          <w:b/>
          <w:bCs/>
          <w:color w:val="1F4E79"/>
          <w:sz w:val="26"/>
          <w:szCs w:val="26"/>
        </w:rPr>
        <w:t xml:space="preserve">第三節　第三部門、志願失靈與後NPM治理典範演進</w:t>
      </w:r>
    </w:p>
    <w:p>
      <w:pPr>
        <w:spacing w:after="140" w:before="260"/>
      </w:pPr>
      <w:r>
        <w:rPr>
          <w:rFonts w:ascii="微軟正黑體" w:cs="微軟正黑體" w:eastAsia="微軟正黑體" w:hAnsi="微軟正黑體"/>
          <w:b/>
          <w:bCs/>
          <w:color w:val="2E5C8A"/>
          <w:sz w:val="23"/>
          <w:szCs w:val="23"/>
        </w:rPr>
        <w:t xml:space="preserve">一、核心概念</w:t>
      </w:r>
    </w:p>
    <w:p>
      <w:pPr>
        <w:pStyle w:val="ListParagraph"/>
        <w:numPr>
          <w:ilvl w:val="0"/>
          <w:numId w:val="2"/>
        </w:numPr>
        <w:spacing w:after="120" w:line="340"/>
      </w:pPr>
      <w:r>
        <w:rPr>
          <w:rFonts w:ascii="微軟正黑體" w:cs="微軟正黑體" w:eastAsia="微軟正黑體" w:hAnsi="微軟正黑體"/>
          <w:sz w:val="22"/>
          <w:szCs w:val="22"/>
        </w:rPr>
        <w:t xml:space="preserve">第三部門（Third Sector）泛指介於政府（第一部門）與市場（第二部門）之間，具非營利性、志願性與公益性之組織，如基金會、協會、社福團體等；其興起之理論基礎源於「政府失靈」（政府受限於多數決民主僅能提供中位選民偏好之服務，難以滿足少數群體需求）與「市場失靈」（公共財之非排他性導致市場供給不足）雙重失靈，第三部門乃填補政府與市場皆未能滿足之需求缺口而生。</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然而第三部門本身亦非萬能，Salamon提出「志願失靈」（Voluntary Failure）四類型：慈善不足（philanthropic insufficiency，民間捐助規模有限，難以因應大規模社會需求）、慈善特殊主義（philanthropic particularism，資源集中特定族群或地域，忽略其他弱勢）、慈善家長主義（philanthropic paternalism，由捐助者而非受助者決定資源分配方向，可能悖離真實需求）、慈善業餘主義（philanthropic amateurism，欠缺專業訓練與制度化管理，服務品質不穩定）。</w:t>
      </w:r>
    </w:p>
    <w:p>
      <w:pPr>
        <w:pStyle w:val="ListParagraph"/>
        <w:numPr>
          <w:ilvl w:val="0"/>
          <w:numId w:val="2"/>
        </w:numPr>
        <w:spacing w:after="120" w:line="340"/>
      </w:pPr>
      <w:r>
        <w:rPr>
          <w:rFonts w:ascii="微軟正黑體" w:cs="微軟正黑體" w:eastAsia="微軟正黑體" w:hAnsi="微軟正黑體"/>
          <w:sz w:val="22"/>
          <w:szCs w:val="22"/>
        </w:rPr>
        <w:t xml:space="preserve">政府失靈、市場失靈與志願失靈三者交織，構成當代公共服務提供者選擇之核心分析架構——三種失靈並非互斥，而是提醒吾人：不存在單一「萬能供給者」，公共服務之最適安排，往往須政府、市場與第三部門依業務性質靈活協力搭配。</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失靈類型</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成因</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合理治理回應</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政府失靈</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多數決民主僅回應中位選民偏好，難滿足少數需求；官僚組織僵化、效率不彰</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引入市場機制（NPM）、委外或行政法人化，提升效率與回應性</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市場失靈</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公共財具非排他性與非敵對性，私部門缺乏供給誘因；外部性與資訊不對稱</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政府介入供給或補貼，或以管制手段矯正外部性</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志願失靈（Salamon）</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慈善不足、特殊主義、家長主義、業餘主義四項結構性限制</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政府與第三部門建立夥伴關係，以公部門資源彌補志願部門規模與專業之不足</w:t>
            </w:r>
          </w:p>
        </w:tc>
      </w:tr>
    </w:tbl>
    <w:p>
      <w:pPr>
        <w:spacing w:after="280" w:before="120"/>
        <w:jc w:val="center"/>
      </w:pPr>
      <w:r>
        <w:rPr>
          <w:rFonts w:ascii="微軟正黑體" w:cs="微軟正黑體" w:eastAsia="微軟正黑體" w:hAnsi="微軟正黑體"/>
          <w:i/>
          <w:iCs/>
          <w:color w:val="555555"/>
          <w:sz w:val="18"/>
          <w:szCs w:val="18"/>
        </w:rPr>
        <w:t xml:space="preserve">表8-F　政府失靈、市場失靈與志願失靈及其治理回應</w:t>
      </w:r>
    </w:p>
    <w:p>
      <w:pPr>
        <w:spacing w:after="140" w:before="260"/>
      </w:pPr>
      <w:r>
        <w:rPr>
          <w:rFonts w:ascii="微軟正黑體" w:cs="微軟正黑體" w:eastAsia="微軟正黑體" w:hAnsi="微軟正黑體"/>
          <w:b/>
          <w:bCs/>
          <w:color w:val="2E5C8A"/>
          <w:sz w:val="23"/>
          <w:szCs w:val="23"/>
        </w:rPr>
        <w:t xml:space="preserve">四、核心命題</w:t>
      </w:r>
    </w:p>
    <w:p>
      <w:pPr>
        <w:pStyle w:val="ListParagraph"/>
        <w:numPr>
          <w:ilvl w:val="0"/>
          <w:numId w:val="2"/>
        </w:numPr>
        <w:spacing w:after="120" w:line="340"/>
      </w:pPr>
      <w:r>
        <w:rPr>
          <w:rFonts w:ascii="微軟正黑體" w:cs="微軟正黑體" w:eastAsia="微軟正黑體" w:hAnsi="微軟正黑體"/>
          <w:sz w:val="22"/>
          <w:szCs w:val="22"/>
        </w:rPr>
        <w:t xml:space="preserve">Dunleavy等人對NPM提出「空洞國家」（Hollow State）批評：當政府大量將職能委外、分散予各類代理機構與私部門夥伴後，中央政府逐漸喪失直接執行能力，僅剩契約管理與監督之空殼角色，一旦民間夥伴failure，政府恐難以迅速填補服務缺口；Hood與Dixon進一步指出，NPM改革之實際效益（成本節省、效率提升）常未如預期，反而增加交易成本與課責模糊化之風險。</w:t>
      </w:r>
    </w:p>
    <w:p>
      <w:pPr>
        <w:pStyle w:val="ListParagraph"/>
        <w:numPr>
          <w:ilvl w:val="0"/>
          <w:numId w:val="2"/>
        </w:numPr>
        <w:spacing w:after="120" w:line="340"/>
      </w:pPr>
      <w:r>
        <w:rPr>
          <w:rFonts w:ascii="微軟正黑體" w:cs="微軟正黑體" w:eastAsia="微軟正黑體" w:hAnsi="微軟正黑體"/>
          <w:sz w:val="22"/>
          <w:szCs w:val="22"/>
        </w:rPr>
        <w:t xml:space="preserve">回應NPM之侷限，後續發展出公共價值管理（PVM，Moore戰略三角：公共價值、正當性與支持、營運能力三者須同時兼顧）與新公共治理（NPG，Osborne）：NPG強調公民不再是被動之「顧客」，而是與政府協同生產（co-production）公共服務之「共同生產者」（co-producer），治理焦點從單一組織之效率，轉向跨部門網絡關係之協調與價值共創（value-in-use，強調服務價值在使用過程中共同創造，而非事先設定）。</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9"/>
        <w:gridCol w:w="2409"/>
        <w:gridCol w:w="2408"/>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治理典範</w:t>
            </w:r>
          </w:p>
        </w:tc>
        <w:tc>
          <w:tcPr>
            <w:tcW w:type="dxa" w:w="2409"/>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官僚制</w:t>
            </w:r>
          </w:p>
        </w:tc>
        <w:tc>
          <w:tcPr>
            <w:tcW w:type="dxa" w:w="2409"/>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NPM</w:t>
            </w:r>
          </w:p>
        </w:tc>
        <w:tc>
          <w:tcPr>
            <w:tcW w:type="dxa" w:w="2408"/>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PVM／NPG</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核心邏輯</w:t>
            </w:r>
          </w:p>
        </w:tc>
        <w:tc>
          <w:tcPr>
            <w:tcW w:type="dxa" w:w="2409"/>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依法行政、層級節制</w:t>
            </w:r>
          </w:p>
        </w:tc>
        <w:tc>
          <w:tcPr>
            <w:tcW w:type="dxa" w:w="2409"/>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市場競爭、顧客導向</w:t>
            </w:r>
          </w:p>
        </w:tc>
        <w:tc>
          <w:tcPr>
            <w:tcW w:type="dxa" w:w="2408"/>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網絡協力、公共價值共創</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公民角色</w:t>
            </w:r>
          </w:p>
        </w:tc>
        <w:tc>
          <w:tcPr>
            <w:tcW w:type="dxa" w:w="2409"/>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受規範之對象</w:t>
            </w:r>
          </w:p>
        </w:tc>
        <w:tc>
          <w:tcPr>
            <w:tcW w:type="dxa" w:w="2409"/>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顧客（customer）</w:t>
            </w:r>
          </w:p>
        </w:tc>
        <w:tc>
          <w:tcPr>
            <w:tcW w:type="dxa" w:w="2408"/>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共同生產者（co-producer）</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主要限制</w:t>
            </w:r>
          </w:p>
        </w:tc>
        <w:tc>
          <w:tcPr>
            <w:tcW w:type="dxa" w:w="2409"/>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僵化、回應遲緩</w:t>
            </w:r>
          </w:p>
        </w:tc>
        <w:tc>
          <w:tcPr>
            <w:tcW w:type="dxa" w:w="2409"/>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空洞國家、課責模糊</w:t>
            </w:r>
          </w:p>
        </w:tc>
        <w:tc>
          <w:tcPr>
            <w:tcW w:type="dxa" w:w="2408"/>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協調成本高、責任歸屬待釐清</w:t>
            </w:r>
          </w:p>
        </w:tc>
      </w:tr>
    </w:tbl>
    <w:p>
      <w:pPr>
        <w:spacing w:after="280" w:before="120"/>
        <w:jc w:val="center"/>
      </w:pPr>
      <w:r>
        <w:rPr>
          <w:rFonts w:ascii="微軟正黑體" w:cs="微軟正黑體" w:eastAsia="微軟正黑體" w:hAnsi="微軟正黑體"/>
          <w:i/>
          <w:iCs/>
          <w:color w:val="555555"/>
          <w:sz w:val="18"/>
          <w:szCs w:val="18"/>
        </w:rPr>
        <w:t xml:space="preserve">表8-G　官僚制、NPM與PVM／NPG治理典範比較</w:t>
      </w:r>
    </w:p>
    <w:p>
      <w:pPr>
        <w:spacing w:after="140" w:before="260"/>
      </w:pPr>
      <w:r>
        <w:rPr>
          <w:rFonts w:ascii="微軟正黑體" w:cs="微軟正黑體" w:eastAsia="微軟正黑體" w:hAnsi="微軟正黑體"/>
          <w:b/>
          <w:bCs/>
          <w:color w:val="2E5C8A"/>
          <w:sz w:val="23"/>
          <w:szCs w:val="23"/>
        </w:rPr>
        <w:t xml:space="preserve">六、當代發展</w:t>
      </w:r>
    </w:p>
    <w:p>
      <w:pPr>
        <w:pStyle w:val="ListParagraph"/>
        <w:numPr>
          <w:ilvl w:val="0"/>
          <w:numId w:val="2"/>
        </w:numPr>
        <w:spacing w:after="120" w:line="340"/>
      </w:pPr>
      <w:r>
        <w:rPr>
          <w:rFonts w:ascii="微軟正黑體" w:cs="微軟正黑體" w:eastAsia="微軟正黑體" w:hAnsi="微軟正黑體"/>
          <w:sz w:val="22"/>
          <w:szCs w:val="22"/>
        </w:rPr>
        <w:t xml:space="preserve">治理典範演進軸線可歸納為：官僚制（層級節制）→NPM（市場競爭）→PVM／NPG（網絡協力與公共價值）→數位化政府DEG（資料驅動）→AI治理（演算法鑲嵌），此一演進軸線說明政府與市場關係之抉擇，並非一次性定案，而是隨環境變遷持續調適；第四節將接續處理DEG與AI治理階段之具體內容。</w:t>
      </w:r>
    </w:p>
    <w:p>
      <w:pPr>
        <w:spacing w:after="140" w:before="260"/>
      </w:pPr>
      <w:r>
        <w:rPr>
          <w:rFonts w:ascii="微軟正黑體" w:cs="微軟正黑體" w:eastAsia="微軟正黑體" w:hAnsi="微軟正黑體"/>
          <w:b/>
          <w:bCs/>
          <w:color w:val="2E5C8A"/>
          <w:sz w:val="23"/>
          <w:szCs w:val="23"/>
        </w:rPr>
        <w:t xml:space="preserve">七、臺灣行政實務</w:t>
      </w:r>
    </w:p>
    <w:p>
      <w:pPr>
        <w:pStyle w:val="ListParagraph"/>
        <w:numPr>
          <w:ilvl w:val="0"/>
          <w:numId w:val="2"/>
        </w:numPr>
        <w:spacing w:after="120" w:line="340"/>
      </w:pPr>
      <w:r>
        <w:rPr>
          <w:rFonts w:ascii="微軟正黑體" w:cs="微軟正黑體" w:eastAsia="微軟正黑體" w:hAnsi="微軟正黑體"/>
          <w:sz w:val="22"/>
          <w:szCs w:val="22"/>
        </w:rPr>
        <w:t xml:space="preserve">我國第三部門蓬勃發展，公益團體與社會企業在長照、環境保護、弱勢扶助等領域扮演重要角色；政府近年推動之「公私協力」政策（如社區照顧關懷據點結合在地NGO），即為NPG「共同生產」理念之具體實踐，惟亦須注意避免志願失靈四類型（尤其是特殊主義與業餘主義）影響服務均等性與專業品質。</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①第三部門興起理論基礎：政府失靈＋市場失靈</w:t>
            </w:r>
          </w:p>
          <w:p>
            <w:pPr>
              <w:spacing w:after="80" w:line="320"/>
            </w:pPr>
            <w:r>
              <w:rPr>
                <w:rFonts w:ascii="微軟正黑體" w:cs="微軟正黑體" w:eastAsia="微軟正黑體" w:hAnsi="微軟正黑體"/>
                <w:sz w:val="21"/>
                <w:szCs w:val="21"/>
              </w:rPr>
              <w:t xml:space="preserve">•　②Salamon志願失靈四類型：慈善不足／特殊主義／家長主義／業餘主義</w:t>
            </w:r>
          </w:p>
          <w:p>
            <w:pPr>
              <w:spacing w:after="80" w:line="320"/>
            </w:pPr>
            <w:r>
              <w:rPr>
                <w:rFonts w:ascii="微軟正黑體" w:cs="微軟正黑體" w:eastAsia="微軟正黑體" w:hAnsi="微軟正黑體"/>
                <w:sz w:val="21"/>
                <w:szCs w:val="21"/>
              </w:rPr>
              <w:t xml:space="preserve">•　③NPM批判：Dunleavy空洞國家論、Hood &amp; Dixon對效益之質疑</w:t>
            </w:r>
          </w:p>
          <w:p>
            <w:pPr>
              <w:spacing w:after="80" w:line="320"/>
            </w:pPr>
            <w:r>
              <w:rPr>
                <w:rFonts w:ascii="微軟正黑體" w:cs="微軟正黑體" w:eastAsia="微軟正黑體" w:hAnsi="微軟正黑體"/>
                <w:sz w:val="21"/>
                <w:szCs w:val="21"/>
              </w:rPr>
              <w:t xml:space="preserve">•　④PVM（Moore戰略三角）與NPG（Osborne，共同生產者、value-in-use）</w:t>
            </w:r>
          </w:p>
          <w:p>
            <w:pPr>
              <w:spacing w:after="0" w:line="320"/>
            </w:pPr>
            <w:r>
              <w:rPr>
                <w:rFonts w:ascii="微軟正黑體" w:cs="微軟正黑體" w:eastAsia="微軟正黑體" w:hAnsi="微軟正黑體"/>
                <w:sz w:val="21"/>
                <w:szCs w:val="21"/>
              </w:rPr>
              <w:t xml:space="preserve">•　⑤治理典範演進軸線：官僚制→NPM→PVM／NPG→DEG→AI治理</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志願失靈四類型口訣：不（足）、特（殊主義）、家（長主義）、業（餘主義）——「不特家業」四字訣</w:t>
            </w:r>
          </w:p>
          <w:p>
            <w:pPr>
              <w:spacing w:after="80" w:line="320"/>
            </w:pPr>
            <w:r>
              <w:rPr>
                <w:rFonts w:ascii="微軟正黑體" w:cs="微軟正黑體" w:eastAsia="微軟正黑體" w:hAnsi="微軟正黑體"/>
                <w:sz w:val="21"/>
                <w:szCs w:val="21"/>
              </w:rPr>
              <w:t xml:space="preserve">•　三種失靈記憶：政府失靈（少數需求顧不到）、市場失靈（公共財沒人做）、志願失靈（民間也做不好）——三者互補而非互斥</w:t>
            </w:r>
          </w:p>
          <w:p>
            <w:pPr>
              <w:spacing w:after="0" w:line="320"/>
            </w:pPr>
            <w:r>
              <w:rPr>
                <w:rFonts w:ascii="微軟正黑體" w:cs="微軟正黑體" w:eastAsia="微軟正黑體" w:hAnsi="微軟正黑體"/>
                <w:sz w:val="21"/>
                <w:szCs w:val="21"/>
              </w:rPr>
              <w:t xml:space="preserve">•　治理典範演進記憶：官僚制管（層級）、NPM比（市場）、NPG合（網絡）——「管比合」三階段</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顧客」（NPM語彙，服務之被動接受者，政府單向滿足其需求）與「共同生產者」（NPG語彙，公民主動參與服務設計與提供過程）常被考生混用——兩者反映不同治理典範對公民角色之根本假設差異，答題時應清楚點出典範轉換之意涵，而非僅是用詞替換。</w:t>
            </w:r>
          </w:p>
          <w:p>
            <w:pPr>
              <w:spacing w:after="0" w:line="320"/>
            </w:pPr>
            <w:r>
              <w:rPr>
                <w:rFonts w:ascii="微軟正黑體" w:cs="微軟正黑體" w:eastAsia="微軟正黑體" w:hAnsi="微軟正黑體"/>
                <w:sz w:val="21"/>
                <w:szCs w:val="21"/>
              </w:rPr>
              <w:t xml:space="preserve">•　「空洞國家」（Hollow State，政府因大量委外而喪失直接執行能力）與「小而美政府」（單純的組織精簡）常被考生視為同義詞——空洞國家帶有負面批判意涵，強調的是「能力流失」與「課責風險」，並非單純的組織瘦身，兩者評價立場相反。</w:t>
            </w:r>
          </w:p>
        </w:tc>
      </w:tr>
    </w:tbl>
    <w:p>
      <w:pPr>
        <w:spacing w:after="220"/>
      </w:pPr>
    </w:p>
    <w:p>
      <w:pPr>
        <w:spacing w:after="180" w:before="360"/>
      </w:pPr>
      <w:r>
        <w:rPr>
          <w:rFonts w:ascii="微軟正黑體" w:cs="微軟正黑體" w:eastAsia="微軟正黑體" w:hAnsi="微軟正黑體"/>
          <w:b/>
          <w:bCs/>
          <w:color w:val="1F4E79"/>
          <w:sz w:val="26"/>
          <w:szCs w:val="26"/>
        </w:rPr>
        <w:t xml:space="preserve">第四節　AI鑲嵌下的平台治理、GovTech與雙重失靈</w:t>
      </w:r>
    </w:p>
    <w:p>
      <w:pPr>
        <w:spacing w:after="140" w:before="260"/>
      </w:pPr>
      <w:r>
        <w:rPr>
          <w:rFonts w:ascii="微軟正黑體" w:cs="微軟正黑體" w:eastAsia="微軟正黑體" w:hAnsi="微軟正黑體"/>
          <w:b/>
          <w:bCs/>
          <w:color w:val="2E5C8A"/>
          <w:sz w:val="23"/>
          <w:szCs w:val="23"/>
        </w:rPr>
        <w:t xml:space="preserve">一、核心概念</w:t>
      </w:r>
    </w:p>
    <w:p>
      <w:pPr>
        <w:pStyle w:val="ListParagraph"/>
        <w:numPr>
          <w:ilvl w:val="0"/>
          <w:numId w:val="2"/>
        </w:numPr>
        <w:spacing w:after="120" w:line="340"/>
      </w:pPr>
      <w:r>
        <w:rPr>
          <w:rFonts w:ascii="微軟正黑體" w:cs="微軟正黑體" w:eastAsia="微軟正黑體" w:hAnsi="微軟正黑體"/>
          <w:sz w:val="22"/>
          <w:szCs w:val="22"/>
        </w:rPr>
        <w:t xml:space="preserve">當數位平台（如網約車、外送、電商）成為經濟活動之主要中介者，傳統市場失靈理論須擴充以因應「平台經濟新市場失靈」：網絡效應（使用者越多平台價值越高）易導致自然獨占；平台掌握海量交易資料形成資訊不對稱之結構性加劇；演算法定價與媒合機制之黑箱特性，使傳統反托拉斯與消費者保護工具難以直接適用。</w:t>
      </w:r>
    </w:p>
    <w:p>
      <w:pPr>
        <w:pStyle w:val="ListParagraph"/>
        <w:numPr>
          <w:ilvl w:val="0"/>
          <w:numId w:val="2"/>
        </w:numPr>
        <w:spacing w:after="120" w:line="340"/>
      </w:pPr>
      <w:r>
        <w:rPr>
          <w:rFonts w:ascii="微軟正黑體" w:cs="微軟正黑體" w:eastAsia="微軟正黑體" w:hAnsi="微軟正黑體"/>
          <w:sz w:val="22"/>
          <w:szCs w:val="22"/>
        </w:rPr>
        <w:t xml:space="preserve">平台化亦使公私部門界線進一步消解：平台企業實質承擔部分傳統上屬於政府之媒合、認證乃至準規制功能（如網約車平台之司機資格審核），形成「私部門公共化」與「公共職能私有化」並存之混合治理格局。</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資料治理面臨「公共財」與「共有財」兩種定性之爭：若視資料為純公共財（非排他非敵對），易導致誰都不投資治理之「反公地悲劇」；Hess與Ostrom借用Ostrom（1990）之共有財治理理論，主張資料更適合定性為「知識共有財」（knowledge commons）——需要社群自主建立使用規則、監督機制與爭端解決程序，而非放任不管或完全收歸國有。實務上進一步發展出「資料分級治理」：依敏感程度將資料分為開放、受限、機密等級，各級適用不同之近用與共享規則。</w:t>
      </w:r>
    </w:p>
    <w:p>
      <w:pPr>
        <w:pStyle w:val="ListParagraph"/>
        <w:numPr>
          <w:ilvl w:val="0"/>
          <w:numId w:val="2"/>
        </w:numPr>
        <w:spacing w:after="120" w:line="340"/>
      </w:pPr>
      <w:r>
        <w:rPr>
          <w:rFonts w:ascii="微軟正黑體" w:cs="微軟正黑體" w:eastAsia="微軟正黑體" w:hAnsi="微軟正黑體"/>
          <w:sz w:val="22"/>
          <w:szCs w:val="22"/>
        </w:rPr>
        <w:t xml:space="preserve">Dunleavy等人提出數位era治理（DEG）三波演進：第一波為單純電子化（將既有紙本流程數位化）、第二波為以民為本之整合服務（One-Stop-Service整合單一入口）、第三波為「政府即平台」（Government as a Platform, GaaP）——政府退居為提供資料介面（API）與基礎服務模組之平台角色，開放第三方在此基礎上開發加值應用，此一階段亦是GovTech（政府科技）之核心理念。</w:t>
      </w:r>
    </w:p>
    <w:p>
      <w:pPr>
        <w:pStyle w:val="ListParagraph"/>
        <w:numPr>
          <w:ilvl w:val="0"/>
          <w:numId w:val="2"/>
        </w:numPr>
        <w:spacing w:after="120" w:line="340"/>
      </w:pPr>
      <w:r>
        <w:rPr>
          <w:rFonts w:ascii="微軟正黑體" w:cs="微軟正黑體" w:eastAsia="微軟正黑體" w:hAnsi="微軟正黑體"/>
          <w:sz w:val="22"/>
          <w:szCs w:val="22"/>
        </w:rPr>
        <w:t xml:space="preserve">Janssen等人指出，生成式AI與演算法系統之普及，正造成「市場與政府雙重失靈」交織之新型態風險：私部門演算法失靈（如演算法偏見、黑箱決策損害消費者權益）與公部門監管失靈（政府監理能力與技術發展速度脫節，「監理落後」problem）同時發生且相互強化，使傳統「市場失靈由政府矯正」之單向邏輯不再適用。</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00"/>
        <w:gridCol w:w="6226"/>
      </w:tblGrid>
      <w:tr>
        <w:trPr>
          <w:tblHeader/>
        </w:trPr>
        <w:tc>
          <w:tcPr>
            <w:tcW w:type="dxa" w:w="2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理論／概念</w:t>
            </w:r>
          </w:p>
        </w:tc>
        <w:tc>
          <w:tcPr>
            <w:tcW w:type="dxa" w:w="62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核心內容</w:t>
            </w:r>
          </w:p>
        </w:tc>
      </w:tr>
      <w:tr>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Hess &amp; Ostrom</w:t>
            </w:r>
          </w:p>
        </w:tc>
        <w:tc>
          <w:tcPr>
            <w:tcW w:type="dxa" w:w="6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資料作為知識共有財（knowledge commons），需社群自治規則而非放任或完全國有化</w:t>
            </w:r>
          </w:p>
        </w:tc>
      </w:tr>
      <w:tr>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Dunleavy et al.</w:t>
            </w:r>
          </w:p>
        </w:tc>
        <w:tc>
          <w:tcPr>
            <w:tcW w:type="dxa" w:w="6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數位era治理（DEG）三波：電子化→整合服務→政府即平台（GaaP）</w:t>
            </w:r>
          </w:p>
        </w:tc>
      </w:tr>
      <w:tr>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Janssen et al.</w:t>
            </w:r>
          </w:p>
        </w:tc>
        <w:tc>
          <w:tcPr>
            <w:tcW w:type="dxa" w:w="6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AI造成市場與政府雙重失靈：私部門演算法失靈＋公部門監管失靈交織強化</w:t>
            </w:r>
          </w:p>
        </w:tc>
      </w:tr>
      <w:tr>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Busuioc</w:t>
            </w:r>
          </w:p>
        </w:tc>
        <w:tc>
          <w:tcPr>
            <w:tcW w:type="dxa" w:w="6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可課責AI四要件：可解釋性（explainability）、可追溯性（traceability）、可爭訟性（contestability）、人在迴路監督（human oversight）</w:t>
            </w:r>
          </w:p>
        </w:tc>
      </w:tr>
    </w:tbl>
    <w:p>
      <w:pPr>
        <w:spacing w:after="280" w:before="120"/>
        <w:jc w:val="center"/>
      </w:pPr>
      <w:r>
        <w:rPr>
          <w:rFonts w:ascii="微軟正黑體" w:cs="微軟正黑體" w:eastAsia="微軟正黑體" w:hAnsi="微軟正黑體"/>
          <w:i/>
          <w:iCs/>
          <w:color w:val="555555"/>
          <w:sz w:val="18"/>
          <w:szCs w:val="18"/>
        </w:rPr>
        <w:t xml:space="preserve">表8-H　平台治理、GovTech與AI雙重失靈主要學者</w:t>
      </w:r>
    </w:p>
    <w:p>
      <w:pPr>
        <w:spacing w:after="140" w:before="260"/>
      </w:pPr>
      <w:r>
        <w:rPr>
          <w:rFonts w:ascii="微軟正黑體" w:cs="微軟正黑體" w:eastAsia="微軟正黑體" w:hAnsi="微軟正黑體"/>
          <w:b/>
          <w:bCs/>
          <w:color w:val="2E5C8A"/>
          <w:sz w:val="23"/>
          <w:szCs w:val="23"/>
        </w:rPr>
        <w:t xml:space="preserve">四、核心命題</w:t>
      </w:r>
    </w:p>
    <w:p>
      <w:pPr>
        <w:pStyle w:val="ListParagraph"/>
        <w:numPr>
          <w:ilvl w:val="0"/>
          <w:numId w:val="2"/>
        </w:numPr>
        <w:spacing w:after="120" w:line="340"/>
      </w:pPr>
      <w:r>
        <w:rPr>
          <w:rFonts w:ascii="微軟正黑體" w:cs="微軟正黑體" w:eastAsia="微軟正黑體" w:hAnsi="微軟正黑體"/>
          <w:sz w:val="22"/>
          <w:szCs w:val="22"/>
        </w:rPr>
        <w:t xml:space="preserve">AI鑲嵌治理過程中存在三種權力移轉：情境建構權（P1，訓練資料標註與演算法預設類別，預先框定何謂待治理之議題）、行政裁量權（P2，演算法系統承擔第一輪自動化裁量，實質分擔基層人員之判斷功能）、公權力影響力（P3，掌握雲端與演算法基礎設施之科技廠商，透過技術標準與介面設計實質參與公共治理環境之定義）；並伴隨三種結構性效應：跨部門界線之移動、公私責任邊界之消解、監理權威之重構。</w:t>
      </w:r>
    </w:p>
    <w:p>
      <w:pPr>
        <w:pStyle w:val="ListParagraph"/>
        <w:numPr>
          <w:ilvl w:val="0"/>
          <w:numId w:val="2"/>
        </w:numPr>
        <w:spacing w:after="120" w:line="340"/>
      </w:pPr>
      <w:r>
        <w:rPr>
          <w:rFonts w:ascii="微軟正黑體" w:cs="微軟正黑體" w:eastAsia="微軟正黑體" w:hAnsi="微軟正黑體"/>
          <w:sz w:val="22"/>
          <w:szCs w:val="22"/>
        </w:rPr>
        <w:t xml:space="preserve">四條治理鏈與七項治理審計：本章主張，面對平台化與AI鑲嵌後之公私協力關係，應建立「使用者—平台—政府—社會」四條交錯之權威與課責鏈，並針對每一環節進行七項治理審計：目標正當性、資料品質、演算法透明度、人為監督機制、申訴與救濟管道、影響評估、持續性監控與再評估。</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GovTech與政府即平台（GaaP）</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以開放API與模組化服務，降低政府自建系統成本，促進跨機關與跨部門服務整合創新</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須同步建立資安與資料主權防護，避免核心公共基礎設施過度依賴少數科技廠商</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四條治理鏈與七項治理審計</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提供結構化工具，系統性檢視平台與AI治理過程中之權責分工與課責缺口</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審計項目之操作化指標仍待各機關依業務性質具體發展，落實程度因機關能力而異</w:t>
            </w:r>
          </w:p>
        </w:tc>
      </w:tr>
    </w:tbl>
    <w:p>
      <w:pPr>
        <w:spacing w:after="280" w:before="120"/>
        <w:jc w:val="center"/>
      </w:pPr>
      <w:r>
        <w:rPr>
          <w:rFonts w:ascii="微軟正黑體" w:cs="微軟正黑體" w:eastAsia="微軟正黑體" w:hAnsi="微軟正黑體"/>
          <w:i/>
          <w:iCs/>
          <w:color w:val="555555"/>
          <w:sz w:val="18"/>
          <w:szCs w:val="18"/>
        </w:rPr>
        <w:t xml:space="preserve">表8-I　GovTech治理工具箱之貢獻與限制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pStyle w:val="ListParagraph"/>
        <w:numPr>
          <w:ilvl w:val="0"/>
          <w:numId w:val="2"/>
        </w:numPr>
        <w:spacing w:after="120" w:line="340"/>
      </w:pPr>
      <w:r>
        <w:rPr>
          <w:rFonts w:ascii="微軟正黑體" w:cs="微軟正黑體" w:eastAsia="微軟正黑體" w:hAnsi="微軟正黑體"/>
          <w:sz w:val="22"/>
          <w:szCs w:val="22"/>
        </w:rPr>
        <w:t xml:space="preserve">以Uber（網約車）與Foodpanda（外送平台）為例，運用四條治理鏈與七項治理審計架構分析：使用者對平台之信任建立於評價機制與申訴管道（審計項目：申訴與救濟管道）；平台對政府之課責則涉及勞動權益認定（外送員是否具僱傭關係）與資料揭露義務（審計項目：目標正當性、資料品質）；政府對社會之課責則須確保監理規則與時俱進、避免監理落後（審計項目：持續性監控與再評估）；此一案例顯示，平台治理課責不能僅要求平台單方負責，而須政府、平台、勞動者與消費者四方共同納入治理鏈條，方能有效因應「雙重失靈」風險。</w:t>
      </w:r>
    </w:p>
    <w:p>
      <w:pPr>
        <w:pStyle w:val="ListParagraph"/>
        <w:numPr>
          <w:ilvl w:val="0"/>
          <w:numId w:val="2"/>
        </w:numPr>
        <w:spacing w:after="120" w:line="340"/>
      </w:pPr>
      <w:r>
        <w:rPr>
          <w:rFonts w:ascii="微軟正黑體" w:cs="微軟正黑體" w:eastAsia="微軟正黑體" w:hAnsi="微軟正黑體"/>
          <w:sz w:val="22"/>
          <w:szCs w:val="22"/>
        </w:rPr>
        <w:t xml:space="preserve">虛擬政府治理工具箱進一步包含：數位分身政府（Digital Twin Government，以模擬環境測試政策效果後再實施）、主權AI（Sovereign AI，降低對外國演算法與雲端服務之結構性依賴）、AI採購倫理（政府採購AI系統時應納入可課責性與公平性評估標準，而非僅比較價格與效能）。</w:t>
      </w:r>
    </w:p>
    <w:p>
      <w:pPr>
        <w:spacing w:after="140" w:before="260"/>
      </w:pPr>
      <w:r>
        <w:rPr>
          <w:rFonts w:ascii="微軟正黑體" w:cs="微軟正黑體" w:eastAsia="微軟正黑體" w:hAnsi="微軟正黑體"/>
          <w:b/>
          <w:bCs/>
          <w:color w:val="2E5C8A"/>
          <w:sz w:val="23"/>
          <w:szCs w:val="23"/>
        </w:rPr>
        <w:t xml:space="preserve">七、臺灣行政實務</w:t>
      </w:r>
    </w:p>
    <w:p>
      <w:pPr>
        <w:pStyle w:val="ListParagraph"/>
        <w:numPr>
          <w:ilvl w:val="0"/>
          <w:numId w:val="2"/>
        </w:numPr>
        <w:spacing w:after="120" w:line="340"/>
      </w:pPr>
      <w:r>
        <w:rPr>
          <w:rFonts w:ascii="微軟正黑體" w:cs="微軟正黑體" w:eastAsia="微軟正黑體" w:hAnsi="微軟正黑體"/>
          <w:sz w:val="22"/>
          <w:szCs w:val="22"/>
        </w:rPr>
        <w:t xml:space="preserve">我國近年網約車與外送平台之勞動權益爭議（如外送員職業安全與勞動契約認定），促使勞動部與地方政府研議專法或指引，即為政府對平台化新型態勞動關係之治理回應；數位發展部同步推動政府資料開放與GovTech相關政策，惟資料分級治理與AI採購倫理之制度化，仍在持續發展階段，是我國近期行政學考點之重要新興領域。</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①平台經濟新市場失靈：網絡效應獨占／資訊不對稱加劇／演算法黑箱</w:t>
            </w:r>
          </w:p>
          <w:p>
            <w:pPr>
              <w:spacing w:after="80" w:line="320"/>
            </w:pPr>
            <w:r>
              <w:rPr>
                <w:rFonts w:ascii="微軟正黑體" w:cs="微軟正黑體" w:eastAsia="微軟正黑體" w:hAnsi="微軟正黑體"/>
                <w:sz w:val="21"/>
                <w:szCs w:val="21"/>
              </w:rPr>
              <w:t xml:space="preserve">•　②資料公共財 vs. 資料共有財（Hess &amp; Ostrom知識共有財理論）；資料分級治理</w:t>
            </w:r>
          </w:p>
          <w:p>
            <w:pPr>
              <w:spacing w:after="80" w:line="320"/>
            </w:pPr>
            <w:r>
              <w:rPr>
                <w:rFonts w:ascii="微軟正黑體" w:cs="微軟正黑體" w:eastAsia="微軟正黑體" w:hAnsi="微軟正黑體"/>
                <w:sz w:val="21"/>
                <w:szCs w:val="21"/>
              </w:rPr>
              <w:t xml:space="preserve">•　③DEG三波演進（Dunleavy）：電子化→整合服務→政府即平台（GaaP）</w:t>
            </w:r>
          </w:p>
          <w:p>
            <w:pPr>
              <w:spacing w:after="80" w:line="320"/>
            </w:pPr>
            <w:r>
              <w:rPr>
                <w:rFonts w:ascii="微軟正黑體" w:cs="微軟正黑體" w:eastAsia="微軟正黑體" w:hAnsi="微軟正黑體"/>
                <w:sz w:val="21"/>
                <w:szCs w:val="21"/>
              </w:rPr>
              <w:t xml:space="preserve">•　④AI造成市場與政府雙重失靈（Janssen et al.）；Busuioc可課責AI四要件</w:t>
            </w:r>
          </w:p>
          <w:p>
            <w:pPr>
              <w:spacing w:after="80" w:line="320"/>
            </w:pPr>
            <w:r>
              <w:rPr>
                <w:rFonts w:ascii="微軟正黑體" w:cs="微軟正黑體" w:eastAsia="微軟正黑體" w:hAnsi="微軟正黑體"/>
                <w:sz w:val="21"/>
                <w:szCs w:val="21"/>
              </w:rPr>
              <w:t xml:space="preserve">•　⑤三種權力移轉（情境建構權／行政裁量權／公權力影響力）與三種結構性效應</w:t>
            </w:r>
          </w:p>
          <w:p>
            <w:pPr>
              <w:spacing w:after="0" w:line="320"/>
            </w:pPr>
            <w:r>
              <w:rPr>
                <w:rFonts w:ascii="微軟正黑體" w:cs="微軟正黑體" w:eastAsia="微軟正黑體" w:hAnsi="微軟正黑體"/>
                <w:sz w:val="21"/>
                <w:szCs w:val="21"/>
              </w:rPr>
              <w:t xml:space="preserve">•　⑥四條治理鏈與七項治理審計架構；Uber／Foodpanda案例應用</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DEG三波口訣：電（子化）、整（合服務）、平（台GaaP）——「電整平」三字訣</w:t>
            </w:r>
          </w:p>
          <w:p>
            <w:pPr>
              <w:spacing w:after="80" w:line="320"/>
            </w:pPr>
            <w:r>
              <w:rPr>
                <w:rFonts w:ascii="微軟正黑體" w:cs="微軟正黑體" w:eastAsia="微軟正黑體" w:hAnsi="微軟正黑體"/>
                <w:sz w:val="21"/>
                <w:szCs w:val="21"/>
              </w:rPr>
              <w:t xml:space="preserve">•　可課責AI四要件口訣：解（釋性）、追（溯性）、爭（訟性）、督（人在迴路）——「解追爭督」四字訣</w:t>
            </w:r>
          </w:p>
          <w:p>
            <w:pPr>
              <w:spacing w:after="0" w:line="320"/>
            </w:pPr>
            <w:r>
              <w:rPr>
                <w:rFonts w:ascii="微軟正黑體" w:cs="微軟正黑體" w:eastAsia="微軟正黑體" w:hAnsi="微軟正黑體"/>
                <w:sz w:val="21"/>
                <w:szCs w:val="21"/>
              </w:rPr>
              <w:t xml:space="preserve">•　三種權力移轉記憶：P1框問題（情境建構）、P2做決定（行政裁量）、P3定規則（公權力影響力）——依「介入時間點」排序</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「資料公共財」（純公共財定性，易生無人治理之反公地悲劇）與「資料共有財」（Hess &amp; Ostrom主張之定性，需社群自治規則）常被考生混為一談——前者是消極放任的定性，後者是積極治理的定性，本章立場明確傾向後者，作答時應清楚說明選擇共有財定性之理由。</w:t>
            </w:r>
          </w:p>
          <w:p>
            <w:pPr>
              <w:spacing w:after="0" w:line="320"/>
            </w:pPr>
            <w:r>
              <w:rPr>
                <w:rFonts w:ascii="微軟正黑體" w:cs="微軟正黑體" w:eastAsia="微軟正黑體" w:hAnsi="微軟正黑體"/>
                <w:sz w:val="21"/>
                <w:szCs w:val="21"/>
              </w:rPr>
              <w:t xml:space="preserve">•　「政府即平台」（GaaP，政府提供API與基礎模組供第三方加值應用）與「政府委外」（將既有業務外包私部門執行）常被考生混淆——GaaP之重點在於政府仍掌握核心資料與規則制定權，僅開放介面供創新應用，並非將治理責任轉移予民間，性質與傳統委外不同。</w:t>
            </w:r>
          </w:p>
        </w:tc>
      </w:tr>
    </w:tbl>
    <w:p>
      <w:pPr>
        <w:spacing w:after="260"/>
      </w:pPr>
    </w:p>
    <w:p>
      <w:pPr>
        <w:spacing w:after="200" w:before="400"/>
      </w:pPr>
      <w:r>
        <w:rPr>
          <w:rFonts w:ascii="微軟正黑體" w:cs="微軟正黑體" w:eastAsia="微軟正黑體" w:hAnsi="微軟正黑體"/>
          <w:b/>
          <w:bCs/>
          <w:sz w:val="32"/>
          <w:szCs w:val="32"/>
        </w:rPr>
        <w:t xml:space="preserve">【申論解題】</w:t>
      </w:r>
    </w:p>
    <w:p>
      <w:pPr>
        <w:spacing w:after="200" w:line="360"/>
        <w:ind w:firstLine="431"/>
        <w:jc w:val="both"/>
      </w:pPr>
      <w:r>
        <w:rPr>
          <w:rFonts w:ascii="微軟正黑體" w:cs="微軟正黑體" w:eastAsia="微軟正黑體" w:hAnsi="微軟正黑體"/>
          <w:sz w:val="22"/>
          <w:szCs w:val="22"/>
        </w:rPr>
        <w:t xml:space="preserve">以下依A級基本題、B級比較題、C級綜合題三種難度示範解題流程。依全書格式定版說明，僅題目一（A級）提供基本得分版、標準版、高分版三種完整答案；題目二（B級）與題目三（C級）改為提供【參考答案·標準版】單一版本，並於【得分關鍵】【常見失分】之後新增【高分加分點】，條列可拉高分數之進階論述方向，供考生自行練習展開答案。</w:t>
      </w:r>
    </w:p>
    <w:p>
      <w:pPr>
        <w:spacing w:after="180" w:before="360"/>
      </w:pPr>
      <w:r>
        <w:rPr>
          <w:rFonts w:ascii="微軟正黑體" w:cs="微軟正黑體" w:eastAsia="微軟正黑體" w:hAnsi="微軟正黑體"/>
          <w:b/>
          <w:bCs/>
          <w:color w:val="1F4E79"/>
          <w:sz w:val="26"/>
          <w:szCs w:val="26"/>
        </w:rPr>
        <w:t xml:space="preserve">題目一（A級基本題）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考題出處</w:t>
            </w:r>
          </w:p>
          <w:p>
            <w:pPr>
              <w:spacing w:line="340"/>
              <w:jc w:val="both"/>
            </w:pPr>
            <w:r>
              <w:rPr>
                <w:rFonts w:ascii="微軟正黑體" w:cs="微軟正黑體" w:eastAsia="微軟正黑體" w:hAnsi="微軟正黑體"/>
                <w:sz w:val="21"/>
                <w:szCs w:val="21"/>
              </w:rPr>
              <w:t xml:space="preserve">111年公務人員高等考試三級考試（一般行政），行政學，申論題（25分）——完全符合一般行政類科、高考三級目標等別。</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「當代公私部門的界限逐漸模糊，公私協力成為相當普遍的治理模式，請探討公私協力對於公部門的影響，以及對於私部門（包括企業、公民團體與社區）的影響。（25分）」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概念闡釋＋雙向影響分析題」，考生須分別從公部門與私部門（含企業、公民團體與社區）兩個角度，探討公私協力之影響——僅單方面論述公部門或私部門任一方，屬於論述不完整，須注意題目要求「雙向」分析。</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公私協力 ＋ 公私部門界線模糊 ＋ 對公部門之影響 ＋ 對私部門（企業／公民團體／社區）之影響。</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一、前言：公私協力興起之背景與治理典範脈絡</w:t>
      </w:r>
    </w:p>
    <w:p>
      <w:pPr>
        <w:pStyle w:val="ListParagraph"/>
        <w:numPr>
          <w:ilvl w:val="0"/>
          <w:numId w:val="2"/>
        </w:numPr>
        <w:spacing w:after="120" w:line="340"/>
      </w:pPr>
      <w:r>
        <w:rPr>
          <w:rFonts w:ascii="微軟正黑體" w:cs="微軟正黑體" w:eastAsia="微軟正黑體" w:hAnsi="微軟正黑體"/>
          <w:sz w:val="22"/>
          <w:szCs w:val="22"/>
        </w:rPr>
        <w:t xml:space="preserve">二、公私協力對公部門之影響</w:t>
      </w:r>
    </w:p>
    <w:p>
      <w:pPr>
        <w:pStyle w:val="ListParagraph"/>
        <w:numPr>
          <w:ilvl w:val="0"/>
          <w:numId w:val="2"/>
        </w:numPr>
        <w:spacing w:after="120" w:line="340"/>
      </w:pPr>
      <w:r>
        <w:rPr>
          <w:rFonts w:ascii="微軟正黑體" w:cs="微軟正黑體" w:eastAsia="微軟正黑體" w:hAnsi="微軟正黑體"/>
          <w:sz w:val="22"/>
          <w:szCs w:val="22"/>
        </w:rPr>
        <w:t xml:space="preserve">三、公私協力對私部門（企業、公民團體、社區）之影響</w:t>
      </w:r>
    </w:p>
    <w:p>
      <w:pPr>
        <w:pStyle w:val="ListParagraph"/>
        <w:numPr>
          <w:ilvl w:val="0"/>
          <w:numId w:val="2"/>
        </w:numPr>
        <w:spacing w:after="120" w:line="340"/>
      </w:pPr>
      <w:r>
        <w:rPr>
          <w:rFonts w:ascii="微軟正黑體" w:cs="微軟正黑體" w:eastAsia="微軟正黑體" w:hAnsi="微軟正黑體"/>
          <w:sz w:val="22"/>
          <w:szCs w:val="22"/>
        </w:rPr>
        <w:t xml:space="preserve">四、結論：公私協力下之新課責挑戰</w:t>
      </w:r>
    </w:p>
    <w:p>
      <w:pPr>
        <w:spacing w:after="100" w:before="160"/>
      </w:pPr>
      <w:r>
        <w:rPr>
          <w:rFonts w:ascii="微軟正黑體" w:cs="微軟正黑體" w:eastAsia="微軟正黑體" w:hAnsi="微軟正黑體"/>
          <w:b/>
          <w:bCs/>
          <w:color w:val="444444"/>
          <w:sz w:val="21"/>
          <w:szCs w:val="21"/>
        </w:rPr>
        <w:t xml:space="preserve">【參考答案·基本得分版】（約500-700字，考場時間不夠時至少拿到基本分）</w:t>
      </w:r>
    </w:p>
    <w:p>
      <w:pPr>
        <w:spacing w:after="200" w:line="360"/>
        <w:ind w:firstLine="431"/>
        <w:jc w:val="both"/>
      </w:pPr>
      <w:r>
        <w:rPr>
          <w:rFonts w:ascii="微軟正黑體" w:cs="微軟正黑體" w:eastAsia="微軟正黑體" w:hAnsi="微軟正黑體"/>
          <w:sz w:val="22"/>
          <w:szCs w:val="22"/>
        </w:rPr>
        <w:t xml:space="preserve">公私協力（Public-Private Partnership）指政府與企業、公民團體或社區等私部門行為者，共同參與公共服務規劃、提供或治理之合作模式，其興起反映治理典範由官僚制、NPM市場化，逐步轉向強調網絡協力之新公共治理（NPG）。</w:t>
      </w:r>
    </w:p>
    <w:p>
      <w:pPr>
        <w:spacing w:after="200" w:line="360"/>
        <w:ind w:firstLine="431"/>
        <w:jc w:val="both"/>
      </w:pPr>
      <w:r>
        <w:rPr>
          <w:rFonts w:ascii="微軟正黑體" w:cs="微軟正黑體" w:eastAsia="微軟正黑體" w:hAnsi="微軟正黑體"/>
          <w:sz w:val="22"/>
          <w:szCs w:val="22"/>
        </w:rPr>
        <w:t xml:space="preserve">對公部門而言，公私協力可引入民間資源、專業與創新能量，減輕財政負擔並提升服務彈性；惟同時也使政府傳統上獨占之執行角色趨於「空洞化」，須強化契約管理、監督與課責能力，否則恐衍生責任歸屬模糊之風險。</w:t>
      </w:r>
    </w:p>
    <w:p>
      <w:pPr>
        <w:spacing w:after="200" w:line="360"/>
        <w:ind w:firstLine="431"/>
        <w:jc w:val="both"/>
      </w:pPr>
      <w:r>
        <w:rPr>
          <w:rFonts w:ascii="微軟正黑體" w:cs="微軟正黑體" w:eastAsia="微軟正黑體" w:hAnsi="微軟正黑體"/>
          <w:sz w:val="22"/>
          <w:szCs w:val="22"/>
        </w:rPr>
        <w:t xml:space="preserve">對私部門而言，企業可藉由公私協力取得穩定之公共服務市場與長期收益，惟須承擔契約規範與公共性要求；公民團體與社區則從被動之服務對象，轉變為積極參與服務設計與提供之「共同生產者」，有助提升服務貼近在地需求，惟亦考驗其專業與治理能力。</w:t>
      </w:r>
    </w:p>
    <w:p>
      <w:pPr>
        <w:spacing w:after="100" w:before="160"/>
      </w:pPr>
      <w:r>
        <w:rPr>
          <w:rFonts w:ascii="微軟正黑體" w:cs="微軟正黑體" w:eastAsia="微軟正黑體" w:hAnsi="微軟正黑體"/>
          <w:b/>
          <w:bCs/>
          <w:color w:val="444444"/>
          <w:sz w:val="21"/>
          <w:szCs w:val="21"/>
        </w:rPr>
        <w:t xml:space="preserve">【參考答案·標準版】（約1,100-1,400字，主要示範答案）</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隨著新公共管理（NPM）與新公共治理（NPG）典範相繼興起，政府不再是公共服務唯一之提供者，公私協力（Public-Private Partnership）成為當代治理之主流模式之一，其本質是政府與企業、公民團體及社區等私部門行為者，透過契約、夥伴關係或協同生產機制，共同承擔公共服務之規劃、提供與監督責任，使原本涇渭分明之公私部門界線逐漸模糊。</w:t>
      </w:r>
    </w:p>
    <w:p>
      <w:pPr>
        <w:spacing w:after="200" w:line="360"/>
        <w:ind w:firstLine="431"/>
        <w:jc w:val="both"/>
      </w:pPr>
      <w:r>
        <w:rPr>
          <w:rFonts w:ascii="微軟正黑體" w:cs="微軟正黑體" w:eastAsia="微軟正黑體" w:hAnsi="微軟正黑體"/>
          <w:sz w:val="22"/>
          <w:szCs w:val="22"/>
        </w:rPr>
        <w:t xml:space="preserve">二、公私協力對公部門之影響</w:t>
      </w:r>
    </w:p>
    <w:p>
      <w:pPr>
        <w:spacing w:after="200" w:line="360"/>
        <w:ind w:firstLine="431"/>
        <w:jc w:val="both"/>
      </w:pPr>
      <w:r>
        <w:rPr>
          <w:rFonts w:ascii="微軟正黑體" w:cs="微軟正黑體" w:eastAsia="微軟正黑體" w:hAnsi="微軟正黑體"/>
          <w:sz w:val="22"/>
          <w:szCs w:val="22"/>
        </w:rPr>
        <w:t xml:space="preserve">其一，正面影響：公私協力可引入民間資金、專業技術與創新能量，減輕政府財政與人力負擔，並透過市場競爭機制提升服務效率與回應性，同時借重公民團體與社區之在地知識，強化政策之社會接受度與正當性。其二，負面挑戰：政府大量將職能委外或與私部門協力後，容易產生Dunleavy所指之「空洞國家」風險——政府逐漸喪失直接執行能力，僅剩契約管理與監督角色；一旦協力夥伴失能或違約，政府恐難以迅速填補服務缺口。此外，公私協力下之責任歸屬易趨模糊，當服務品質出現爭議時，究竟應由政府或私部門負責，往往成為課責困境，須透過完善之契約設計、績效指標與監督機制加以因應。</w:t>
      </w:r>
    </w:p>
    <w:p>
      <w:pPr>
        <w:spacing w:after="200" w:line="360"/>
        <w:ind w:firstLine="431"/>
        <w:jc w:val="both"/>
      </w:pPr>
      <w:r>
        <w:rPr>
          <w:rFonts w:ascii="微軟正黑體" w:cs="微軟正黑體" w:eastAsia="微軟正黑體" w:hAnsi="微軟正黑體"/>
          <w:sz w:val="22"/>
          <w:szCs w:val="22"/>
        </w:rPr>
        <w:t xml:space="preserve">三、公私協力對私部門之影響</w:t>
      </w:r>
    </w:p>
    <w:p>
      <w:pPr>
        <w:spacing w:after="200" w:line="360"/>
        <w:ind w:firstLine="431"/>
        <w:jc w:val="both"/>
      </w:pPr>
      <w:r>
        <w:rPr>
          <w:rFonts w:ascii="微軟正黑體" w:cs="微軟正黑體" w:eastAsia="微軟正黑體" w:hAnsi="微軟正黑體"/>
          <w:sz w:val="22"/>
          <w:szCs w:val="22"/>
        </w:rPr>
        <w:t xml:space="preserve">就企業而言，公私協力提供穩定之公共服務市場與長期收益來源（如促參BOT案），惟企業亦須承擔契約規範、公共性要求與社會責任，經營自主性受到一定程度之限制，且須面對政府監督與績效考核之壓力。就公民團體而言，公私協力使其從單純之倡議或監督角色，進一步參與服務之實際規劃與提供，在新公共治理（NPG）架構下成為「共同生產者」（co-producer），有助於提升公共服務之社會鑲嵌性，惟也考驗其組織能力、專業量能與課責透明度。就社區而言，公私協力賦予社區更多參與地方公共事務之管道與自主權，有助於在地化與需求貼合，惟亦可能因社區內部資源與能力差異，導致協力成效不均之情形。</w:t>
      </w:r>
    </w:p>
    <w:p>
      <w:pPr>
        <w:spacing w:after="200" w:line="360"/>
        <w:ind w:firstLine="431"/>
        <w:jc w:val="both"/>
      </w:pPr>
      <w:r>
        <w:rPr>
          <w:rFonts w:ascii="微軟正黑體" w:cs="微軟正黑體" w:eastAsia="微軟正黑體" w:hAnsi="微軟正黑體"/>
          <w:sz w:val="22"/>
          <w:szCs w:val="22"/>
        </w:rPr>
        <w:t xml:space="preserve">四、結論</w:t>
      </w:r>
    </w:p>
    <w:p>
      <w:pPr>
        <w:spacing w:after="200" w:line="360"/>
        <w:ind w:firstLine="431"/>
        <w:jc w:val="both"/>
      </w:pPr>
      <w:r>
        <w:rPr>
          <w:rFonts w:ascii="微軟正黑體" w:cs="微軟正黑體" w:eastAsia="微軟正黑體" w:hAnsi="微軟正黑體"/>
          <w:sz w:val="22"/>
          <w:szCs w:val="22"/>
        </w:rPr>
        <w:t xml:space="preserve">公私協力打破了傳統「政府生產、人民消費」之單向治理模式，轉而建構政府、企業、公民團體與社區多方協力之治理網絡；然而，公私部門界線模糊化，也意味著責任歸屬與課責機制須重新設計——唯有透過完善之契約規範、績效評估與多方參與之監督機制，公私協力方能在提升效率與創新之同時，維持公共服務應有之課責性與公共性。</w:t>
      </w:r>
    </w:p>
    <w:p>
      <w:pPr>
        <w:spacing w:after="100" w:before="160"/>
      </w:pPr>
      <w:r>
        <w:rPr>
          <w:rFonts w:ascii="微軟正黑體" w:cs="微軟正黑體" w:eastAsia="微軟正黑體" w:hAnsi="微軟正黑體"/>
          <w:b/>
          <w:bCs/>
          <w:color w:val="444444"/>
          <w:sz w:val="21"/>
          <w:szCs w:val="21"/>
        </w:rPr>
        <w:t xml:space="preserve">【參考答案·高分版補充】（在標準版基礎上，加入學者、比較、批判、當代案例、AI治理、臺灣實務）</w:t>
      </w:r>
    </w:p>
    <w:p>
      <w:pPr>
        <w:pStyle w:val="ListParagraph"/>
        <w:numPr>
          <w:ilvl w:val="0"/>
          <w:numId w:val="2"/>
        </w:numPr>
        <w:spacing w:after="120" w:line="340"/>
      </w:pPr>
      <w:r>
        <w:rPr>
          <w:rFonts w:ascii="微軟正黑體" w:cs="微軟正黑體" w:eastAsia="微軟正黑體" w:hAnsi="微軟正黑體"/>
          <w:sz w:val="22"/>
          <w:szCs w:val="22"/>
        </w:rPr>
        <w:t xml:space="preserve">補充理論深化：可引入Moore戰略三角（公共價值、正當性與支持、營運能力）分析公私協力方案是否兼顧三者平衡，避免僅從效率角度評價協力成效。</w:t>
      </w:r>
    </w:p>
    <w:p>
      <w:pPr>
        <w:pStyle w:val="ListParagraph"/>
        <w:numPr>
          <w:ilvl w:val="0"/>
          <w:numId w:val="2"/>
        </w:numPr>
        <w:spacing w:after="120" w:line="340"/>
      </w:pPr>
      <w:r>
        <w:rPr>
          <w:rFonts w:ascii="微軟正黑體" w:cs="微軟正黑體" w:eastAsia="微軟正黑體" w:hAnsi="微軟正黑體"/>
          <w:sz w:val="22"/>
          <w:szCs w:val="22"/>
        </w:rPr>
        <w:t xml:space="preserve">補充當代批判：可指出公私協力若缺乏完善之七項治理審計機制（目標正當性、資料品質、透明度、人為監督、申訴救濟、影響評估、持續監控），恐使「空洞國家」風險進一步惡化為「治理真空」。</w:t>
      </w:r>
    </w:p>
    <w:p>
      <w:pPr>
        <w:pStyle w:val="ListParagraph"/>
        <w:numPr>
          <w:ilvl w:val="0"/>
          <w:numId w:val="2"/>
        </w:numPr>
        <w:spacing w:after="120" w:line="340"/>
      </w:pPr>
      <w:r>
        <w:rPr>
          <w:rFonts w:ascii="微軟正黑體" w:cs="微軟正黑體" w:eastAsia="微軟正黑體" w:hAnsi="微軟正黑體"/>
          <w:sz w:val="22"/>
          <w:szCs w:val="22"/>
        </w:rPr>
        <w:t xml:space="preserve">補充平台化視角：可延伸至平台經濟下之新型態公私協力（如政府與外送、網約車平台之合作或監理關係），說明公私協力之型態已從傳統BOT等實體建設，擴及數位平台與資料治理領域，公私部門界線模糊化之程度更甚以往。</w:t>
      </w:r>
    </w:p>
    <w:p>
      <w:pPr>
        <w:pStyle w:val="ListParagraph"/>
        <w:numPr>
          <w:ilvl w:val="0"/>
          <w:numId w:val="2"/>
        </w:numPr>
        <w:spacing w:after="120" w:line="340"/>
      </w:pPr>
      <w:r>
        <w:rPr>
          <w:rFonts w:ascii="微軟正黑體" w:cs="微軟正黑體" w:eastAsia="微軟正黑體" w:hAnsi="微軟正黑體"/>
          <w:sz w:val="22"/>
          <w:szCs w:val="22"/>
        </w:rPr>
        <w:t xml:space="preserve">補充臺灣行政實務：可具體舉例社區照顧關懷據點結合在地NGO、國家表演藝術中心等行政法人化案例，說明我國公私協力在福利服務與文化治理領域之具體實踐模式。</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須明確依題目要求，分別完整論述「對公部門」與「對私部門（含企業、公民團體、社區）」兩個面向之影響，不可偏廢一方。</w:t>
      </w:r>
    </w:p>
    <w:p>
      <w:pPr>
        <w:pStyle w:val="ListParagraph"/>
        <w:numPr>
          <w:ilvl w:val="0"/>
          <w:numId w:val="2"/>
        </w:numPr>
        <w:spacing w:after="120" w:line="340"/>
      </w:pPr>
      <w:r>
        <w:rPr>
          <w:rFonts w:ascii="微軟正黑體" w:cs="微軟正黑體" w:eastAsia="微軟正黑體" w:hAnsi="微軟正黑體"/>
          <w:sz w:val="22"/>
          <w:szCs w:val="22"/>
        </w:rPr>
        <w:t xml:space="preserve">私部門影響須具體區分企業、公民團體、社區三類行為者之不同影響型態，不可籠統合併論述。</w:t>
      </w:r>
    </w:p>
    <w:p>
      <w:pPr>
        <w:pStyle w:val="ListParagraph"/>
        <w:numPr>
          <w:ilvl w:val="0"/>
          <w:numId w:val="2"/>
        </w:numPr>
        <w:spacing w:after="120" w:line="340"/>
      </w:pPr>
      <w:r>
        <w:rPr>
          <w:rFonts w:ascii="微軟正黑體" w:cs="微軟正黑體" w:eastAsia="微軟正黑體" w:hAnsi="微軟正黑體"/>
          <w:sz w:val="22"/>
          <w:szCs w:val="22"/>
        </w:rPr>
        <w:t xml:space="preserve">若能扣連空洞國家、共同生產者等治理典範理論，展現本章理論深度，是本題拉開分數差距之關鍵。</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僅論述公私協力之一般性優點，未區分「對公部門」與「對私部門」兩個題目明確要求之分析面向。</w:t>
      </w:r>
    </w:p>
    <w:p>
      <w:pPr>
        <w:pStyle w:val="ListParagraph"/>
        <w:numPr>
          <w:ilvl w:val="0"/>
          <w:numId w:val="2"/>
        </w:numPr>
        <w:spacing w:after="120" w:line="340"/>
      </w:pPr>
      <w:r>
        <w:rPr>
          <w:rFonts w:ascii="微軟正黑體" w:cs="微軟正黑體" w:eastAsia="微軟正黑體" w:hAnsi="微軟正黑體"/>
          <w:sz w:val="22"/>
          <w:szCs w:val="22"/>
        </w:rPr>
        <w:t xml:space="preserve">❌ 「私部門」僅論及企業，遺漏公民團體與社區兩類行為者，導致分析不完整。</w:t>
      </w:r>
    </w:p>
    <w:p>
      <w:pPr>
        <w:pStyle w:val="ListParagraph"/>
        <w:numPr>
          <w:ilvl w:val="0"/>
          <w:numId w:val="2"/>
        </w:numPr>
        <w:spacing w:after="120" w:line="340"/>
      </w:pPr>
      <w:r>
        <w:rPr>
          <w:rFonts w:ascii="微軟正黑體" w:cs="微軟正黑體" w:eastAsia="微軟正黑體" w:hAnsi="微軟正黑體"/>
          <w:sz w:val="22"/>
          <w:szCs w:val="22"/>
        </w:rPr>
        <w:t xml:space="preserve">❌ 通篇未扣連任何治理理論架構，流於個人意見發表而非學理論述。</w:t>
      </w:r>
    </w:p>
    <w:p>
      <w:pPr>
        <w:spacing w:after="220"/>
      </w:pPr>
    </w:p>
    <w:p>
      <w:pPr>
        <w:spacing w:after="180" w:before="360"/>
      </w:pPr>
      <w:r>
        <w:rPr>
          <w:rFonts w:ascii="微軟正黑體" w:cs="微軟正黑體" w:eastAsia="微軟正黑體" w:hAnsi="微軟正黑體"/>
          <w:b/>
          <w:bCs/>
          <w:color w:val="1F4E79"/>
          <w:sz w:val="26"/>
          <w:szCs w:val="26"/>
        </w:rPr>
        <w:t xml:space="preserve">題目二（B級比較題）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考題出處</w:t>
            </w:r>
          </w:p>
          <w:p>
            <w:pPr>
              <w:spacing w:line="340"/>
              <w:jc w:val="both"/>
            </w:pPr>
            <w:r>
              <w:rPr>
                <w:rFonts w:ascii="微軟正黑體" w:cs="微軟正黑體" w:eastAsia="微軟正黑體" w:hAnsi="微軟正黑體"/>
                <w:sz w:val="21"/>
                <w:szCs w:val="21"/>
              </w:rPr>
              <w:t xml:space="preserve">108年公務人員特種考試原住民族考試三等考試（一般行政），行政學，申論題（25分）——本題內容同時涉及服務品質與績效管理主題，於第二十三章「財務管理與績效管理」歷屆試題表中亦列出參照，惟完整解題置於本章（第八章），對應本章NPM顧客導向與4E目標之理論脈絡。</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「請就『提升服務品質』議題，分析政府與企業在考量本議題時，會有那些相同點與相異點。又，請以我國行政機關為例，分析在提升服務品質過程中，需要採行的配套作為及其內容。（25分）」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異同比較＋政策應用題」，考生須先比較政府與企業考量服務品質議題之異同，再以我國行政機關為例，分析提升服務品質之配套作為——僅比較異同而未提出具體配套作為，或僅列舉配套作為而無理論異同比較，均屬論述不完整。</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服務品質 ＋ 政府與企業之異同 ＋ 4E目標 ＋ 顧客導向 ＋ 我國行政機關配套作為。</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一、前言：服務品質作為NPM顧客導向之核心關懷</w:t>
      </w:r>
    </w:p>
    <w:p>
      <w:pPr>
        <w:pStyle w:val="ListParagraph"/>
        <w:numPr>
          <w:ilvl w:val="0"/>
          <w:numId w:val="2"/>
        </w:numPr>
        <w:spacing w:after="120" w:line="340"/>
      </w:pPr>
      <w:r>
        <w:rPr>
          <w:rFonts w:ascii="微軟正黑體" w:cs="微軟正黑體" w:eastAsia="微軟正黑體" w:hAnsi="微軟正黑體"/>
          <w:sz w:val="22"/>
          <w:szCs w:val="22"/>
        </w:rPr>
        <w:t xml:space="preserve">二、政府與企業考量服務品質之相同點</w:t>
      </w:r>
    </w:p>
    <w:p>
      <w:pPr>
        <w:pStyle w:val="ListParagraph"/>
        <w:numPr>
          <w:ilvl w:val="0"/>
          <w:numId w:val="2"/>
        </w:numPr>
        <w:spacing w:after="120" w:line="340"/>
      </w:pPr>
      <w:r>
        <w:rPr>
          <w:rFonts w:ascii="微軟正黑體" w:cs="微軟正黑體" w:eastAsia="微軟正黑體" w:hAnsi="微軟正黑體"/>
          <w:sz w:val="22"/>
          <w:szCs w:val="22"/>
        </w:rPr>
        <w:t xml:space="preserve">三、政府與企業考量服務品質之相異點</w:t>
      </w:r>
    </w:p>
    <w:p>
      <w:pPr>
        <w:pStyle w:val="ListParagraph"/>
        <w:numPr>
          <w:ilvl w:val="0"/>
          <w:numId w:val="2"/>
        </w:numPr>
        <w:spacing w:after="120" w:line="340"/>
      </w:pPr>
      <w:r>
        <w:rPr>
          <w:rFonts w:ascii="微軟正黑體" w:cs="微軟正黑體" w:eastAsia="微軟正黑體" w:hAnsi="微軟正黑體"/>
          <w:sz w:val="22"/>
          <w:szCs w:val="22"/>
        </w:rPr>
        <w:t xml:space="preserve">四、我國行政機關提升服務品質之配套作為</w:t>
      </w:r>
    </w:p>
    <w:p>
      <w:pPr>
        <w:pStyle w:val="ListParagraph"/>
        <w:numPr>
          <w:ilvl w:val="0"/>
          <w:numId w:val="2"/>
        </w:numPr>
        <w:spacing w:after="120" w:line="340"/>
      </w:pPr>
      <w:r>
        <w:rPr>
          <w:rFonts w:ascii="微軟正黑體" w:cs="微軟正黑體" w:eastAsia="微軟正黑體" w:hAnsi="微軟正黑體"/>
          <w:sz w:val="22"/>
          <w:szCs w:val="22"/>
        </w:rPr>
        <w:t xml:space="preserve">五、結論</w:t>
      </w:r>
    </w:p>
    <w:p>
      <w:pPr>
        <w:spacing w:after="100" w:before="160"/>
      </w:pPr>
      <w:r>
        <w:rPr>
          <w:rFonts w:ascii="微軟正黑體" w:cs="微軟正黑體" w:eastAsia="微軟正黑體" w:hAnsi="微軟正黑體"/>
          <w:b/>
          <w:bCs/>
          <w:color w:val="444444"/>
          <w:sz w:val="21"/>
          <w:szCs w:val="21"/>
        </w:rPr>
        <w:t xml:space="preserve">【參考答案·標準版】（約1,100字）</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服務品質之提升，是新公共管理（NPM）顧客導向理念之核心關懷，主張政府應如企業般重視服務對象之滿意度；惟政府與企業畢竟性質不同，其考量服務品質之邏輯既有相通之處，亦存在本質差異。</w:t>
      </w:r>
    </w:p>
    <w:p>
      <w:pPr>
        <w:spacing w:after="200" w:line="360"/>
        <w:ind w:firstLine="431"/>
        <w:jc w:val="both"/>
      </w:pPr>
      <w:r>
        <w:rPr>
          <w:rFonts w:ascii="微軟正黑體" w:cs="微軟正黑體" w:eastAsia="微軟正黑體" w:hAnsi="微軟正黑體"/>
          <w:sz w:val="22"/>
          <w:szCs w:val="22"/>
        </w:rPr>
        <w:t xml:space="preserve">二、相同點</w:t>
      </w:r>
    </w:p>
    <w:p>
      <w:pPr>
        <w:spacing w:after="200" w:line="360"/>
        <w:ind w:firstLine="431"/>
        <w:jc w:val="both"/>
      </w:pPr>
      <w:r>
        <w:rPr>
          <w:rFonts w:ascii="微軟正黑體" w:cs="微軟正黑體" w:eastAsia="微軟正黑體" w:hAnsi="微軟正黑體"/>
          <w:sz w:val="22"/>
          <w:szCs w:val="22"/>
        </w:rPr>
        <w:t xml:space="preserve">其一，兩者均重視服務對象之滿意度與體驗，皆致力於縮短服務流程、提升服務效率與友善性；其二，兩者均須投入資源進行員工訓練與服務流程標準化，以確保服務品質之一致性；其三，兩者均可運用顧客意見回饋機制（如滿意度調查、申訴系統），作為持續改善服務之依據。</w:t>
      </w:r>
    </w:p>
    <w:p>
      <w:pPr>
        <w:spacing w:after="200" w:line="360"/>
        <w:ind w:firstLine="431"/>
        <w:jc w:val="both"/>
      </w:pPr>
      <w:r>
        <w:rPr>
          <w:rFonts w:ascii="微軟正黑體" w:cs="微軟正黑體" w:eastAsia="微軟正黑體" w:hAnsi="微軟正黑體"/>
          <w:sz w:val="22"/>
          <w:szCs w:val="22"/>
        </w:rPr>
        <w:t xml:space="preserve">三、相異點</w:t>
      </w:r>
    </w:p>
    <w:p>
      <w:pPr>
        <w:spacing w:after="200" w:line="360"/>
        <w:ind w:firstLine="431"/>
        <w:jc w:val="both"/>
      </w:pPr>
      <w:r>
        <w:rPr>
          <w:rFonts w:ascii="微軟正黑體" w:cs="微軟正黑體" w:eastAsia="微軟正黑體" w:hAnsi="微軟正黑體"/>
          <w:sz w:val="22"/>
          <w:szCs w:val="22"/>
        </w:rPr>
        <w:t xml:space="preserve">其一，服務對象性質不同：企業服務對象為具選擇權之消費者，可「用腳投票」轉向其他業者；政府服務對象多為具強制性之公民（如戶政、稅務業務），民眾通常無法自由選擇服務提供者，此一差異使政府服務品質之監督更須仰賴內部課責機制而非市場競爭壓力。其二，目標取向不同：企業以利潤極大化為最終目標，服務品質是達成獲利之手段；政府則須同時兼顧4E目標中之公平性，不能僅為降低成本而犧牲弱勢群體之服務近用權。其三，課責機制不同：企業之課責主要來自市場競爭與股東監督；政府之課責則涉及政治課責（民意機關監督）、行政課責（內部層級監督）與法律課責（訴願、國家賠償等），課責管道更為多元複雜。</w:t>
      </w:r>
    </w:p>
    <w:p>
      <w:pPr>
        <w:spacing w:after="200" w:line="360"/>
        <w:ind w:firstLine="431"/>
        <w:jc w:val="both"/>
      </w:pPr>
      <w:r>
        <w:rPr>
          <w:rFonts w:ascii="微軟正黑體" w:cs="微軟正黑體" w:eastAsia="微軟正黑體" w:hAnsi="微軟正黑體"/>
          <w:sz w:val="22"/>
          <w:szCs w:val="22"/>
        </w:rPr>
        <w:t xml:space="preserve">四、我國行政機關提升服務品質之配套作為</w:t>
      </w:r>
    </w:p>
    <w:p>
      <w:pPr>
        <w:pStyle w:val="ListParagraph"/>
        <w:numPr>
          <w:ilvl w:val="0"/>
          <w:numId w:val="2"/>
        </w:numPr>
        <w:spacing w:after="120" w:line="340"/>
      </w:pPr>
      <w:r>
        <w:rPr>
          <w:rFonts w:ascii="微軟正黑體" w:cs="微軟正黑體" w:eastAsia="微軟正黑體" w:hAnsi="微軟正黑體"/>
          <w:sz w:val="22"/>
          <w:szCs w:val="22"/>
        </w:rPr>
        <w:t xml:space="preserve">（一）建立標準化服務流程與單一窗口，簡化行政程序，降低民眾洽公之時間成本。</w:t>
      </w:r>
    </w:p>
    <w:p>
      <w:pPr>
        <w:pStyle w:val="ListParagraph"/>
        <w:numPr>
          <w:ilvl w:val="0"/>
          <w:numId w:val="2"/>
        </w:numPr>
        <w:spacing w:after="120" w:line="340"/>
      </w:pPr>
      <w:r>
        <w:rPr>
          <w:rFonts w:ascii="微軟正黑體" w:cs="微軟正黑體" w:eastAsia="微軟正黑體" w:hAnsi="微軟正黑體"/>
          <w:sz w:val="22"/>
          <w:szCs w:val="22"/>
        </w:rPr>
        <w:t xml:space="preserve">（二）強化第一線公務人員之服務訓練與職能培力，並建立合理之績效誘因與獎勵制度。</w:t>
      </w:r>
    </w:p>
    <w:p>
      <w:pPr>
        <w:pStyle w:val="ListParagraph"/>
        <w:numPr>
          <w:ilvl w:val="0"/>
          <w:numId w:val="2"/>
        </w:numPr>
        <w:spacing w:after="120" w:line="340"/>
      </w:pPr>
      <w:r>
        <w:rPr>
          <w:rFonts w:ascii="微軟正黑體" w:cs="微軟正黑體" w:eastAsia="微軟正黑體" w:hAnsi="微軟正黑體"/>
          <w:sz w:val="22"/>
          <w:szCs w:val="22"/>
        </w:rPr>
        <w:t xml:space="preserve">（三）運用數位化工具（如線上申辦、行動服務APP），提升服務近用性與便利性，同時兼顧數位落差族群之近用權益。</w:t>
      </w:r>
    </w:p>
    <w:p>
      <w:pPr>
        <w:pStyle w:val="ListParagraph"/>
        <w:numPr>
          <w:ilvl w:val="0"/>
          <w:numId w:val="2"/>
        </w:numPr>
        <w:spacing w:after="120" w:line="340"/>
      </w:pPr>
      <w:r>
        <w:rPr>
          <w:rFonts w:ascii="微軟正黑體" w:cs="微軟正黑體" w:eastAsia="微軟正黑體" w:hAnsi="微軟正黑體"/>
          <w:sz w:val="22"/>
          <w:szCs w:val="22"/>
        </w:rPr>
        <w:t xml:space="preserve">（四）建立顧客意見回饋與申訴機制，並定期辦理服務滿意度調查，作為持續改善之依據。</w:t>
      </w:r>
    </w:p>
    <w:p>
      <w:pPr>
        <w:pStyle w:val="ListParagraph"/>
        <w:numPr>
          <w:ilvl w:val="0"/>
          <w:numId w:val="2"/>
        </w:numPr>
        <w:spacing w:after="120" w:line="340"/>
      </w:pPr>
      <w:r>
        <w:rPr>
          <w:rFonts w:ascii="微軟正黑體" w:cs="微軟正黑體" w:eastAsia="微軟正黑體" w:hAnsi="微軟正黑體"/>
          <w:sz w:val="22"/>
          <w:szCs w:val="22"/>
        </w:rPr>
        <w:t xml:space="preserve">（五）兼顧公平性原則，確保偏鄉、身心障礙者等弱勢族群之服務近用權，不因追求效率而犧牲公平。</w:t>
      </w:r>
    </w:p>
    <w:p>
      <w:pPr>
        <w:spacing w:after="200" w:line="360"/>
        <w:ind w:firstLine="431"/>
        <w:jc w:val="both"/>
      </w:pPr>
      <w:r>
        <w:rPr>
          <w:rFonts w:ascii="微軟正黑體" w:cs="微軟正黑體" w:eastAsia="微軟正黑體" w:hAnsi="微軟正黑體"/>
          <w:sz w:val="22"/>
          <w:szCs w:val="22"/>
        </w:rPr>
        <w:t xml:space="preserve">五、結論</w:t>
      </w:r>
    </w:p>
    <w:p>
      <w:pPr>
        <w:spacing w:after="200" w:line="360"/>
        <w:ind w:firstLine="431"/>
        <w:jc w:val="both"/>
      </w:pPr>
      <w:r>
        <w:rPr>
          <w:rFonts w:ascii="微軟正黑體" w:cs="微軟正黑體" w:eastAsia="微軟正黑體" w:hAnsi="微軟正黑體"/>
          <w:sz w:val="22"/>
          <w:szCs w:val="22"/>
        </w:rPr>
        <w:t xml:space="preserve">政府提升服務品質，固然可借鏡企業之顧客導向理念與管理工具，惟不能照單全收，須同時兼顧政府服務對象之強制性、多元課責機制與公平性要求，方能在效率與公共性之間取得平衡。</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相同點與相異點須分別至少提出二至三項，並清楚說明差異之根本原因（服務對象性質、目標取向、課責機制），不可僅列舉表面現象。</w:t>
      </w:r>
    </w:p>
    <w:p>
      <w:pPr>
        <w:pStyle w:val="ListParagraph"/>
        <w:numPr>
          <w:ilvl w:val="0"/>
          <w:numId w:val="2"/>
        </w:numPr>
        <w:spacing w:after="120" w:line="340"/>
      </w:pPr>
      <w:r>
        <w:rPr>
          <w:rFonts w:ascii="微軟正黑體" w:cs="微軟正黑體" w:eastAsia="微軟正黑體" w:hAnsi="微軟正黑體"/>
          <w:sz w:val="22"/>
          <w:szCs w:val="22"/>
        </w:rPr>
        <w:t xml:space="preserve">配套作為須具體可操作，並能扣回「相異點」中提出之政府特殊考量（如公平性、多元課責），形成前後呼應之論述結構。</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僅籠統論述「政府應該學習企業提升服務品質」，未具體比較兩者考量之異同。</w:t>
      </w:r>
    </w:p>
    <w:p>
      <w:pPr>
        <w:pStyle w:val="ListParagraph"/>
        <w:numPr>
          <w:ilvl w:val="0"/>
          <w:numId w:val="2"/>
        </w:numPr>
        <w:spacing w:after="120" w:line="340"/>
      </w:pPr>
      <w:r>
        <w:rPr>
          <w:rFonts w:ascii="微軟正黑體" w:cs="微軟正黑體" w:eastAsia="微軟正黑體" w:hAnsi="微軟正黑體"/>
          <w:sz w:val="22"/>
          <w:szCs w:val="22"/>
        </w:rPr>
        <w:t xml:space="preserve">❌ 配套作為與前述異同分析脫節，僅列舉一般性行政改革口號（如「應加強便民服務」）而無具體內容。</w:t>
      </w:r>
    </w:p>
    <w:p>
      <w:pPr>
        <w:spacing w:after="100" w:before="160"/>
      </w:pPr>
      <w:r>
        <w:rPr>
          <w:rFonts w:ascii="微軟正黑體" w:cs="微軟正黑體" w:eastAsia="微軟正黑體" w:hAnsi="微軟正黑體"/>
          <w:b/>
          <w:bCs/>
          <w:color w:val="444444"/>
          <w:sz w:val="21"/>
          <w:szCs w:val="21"/>
        </w:rPr>
        <w:t xml:space="preserve">【高分加分點】</w:t>
      </w:r>
    </w:p>
    <w:p>
      <w:pPr>
        <w:pStyle w:val="ListParagraph"/>
        <w:numPr>
          <w:ilvl w:val="0"/>
          <w:numId w:val="2"/>
        </w:numPr>
        <w:spacing w:after="120" w:line="340"/>
      </w:pPr>
      <w:r>
        <w:rPr>
          <w:rFonts w:ascii="微軟正黑體" w:cs="微軟正黑體" w:eastAsia="微軟正黑體" w:hAnsi="微軟正黑體"/>
          <w:sz w:val="22"/>
          <w:szCs w:val="22"/>
        </w:rPr>
        <w:t xml:space="preserve">可補充引用4E目標（經濟、效率、效能、公平）作為分析政府服務品質之理論架構，說明政府考量服務品質時，公平（equity）此一構面是企業評估服務品質時通常不會納入的關鍵差異點。</w:t>
      </w:r>
    </w:p>
    <w:p>
      <w:pPr>
        <w:pStyle w:val="ListParagraph"/>
        <w:numPr>
          <w:ilvl w:val="0"/>
          <w:numId w:val="2"/>
        </w:numPr>
        <w:spacing w:after="120" w:line="340"/>
      </w:pPr>
      <w:r>
        <w:rPr>
          <w:rFonts w:ascii="微軟正黑體" w:cs="微軟正黑體" w:eastAsia="微軟正黑體" w:hAnsi="微軟正黑體"/>
          <w:sz w:val="22"/>
          <w:szCs w:val="22"/>
        </w:rPr>
        <w:t xml:space="preserve">可補充說明政府服務對象之「非自願性」（如稅務、戶政等強制性業務）與企業顧客之「自願性選擇」之根本差異，深化第二點相異點之論述層次。</w:t>
      </w:r>
    </w:p>
    <w:p>
      <w:pPr>
        <w:pStyle w:val="ListParagraph"/>
        <w:numPr>
          <w:ilvl w:val="0"/>
          <w:numId w:val="2"/>
        </w:numPr>
        <w:spacing w:after="120" w:line="340"/>
      </w:pPr>
      <w:r>
        <w:rPr>
          <w:rFonts w:ascii="微軟正黑體" w:cs="微軟正黑體" w:eastAsia="微軟正黑體" w:hAnsi="微軟正黑體"/>
          <w:sz w:val="22"/>
          <w:szCs w:val="22"/>
        </w:rPr>
        <w:t xml:space="preserve">可補充當代數位治理視角：以政府數位服務（如線上申辦）為例，說明提升服務品質已從單純流程簡化，進一步涉及資料介接與跨機關服務整合（呼應本章第四節政府即平台GaaP概念），並須同時兼顧數位落差族群之公平近用。</w:t>
      </w:r>
    </w:p>
    <w:p>
      <w:pPr>
        <w:pStyle w:val="ListParagraph"/>
        <w:numPr>
          <w:ilvl w:val="0"/>
          <w:numId w:val="2"/>
        </w:numPr>
        <w:spacing w:after="120" w:line="340"/>
      </w:pPr>
      <w:r>
        <w:rPr>
          <w:rFonts w:ascii="微軟正黑體" w:cs="微軟正黑體" w:eastAsia="微軟正黑體" w:hAnsi="微軟正黑體"/>
          <w:sz w:val="22"/>
          <w:szCs w:val="22"/>
        </w:rPr>
        <w:t xml:space="preserve">可補充臺灣行政實務案例：具體舉出戶政事務所單一窗口、健保快易通APP、1999市民熱線等實際提升服務品質之配套措施，強化答案之具體性與時事掌握度。</w:t>
      </w:r>
    </w:p>
    <w:p>
      <w:pPr>
        <w:spacing w:after="220"/>
      </w:pPr>
    </w:p>
    <w:p>
      <w:pPr>
        <w:spacing w:after="180" w:before="360"/>
      </w:pPr>
      <w:r>
        <w:rPr>
          <w:rFonts w:ascii="微軟正黑體" w:cs="微軟正黑體" w:eastAsia="微軟正黑體" w:hAnsi="微軟正黑體"/>
          <w:b/>
          <w:bCs/>
          <w:color w:val="1F4E79"/>
          <w:sz w:val="26"/>
          <w:szCs w:val="26"/>
        </w:rPr>
        <w:t xml:space="preserve">題目三（C級綜合題·模擬命題）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並非歷屆試題，而是依本章第四節母體教材「AI鑲嵌下之平台治理、GovTech與雙重失靈」（含四條治理鏈與七項治理審計架構、Uber／Foodpanda案例分析）自行設計之模擬命題。本語料庫（107-111年）中，本章可完全對應一般行政類科之真題已用於題目一、題目二；現階段公開歷屆試題中尚未查得與平台化雙重失靈直接對應之申論真題，爰以模擬題形式呈現，並於此明確標示，避免與真實歷屆試題混淆。</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近年來共享經濟平台（如網約車、外送平台）快速興起，形成公私部門界線模糊、平台實質承擔部分公共職能之現象。請說明何謂『市場與政府雙重失靈』？並運用『四條治理鏈與七項治理審計』架構，以我國外送平台之勞動權益爭議為例，分析政府應如何強化治理課責。」</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概念闡釋＋架構應用＋政策建議題」，考生須依序完成三項任務：說明市場與政府雙重失靈之意涵、運用四條治理鏈與七項治理審計架構分析外送平台勞動權益爭議、提出政府強化治理課責之具體建議——僅描述外送平台勞權爭議之時事現象而未扣連本章雙重失靈與治理審計架構，屬於學理深度不足。</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市場與政府雙重失靈 ＋ 四條治理鏈與七項治理審計 ＋ 平台勞動權益 ＋ 治理課責。</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一、前言：平台化下公私界線消解之治理挑戰</w:t>
      </w:r>
    </w:p>
    <w:p>
      <w:pPr>
        <w:pStyle w:val="ListParagraph"/>
        <w:numPr>
          <w:ilvl w:val="0"/>
          <w:numId w:val="2"/>
        </w:numPr>
        <w:spacing w:after="120" w:line="340"/>
      </w:pPr>
      <w:r>
        <w:rPr>
          <w:rFonts w:ascii="微軟正黑體" w:cs="微軟正黑體" w:eastAsia="微軟正黑體" w:hAnsi="微軟正黑體"/>
          <w:sz w:val="22"/>
          <w:szCs w:val="22"/>
        </w:rPr>
        <w:t xml:space="preserve">二、市場與政府雙重失靈之意涵（Janssen et al.）</w:t>
      </w:r>
    </w:p>
    <w:p>
      <w:pPr>
        <w:pStyle w:val="ListParagraph"/>
        <w:numPr>
          <w:ilvl w:val="0"/>
          <w:numId w:val="2"/>
        </w:numPr>
        <w:spacing w:after="120" w:line="340"/>
      </w:pPr>
      <w:r>
        <w:rPr>
          <w:rFonts w:ascii="微軟正黑體" w:cs="微軟正黑體" w:eastAsia="微軟正黑體" w:hAnsi="微軟正黑體"/>
          <w:sz w:val="22"/>
          <w:szCs w:val="22"/>
        </w:rPr>
        <w:t xml:space="preserve">三、四條治理鏈與七項治理審計架構應用於外送平台勞權爭議</w:t>
      </w:r>
    </w:p>
    <w:p>
      <w:pPr>
        <w:pStyle w:val="ListParagraph"/>
        <w:numPr>
          <w:ilvl w:val="0"/>
          <w:numId w:val="2"/>
        </w:numPr>
        <w:spacing w:after="120" w:line="340"/>
      </w:pPr>
      <w:r>
        <w:rPr>
          <w:rFonts w:ascii="微軟正黑體" w:cs="微軟正黑體" w:eastAsia="微軟正黑體" w:hAnsi="微軟正黑體"/>
          <w:sz w:val="22"/>
          <w:szCs w:val="22"/>
        </w:rPr>
        <w:t xml:space="preserve">四、政府強化治理課責之政策建議</w:t>
      </w:r>
    </w:p>
    <w:p>
      <w:pPr>
        <w:pStyle w:val="ListParagraph"/>
        <w:numPr>
          <w:ilvl w:val="0"/>
          <w:numId w:val="2"/>
        </w:numPr>
        <w:spacing w:after="120" w:line="340"/>
      </w:pPr>
      <w:r>
        <w:rPr>
          <w:rFonts w:ascii="微軟正黑體" w:cs="微軟正黑體" w:eastAsia="微軟正黑體" w:hAnsi="微軟正黑體"/>
          <w:sz w:val="22"/>
          <w:szCs w:val="22"/>
        </w:rPr>
        <w:t xml:space="preserve">五、結論</w:t>
      </w:r>
    </w:p>
    <w:p>
      <w:pPr>
        <w:spacing w:after="100" w:before="160"/>
      </w:pPr>
      <w:r>
        <w:rPr>
          <w:rFonts w:ascii="微軟正黑體" w:cs="微軟正黑體" w:eastAsia="微軟正黑體" w:hAnsi="微軟正黑體"/>
          <w:b/>
          <w:bCs/>
          <w:color w:val="444444"/>
          <w:sz w:val="21"/>
          <w:szCs w:val="21"/>
        </w:rPr>
        <w:t xml:space="preserve">【參考答案·標準版】（約1,300字）</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網約車與外送平台等共享經濟模式興起後，平台企業實質承擔媒合、認證乃至部分準規制功能，使傳統上涇渭分明之公私部門界線進一步消解；此一現象不僅是市場結構之改變，更對政府之治理能力構成新型態挑戰。</w:t>
      </w:r>
    </w:p>
    <w:p>
      <w:pPr>
        <w:spacing w:after="200" w:line="360"/>
        <w:ind w:firstLine="431"/>
        <w:jc w:val="both"/>
      </w:pPr>
      <w:r>
        <w:rPr>
          <w:rFonts w:ascii="微軟正黑體" w:cs="微軟正黑體" w:eastAsia="微軟正黑體" w:hAnsi="微軟正黑體"/>
          <w:sz w:val="22"/>
          <w:szCs w:val="22"/>
        </w:rPr>
        <w:t xml:space="preserve">二、市場與政府雙重失靈之意涵</w:t>
      </w:r>
    </w:p>
    <w:p>
      <w:pPr>
        <w:spacing w:after="200" w:line="360"/>
        <w:ind w:firstLine="431"/>
        <w:jc w:val="both"/>
      </w:pPr>
      <w:r>
        <w:rPr>
          <w:rFonts w:ascii="微軟正黑體" w:cs="微軟正黑體" w:eastAsia="微軟正黑體" w:hAnsi="微軟正黑體"/>
          <w:sz w:val="22"/>
          <w:szCs w:val="22"/>
        </w:rPr>
        <w:t xml:space="preserve">Janssen等人指出，生成式AI與演算法系統普及後，正形成「市場與政府雙重失靈」交織之新風險：其一為私部門演算法失靈——平台演算法之媒合、計價與評價機制存在黑箱特性，可能產生系統性偏誤（如派單演算法對特定勞動者不利）而消費者與勞動者難以察覺與究責；其二為公部門監管失靈——政府對平台演算法之技術理解與監理能力，往往落後於平台技術發展速度，形成「監理落後」（regulatory lag）之結構性困境。兩種失靈並非各自獨立，而是相互強化：政府監理能力不足，使平台演算法失靈更難以被及時矯正；平台演算法之不透明，又進一步加大政府監理之技術門檻。</w:t>
      </w:r>
    </w:p>
    <w:p>
      <w:pPr>
        <w:spacing w:after="200" w:line="360"/>
        <w:ind w:firstLine="431"/>
        <w:jc w:val="both"/>
      </w:pPr>
      <w:r>
        <w:rPr>
          <w:rFonts w:ascii="微軟正黑體" w:cs="微軟正黑體" w:eastAsia="微軟正黑體" w:hAnsi="微軟正黑體"/>
          <w:sz w:val="22"/>
          <w:szCs w:val="22"/>
        </w:rPr>
        <w:t xml:space="preserve">三、四條治理鏈與七項治理審計架構之應用</w:t>
      </w:r>
    </w:p>
    <w:p>
      <w:pPr>
        <w:spacing w:after="200" w:line="360"/>
        <w:ind w:firstLine="431"/>
        <w:jc w:val="both"/>
      </w:pPr>
      <w:r>
        <w:rPr>
          <w:rFonts w:ascii="微軟正黑體" w:cs="微軟正黑體" w:eastAsia="微軟正黑體" w:hAnsi="微軟正黑體"/>
          <w:sz w:val="22"/>
          <w:szCs w:val="22"/>
        </w:rPr>
        <w:t xml:space="preserve">以我國外送平台勞動權益爭議為例，可建構「外送員—平台—政府—消費者／社會」四條交錯之權威與課責鏈：外送員對平台之課責關係，涉及派單演算法是否透明公平（審計項目：演算法透明度）、申訴與意外傷害救濟管道是否暢通（審計項目：申訴與救濟管道）；平台對政府之課責關係，涉及平台是否誠實揭露勞動契約性質與交易資料（審計項目：資料品質、目標正當性）；政府對社會之課責關係，則涉及政府是否建立與時俱進之專法或指引、避免監理落後（審計項目：持續性監控與再評估、影響評估）；消費者與社會對整體治理成效之監督，則仰賴前述各環節資訊之公開透明。此一四鏈交錯架構顯示，外送員勞動權益爭議不能僅要求平台單方負責，而須政府、平台、勞動者、消費者四方共同納入治理鏈條，方能有效因應雙重失靈風險。</w:t>
      </w:r>
    </w:p>
    <w:p>
      <w:pPr>
        <w:spacing w:after="200" w:line="360"/>
        <w:ind w:firstLine="431"/>
        <w:jc w:val="both"/>
      </w:pPr>
      <w:r>
        <w:rPr>
          <w:rFonts w:ascii="微軟正黑體" w:cs="微軟正黑體" w:eastAsia="微軟正黑體" w:hAnsi="微軟正黑體"/>
          <w:sz w:val="22"/>
          <w:szCs w:val="22"/>
        </w:rPr>
        <w:t xml:space="preserve">四、政府強化治理課責之政策建議</w:t>
      </w:r>
    </w:p>
    <w:p>
      <w:pPr>
        <w:pStyle w:val="ListParagraph"/>
        <w:numPr>
          <w:ilvl w:val="0"/>
          <w:numId w:val="2"/>
        </w:numPr>
        <w:spacing w:after="120" w:line="340"/>
      </w:pPr>
      <w:r>
        <w:rPr>
          <w:rFonts w:ascii="微軟正黑體" w:cs="微軟正黑體" w:eastAsia="微軟正黑體" w:hAnsi="微軟正黑體"/>
          <w:sz w:val="22"/>
          <w:szCs w:val="22"/>
        </w:rPr>
        <w:t xml:space="preserve">（一）建立平台勞動關係認定之明確法制基準，釐清外送員之勞動契約性質與權益保障範圍，回應「目標正當性」與「資料品質」審計項目。</w:t>
      </w:r>
    </w:p>
    <w:p>
      <w:pPr>
        <w:pStyle w:val="ListParagraph"/>
        <w:numPr>
          <w:ilvl w:val="0"/>
          <w:numId w:val="2"/>
        </w:numPr>
        <w:spacing w:after="120" w:line="340"/>
      </w:pPr>
      <w:r>
        <w:rPr>
          <w:rFonts w:ascii="微軟正黑體" w:cs="微軟正黑體" w:eastAsia="微軟正黑體" w:hAnsi="微軟正黑體"/>
          <w:sz w:val="22"/>
          <w:szCs w:val="22"/>
        </w:rPr>
        <w:t xml:space="preserve">（二）要求平台揭露派單、計價演算法之基本邏輯與影響評估報告，並建立第三方稽核機制，回應「演算法透明度」與「人為監督機制」審計項目。</w:t>
      </w:r>
    </w:p>
    <w:p>
      <w:pPr>
        <w:pStyle w:val="ListParagraph"/>
        <w:numPr>
          <w:ilvl w:val="0"/>
          <w:numId w:val="2"/>
        </w:numPr>
        <w:spacing w:after="120" w:line="340"/>
      </w:pPr>
      <w:r>
        <w:rPr>
          <w:rFonts w:ascii="微軟正黑體" w:cs="微軟正黑體" w:eastAsia="微軟正黑體" w:hAnsi="微軟正黑體"/>
          <w:sz w:val="22"/>
          <w:szCs w:val="22"/>
        </w:rPr>
        <w:t xml:space="preserve">（三）建立跨部會之平台經濟監理協調機制（結合勞動、交通、數位發展部門），並持續追蹤國際監理經驗，回應「持續性監控與再評估」審計項目，避免監理落後。</w:t>
      </w:r>
    </w:p>
    <w:p>
      <w:pPr>
        <w:pStyle w:val="ListParagraph"/>
        <w:numPr>
          <w:ilvl w:val="0"/>
          <w:numId w:val="2"/>
        </w:numPr>
        <w:spacing w:after="120" w:line="340"/>
      </w:pPr>
      <w:r>
        <w:rPr>
          <w:rFonts w:ascii="微軟正黑體" w:cs="微軟正黑體" w:eastAsia="微軟正黑體" w:hAnsi="微軟正黑體"/>
          <w:sz w:val="22"/>
          <w:szCs w:val="22"/>
        </w:rPr>
        <w:t xml:space="preserve">（四）建立便利之申訴與職業傷害救濟管道，並確保外送員申訴不受平台演算法報復性降低派單之疑慮，回應「申訴與救濟管道」審計項目。</w:t>
      </w:r>
    </w:p>
    <w:p>
      <w:pPr>
        <w:spacing w:after="200" w:line="360"/>
        <w:ind w:firstLine="431"/>
        <w:jc w:val="both"/>
      </w:pPr>
      <w:r>
        <w:rPr>
          <w:rFonts w:ascii="微軟正黑體" w:cs="微軟正黑體" w:eastAsia="微軟正黑體" w:hAnsi="微軟正黑體"/>
          <w:sz w:val="22"/>
          <w:szCs w:val="22"/>
        </w:rPr>
        <w:t xml:space="preserve">五、結論</w:t>
      </w:r>
    </w:p>
    <w:p>
      <w:pPr>
        <w:spacing w:after="200" w:line="360"/>
        <w:ind w:firstLine="431"/>
        <w:jc w:val="both"/>
      </w:pPr>
      <w:r>
        <w:rPr>
          <w:rFonts w:ascii="微軟正黑體" w:cs="微軟正黑體" w:eastAsia="微軟正黑體" w:hAnsi="微軟正黑體"/>
          <w:sz w:val="22"/>
          <w:szCs w:val="22"/>
        </w:rPr>
        <w:t xml:space="preserve">平台化下之公私協力關係，本質上是政府、平台、勞動者與消費者四方共構之治理網絡；面對市場與政府雙重失靈交織之風險，政府不能延續傳統「市場失靈由政府單向矯正」之思維，而須運用四條治理鏈與七項治理審計架構，系統性檢視每一環節之課責缺口，方能在鼓勵平台經濟創新之同時，確保勞動權益與公共利益不因監理落後而受損。</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須完整說明「市場與政府雙重失靈」之雙重意涵（私部門演算法失靈＋公部門監管失靈），並清楚指出兩者相互強化之關係，不可僅解釋其中一種失靈。</w:t>
      </w:r>
    </w:p>
    <w:p>
      <w:pPr>
        <w:pStyle w:val="ListParagraph"/>
        <w:numPr>
          <w:ilvl w:val="0"/>
          <w:numId w:val="2"/>
        </w:numPr>
        <w:spacing w:after="120" w:line="340"/>
      </w:pPr>
      <w:r>
        <w:rPr>
          <w:rFonts w:ascii="微軟正黑體" w:cs="微軟正黑體" w:eastAsia="微軟正黑體" w:hAnsi="微軟正黑體"/>
          <w:sz w:val="22"/>
          <w:szCs w:val="22"/>
        </w:rPr>
        <w:t xml:space="preserve">須具體運用「四條治理鏈與七項治理審計」架構分析外送平台案例，逐一對應審計項目，不可僅泛泛而談「政府應加強監理」。</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僅描述外送平台勞權爭議之時事現象（如過勞、職災案例），未扣連「雙重失靈」或「四鏈七審」等本章專屬學理架構。</w:t>
      </w:r>
    </w:p>
    <w:p>
      <w:pPr>
        <w:pStyle w:val="ListParagraph"/>
        <w:numPr>
          <w:ilvl w:val="0"/>
          <w:numId w:val="2"/>
        </w:numPr>
        <w:spacing w:after="120" w:line="340"/>
      </w:pPr>
      <w:r>
        <w:rPr>
          <w:rFonts w:ascii="微軟正黑體" w:cs="微軟正黑體" w:eastAsia="微軟正黑體" w:hAnsi="微軟正黑體"/>
          <w:sz w:val="22"/>
          <w:szCs w:val="22"/>
        </w:rPr>
        <w:t xml:space="preserve">❌ 政策建議與前述雙重失靈分析脫節，僅重複「政府應立法保障外送員」等空泛立場，未具體對應審計項目。</w:t>
      </w:r>
    </w:p>
    <w:p>
      <w:pPr>
        <w:spacing w:after="100" w:before="160"/>
      </w:pPr>
      <w:r>
        <w:rPr>
          <w:rFonts w:ascii="微軟正黑體" w:cs="微軟正黑體" w:eastAsia="微軟正黑體" w:hAnsi="微軟正黑體"/>
          <w:b/>
          <w:bCs/>
          <w:color w:val="444444"/>
          <w:sz w:val="21"/>
          <w:szCs w:val="21"/>
        </w:rPr>
        <w:t xml:space="preserve">【高分加分點】</w:t>
      </w:r>
    </w:p>
    <w:p>
      <w:pPr>
        <w:pStyle w:val="ListParagraph"/>
        <w:numPr>
          <w:ilvl w:val="0"/>
          <w:numId w:val="2"/>
        </w:numPr>
        <w:spacing w:after="120" w:line="340"/>
      </w:pPr>
      <w:r>
        <w:rPr>
          <w:rFonts w:ascii="微軟正黑體" w:cs="微軟正黑體" w:eastAsia="微軟正黑體" w:hAnsi="微軟正黑體"/>
          <w:sz w:val="22"/>
          <w:szCs w:val="22"/>
        </w:rPr>
        <w:t xml:space="preserve">可補充引用Busuioc可課責AI四要件（可解釋性、可追溯性、可爭訟性、人在迴路監督），進一步深化「演算法透明度」審計項目之操作化內涵，說明政府要求平台揭露之演算法邏輯，應具體滿足此四要件方為有效課責。</w:t>
      </w:r>
    </w:p>
    <w:p>
      <w:pPr>
        <w:pStyle w:val="ListParagraph"/>
        <w:numPr>
          <w:ilvl w:val="0"/>
          <w:numId w:val="2"/>
        </w:numPr>
        <w:spacing w:after="120" w:line="340"/>
      </w:pPr>
      <w:r>
        <w:rPr>
          <w:rFonts w:ascii="微軟正黑體" w:cs="微軟正黑體" w:eastAsia="微軟正黑體" w:hAnsi="微軟正黑體"/>
          <w:sz w:val="22"/>
          <w:szCs w:val="22"/>
        </w:rPr>
        <w:t xml:space="preserve">可補充「三種權力移轉」概念（情境建構權、行政裁量權、公權力影響力），指出外送平台之派單演算法實質承擔了傳統上屬於政府勞動檢查與媒合之行政裁量權（P2），此一權力移轉正是治理課責缺口之根本成因。</w:t>
      </w:r>
    </w:p>
    <w:p>
      <w:pPr>
        <w:pStyle w:val="ListParagraph"/>
        <w:numPr>
          <w:ilvl w:val="0"/>
          <w:numId w:val="2"/>
        </w:numPr>
        <w:spacing w:after="120" w:line="340"/>
      </w:pPr>
      <w:r>
        <w:rPr>
          <w:rFonts w:ascii="微軟正黑體" w:cs="微軟正黑體" w:eastAsia="微軟正黑體" w:hAnsi="微軟正黑體"/>
          <w:sz w:val="22"/>
          <w:szCs w:val="22"/>
        </w:rPr>
        <w:t xml:space="preserve">可補充比較國際監理經驗（如歐盟數位服務法DSA對平台演算法透明度之強制要求），說明我國可借鏡之制度設計方向，展現國際比較視野。</w:t>
      </w:r>
    </w:p>
    <w:p>
      <w:pPr>
        <w:pStyle w:val="ListParagraph"/>
        <w:numPr>
          <w:ilvl w:val="0"/>
          <w:numId w:val="2"/>
        </w:numPr>
        <w:spacing w:after="120" w:line="340"/>
      </w:pPr>
      <w:r>
        <w:rPr>
          <w:rFonts w:ascii="微軟正黑體" w:cs="微軟正黑體" w:eastAsia="微軟正黑體" w:hAnsi="微軟正黑體"/>
          <w:sz w:val="22"/>
          <w:szCs w:val="22"/>
        </w:rPr>
        <w:t xml:space="preserve">可補充「主權AI」與「AI採購倫理」概念，說明政府若欲自建監理用之演算法稽核工具，亦須注意技術自主性與採購倫理，避免監理工具本身又形成新的技術依賴風險。</w:t>
      </w:r>
    </w:p>
    <w:p>
      <w:pPr>
        <w:spacing w:after="260"/>
      </w:pPr>
    </w:p>
    <w:p>
      <w:pPr>
        <w:spacing w:after="200" w:before="400"/>
      </w:pPr>
      <w:r>
        <w:rPr>
          <w:rFonts w:ascii="微軟正黑體" w:cs="微軟正黑體" w:eastAsia="微軟正黑體" w:hAnsi="微軟正黑體"/>
          <w:b/>
          <w:bCs/>
          <w:sz w:val="32"/>
          <w:szCs w:val="32"/>
        </w:rPr>
        <w:t xml:space="preserve">【歷屆試題】</w:t>
      </w:r>
    </w:p>
    <w:p>
      <w:pPr>
        <w:spacing w:after="200" w:line="360"/>
        <w:ind w:firstLine="431"/>
        <w:jc w:val="both"/>
      </w:pPr>
      <w:r>
        <w:rPr>
          <w:rFonts w:ascii="微軟正黑體" w:cs="微軟正黑體" w:eastAsia="微軟正黑體" w:hAnsi="微軟正黑體"/>
          <w:sz w:val="22"/>
          <w:szCs w:val="22"/>
        </w:rPr>
        <w:t xml:space="preserve">以下彙整與本章主題相關之歷屆試題，來源為考選部官方公告試題（107-111年，行政學／行政學概要科目），依考選部「類科」欄位是否明列「一般行政」判斷是否為一般行政類科直接命題紀錄。其中「107年高考行政法人」一題雖與本章組織轉型主題相關，惟核心內容更完整對應第十六章「我國行政組織」，完整解題留待該章處理，本章僅列出參照。</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1600"/>
        <w:gridCol w:w="1000"/>
        <w:gridCol w:w="2626"/>
        <w:gridCol w:w="1200"/>
      </w:tblGrid>
      <w:tr>
        <w:trPr>
          <w:tblHeader/>
        </w:trPr>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年度／考試</w:t>
            </w:r>
          </w:p>
        </w:tc>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類科</w:t>
            </w:r>
          </w:p>
        </w:tc>
        <w:tc>
          <w:tcPr>
            <w:tcW w:type="dxa" w:w="10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難度</w:t>
            </w:r>
          </w:p>
        </w:tc>
        <w:tc>
          <w:tcPr>
            <w:tcW w:type="dxa" w:w="26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考點</w:t>
            </w:r>
          </w:p>
        </w:tc>
        <w:tc>
          <w:tcPr>
            <w:tcW w:type="dxa" w:w="1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查證狀態</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111年公務人員高等考試三級考試</w:t>
            </w:r>
          </w:p>
        </w:tc>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一般行政</w:t>
            </w:r>
          </w:p>
        </w:tc>
        <w:tc>
          <w:tcPr>
            <w:tcW w:type="dxa" w:w="1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w:t>
            </w:r>
          </w:p>
        </w:tc>
        <w:tc>
          <w:tcPr>
            <w:tcW w:type="dxa" w:w="2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公私協力對公部門與私部門之影響（即題目一）</w:t>
            </w:r>
          </w:p>
        </w:tc>
        <w:tc>
          <w:tcPr>
            <w:tcW w:type="dxa" w:w="1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考選部官方公告試題，一般行政符合，等別對應高考三級</w:t>
            </w:r>
          </w:p>
        </w:tc>
      </w:tr>
      <w:tr>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108年公務人員特種考試原住民族考試三等考試</w:t>
            </w:r>
          </w:p>
        </w:tc>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一般行政</w:t>
            </w:r>
          </w:p>
        </w:tc>
        <w:tc>
          <w:tcPr>
            <w:tcW w:type="dxa" w:w="1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w:t>
            </w:r>
          </w:p>
        </w:tc>
        <w:tc>
          <w:tcPr>
            <w:tcW w:type="dxa" w:w="26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提升服務品質：政府與企業之異同及配套作為（即題目二）</w:t>
            </w:r>
          </w:p>
        </w:tc>
        <w:tc>
          <w:tcPr>
            <w:tcW w:type="dxa" w:w="1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考選部官方公告試題，一般行政符合，同時參照第23章財管與績效管理</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107年公務人員高等考試三級考試</w:t>
            </w:r>
          </w:p>
        </w:tc>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一般行政</w:t>
            </w:r>
          </w:p>
        </w:tc>
        <w:tc>
          <w:tcPr>
            <w:tcW w:type="dxa" w:w="1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w:t>
            </w:r>
          </w:p>
        </w:tc>
        <w:tc>
          <w:tcPr>
            <w:tcW w:type="dxa" w:w="2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行政法人定義及組織轉型挑戰（完整解題見第16章）</w:t>
            </w:r>
          </w:p>
        </w:tc>
        <w:tc>
          <w:tcPr>
            <w:tcW w:type="dxa" w:w="1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考選部官方公告試題，一般行政符合，本章僅列出參照不重複解題</w:t>
            </w:r>
          </w:p>
        </w:tc>
      </w:tr>
    </w:tbl>
    <w:p>
      <w:pPr>
        <w:spacing w:after="280" w:before="120"/>
        <w:jc w:val="center"/>
      </w:pPr>
      <w:r>
        <w:rPr>
          <w:rFonts w:ascii="微軟正黑體" w:cs="微軟正黑體" w:eastAsia="微軟正黑體" w:hAnsi="微軟正黑體"/>
          <w:i/>
          <w:iCs/>
          <w:color w:val="555555"/>
          <w:sz w:val="18"/>
          <w:szCs w:val="18"/>
        </w:rPr>
        <w:t xml:space="preserve">表8-J　本章相關歷屆試題彙整</w:t>
      </w:r>
    </w:p>
    <w:p>
      <w:pPr>
        <w:spacing w:after="200" w:line="360"/>
        <w:ind w:firstLine="431"/>
        <w:jc w:val="both"/>
      </w:pPr>
      <w:r>
        <w:rPr>
          <w:rFonts w:ascii="微軟正黑體" w:cs="微軟正黑體" w:eastAsia="微軟正黑體" w:hAnsi="微軟正黑體"/>
          <w:sz w:val="22"/>
          <w:szCs w:val="22"/>
        </w:rPr>
        <w:t xml:space="preserve">本章語料庫涵蓋107-111年5個年度之考選部官方試題，共查得3題與本章理論脈絡直接相關且完全符合一般行政類科之申論真題，其中2題（111年高考、108年原三）於本章完整解題，1題（107年高考行政法人）因核心內容更貼近第十六章而移列該章完整處理；平台治理、GovTech、AI雙重失靈等新興考點，於本語料庫年度範圍內尚未查得直接對應之申論真題，惟屬近年國考行政學命題趨勢之重要新興領域，建議另行參閱112年以後之最新年度考古題補充。</w:t>
      </w:r>
    </w:p>
    <w:p>
      <w:pPr>
        <w:spacing w:after="260"/>
      </w:pPr>
    </w:p>
    <w:p>
      <w:pPr>
        <w:spacing w:after="200" w:before="400"/>
      </w:pPr>
      <w:r>
        <w:rPr>
          <w:rFonts w:ascii="微軟正黑體" w:cs="微軟正黑體" w:eastAsia="微軟正黑體" w:hAnsi="微軟正黑體"/>
          <w:b/>
          <w:bCs/>
          <w:sz w:val="32"/>
          <w:szCs w:val="32"/>
        </w:rPr>
        <w:t xml:space="preserve">【本章一頁掌握】</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新右派與NPM理論基礎</w:t>
            </w:r>
          </w:p>
          <w:p>
            <w:pPr>
              <w:spacing w:line="340"/>
              <w:jc w:val="both"/>
            </w:pPr>
            <w:r>
              <w:rPr>
                <w:rFonts w:ascii="微軟正黑體" w:cs="微軟正黑體" w:eastAsia="微軟正黑體" w:hAnsi="微軟正黑體"/>
                <w:sz w:val="21"/>
                <w:szCs w:val="21"/>
              </w:rPr>
              <w:t xml:space="preserve">福利國家四重危機（財效官正）→ 新右派三思想支柱 → 公共選擇／代理人／交易成本三理論 → NPM（Hood七論點、4E、5C）→ 我國四化原則（去地法委）</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民營化與促參</w:t>
            </w:r>
          </w:p>
          <w:p>
            <w:pPr>
              <w:spacing w:line="340"/>
              <w:jc w:val="both"/>
            </w:pPr>
            <w:r>
              <w:rPr>
                <w:rFonts w:ascii="微軟正黑體" w:cs="微軟正黑體" w:eastAsia="微軟正黑體" w:hAnsi="微軟正黑體"/>
                <w:sz w:val="21"/>
                <w:szCs w:val="21"/>
              </w:rPr>
              <w:t xml:space="preserve">民營化三前提（市場替代性/公共性/風險移轉）→ Savas三類型（撤委替）→ 促參PPP光譜（BOT/OT/ROT/BOO/BTO）→ 政府再造十原則</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第三部門與治理典範演進</w:t>
            </w:r>
          </w:p>
          <w:p>
            <w:pPr>
              <w:spacing w:line="340"/>
              <w:jc w:val="both"/>
            </w:pPr>
            <w:r>
              <w:rPr>
                <w:rFonts w:ascii="微軟正黑體" w:cs="微軟正黑體" w:eastAsia="微軟正黑體" w:hAnsi="微軟正黑體"/>
                <w:sz w:val="21"/>
                <w:szCs w:val="21"/>
              </w:rPr>
              <w:t xml:space="preserve">政府失靈＋市場失靈 → 志願失靈四類型（不特家業）→ NPM批判（空洞國家）→ PVM戰略三角／NPG共同生產者 → 官僚制→NPM→PVM/NPG→DEG→AI治理</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AI鑲嵌下的平台治理與雙重失靈</w:t>
            </w:r>
          </w:p>
          <w:p>
            <w:pPr>
              <w:spacing w:line="340"/>
              <w:jc w:val="both"/>
            </w:pPr>
            <w:r>
              <w:rPr>
                <w:rFonts w:ascii="微軟正黑體" w:cs="微軟正黑體" w:eastAsia="微軟正黑體" w:hAnsi="微軟正黑體"/>
                <w:sz w:val="21"/>
                <w:szCs w:val="21"/>
              </w:rPr>
              <w:t xml:space="preserve">平台經濟新市場失靈 → 資料共有財（Hess &amp; Ostrom）→ DEG三波（電整平）→ 市場與政府雙重失靈（Janssen）→ 三種權力移轉 → 四條治理鏈與七項治理審計 → Uber/Foodpanda案例</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申論核心句（可直接用於破題或結論）</w:t>
            </w:r>
          </w:p>
          <w:p>
            <w:pPr>
              <w:spacing w:line="340"/>
              <w:jc w:val="both"/>
            </w:pPr>
            <w:r>
              <w:rPr>
                <w:rFonts w:ascii="微軟正黑體" w:cs="微軟正黑體" w:eastAsia="微軟正黑體" w:hAnsi="微軟正黑體"/>
                <w:sz w:val="21"/>
                <w:szCs w:val="21"/>
              </w:rPr>
              <w:t xml:space="preserve">政府與市場的抉擇，從來不是「非此即彼」的二選一，而是一條隨環境變遷持續調整的光譜；當平台與演算法成為新的公私協力夥伴，治理課責的關鍵，不再只是「政府該不該放手」，而是「放手之後，誰來負責」。</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48" w:hanging="288"/>
      </w:pPr>
    </w:lvl>
    <w:lvl w:ilvl="1" w15:tentative="1">
      <w:start w:val="1"/>
      <w:numFmt w:val="bullet"/>
      <w:lvlText w:val="◦"/>
      <w:lvlJc w:val="left"/>
      <w:pPr>
        <w:ind w:left="1080"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2026-09-01T03:11:02.425Z</dcterms:created>
  <dcterms:modified xsi:type="dcterms:W3CDTF">2026-09-01T03:11:02.426Z</dcterms:modified>
</cp:coreProperties>
</file>

<file path=docProps/custom.xml><?xml version="1.0" encoding="utf-8"?>
<Properties xmlns="http://schemas.openxmlformats.org/officeDocument/2006/custom-properties" xmlns:vt="http://schemas.openxmlformats.org/officeDocument/2006/docPropsVTypes"/>
</file>