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第七章　行政環境</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七章「行政環境」，內容取材自該章之七節母體教材（並含篇幅甚大的「AI鑲嵌後的權力與結構變化：第四環境」專節），依國考「考點化、模組化、背誦＋應用」邏輯重新壓縮改寫為四節：第一節整合行政環境的意涵、行政生態學與比較行政的開展（原第一、二節）；第二節整合Riggs稜柱模型與已開發／開發中國家行政文化對比（原第三、四節）；第三節整合全球化、行政革新與發展行政（原第五、六節）；第四節整合第四環境（數位／AI環境）與全球AI治理競合（原第七節與AI鑲嵌後內容）。本語料庫中另有一題（107年地方特考三等「府際協議機制」）雖與本章環境主題有廣義關聯，惟其核心內容（府際協商過程）實質對應第九章「治理典範」之府際與網絡治理理論，故已改列該章真題，不重複列於本章。</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行政環境的意涵、行政生態學與比較行政的開展</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行政環境（administrative environment）指行政體系外部存在，並對行政體系產生影響、且行政體系無法在短期內完全控制的諸般條件總和（Gaus, 1947）；高斯首倡生態研究途徑，主張應從人、地方、物理技術、社會制度、理念與人格五要因理解行政。</w:t>
      </w:r>
    </w:p>
    <w:p>
      <w:pPr>
        <w:pStyle w:val="ListParagraph"/>
        <w:numPr>
          <w:ilvl w:val="0"/>
          <w:numId w:val="2"/>
        </w:numPr>
        <w:spacing w:after="120" w:line="340"/>
      </w:pPr>
      <w:r>
        <w:rPr>
          <w:rFonts w:ascii="微軟正黑體" w:cs="微軟正黑體" w:eastAsia="微軟正黑體" w:hAnsi="微軟正黑體"/>
          <w:sz w:val="22"/>
          <w:szCs w:val="22"/>
        </w:rPr>
        <w:t xml:space="preserve">行政生態學（Riggs, 1961）將生物學生態概念引介至行政研究，主張行政體系如同有機體，持續與外在環境交換能量與資訊，並在互動中調整內部結構與功能。</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傳統PESTEL將環境分為政治、經濟、社會、科技、生態、法律六構面；本書主張增列第七構面：數位／資料環境（第四環境）——資料基礎設施與演算法系統已具備足以獨立形塑行政運作的結構性力量，不應僅視為「科技」構面下之附屬項目。</w:t>
      </w:r>
    </w:p>
    <w:p>
      <w:pPr>
        <w:pStyle w:val="ListParagraph"/>
        <w:numPr>
          <w:ilvl w:val="0"/>
          <w:numId w:val="2"/>
        </w:numPr>
        <w:spacing w:after="120" w:line="340"/>
      </w:pPr>
      <w:r>
        <w:rPr>
          <w:rFonts w:ascii="微軟正黑體" w:cs="微軟正黑體" w:eastAsia="微軟正黑體" w:hAnsi="微軟正黑體"/>
          <w:sz w:val="22"/>
          <w:szCs w:val="22"/>
        </w:rPr>
        <w:t xml:space="preserve">行政生態學核心命題有三：相互依存性（環境形塑行政，行政亦反作用於環境，非單向決定）、動態適應性（行政需具負熵negentropy能力對抗組織惰性）、情境合宜性（世上並無普世最佳的行政模式，西方官僚制移植開發中國家常水土不服）。</w:t>
      </w:r>
    </w:p>
    <w:p>
      <w:pPr>
        <w:pStyle w:val="ListParagraph"/>
        <w:numPr>
          <w:ilvl w:val="0"/>
          <w:numId w:val="2"/>
        </w:numPr>
        <w:spacing w:after="120" w:line="340"/>
      </w:pPr>
      <w:r>
        <w:rPr>
          <w:rFonts w:ascii="微軟正黑體" w:cs="微軟正黑體" w:eastAsia="微軟正黑體" w:hAnsi="微軟正黑體"/>
          <w:sz w:val="22"/>
          <w:szCs w:val="22"/>
        </w:rPr>
        <w:t xml:space="preserve">比較行政（CPA）歷經三次典範轉向：從規範到經驗、從個別記述到通則建立、從非生態到生態；比較行政群體（CAG）於1963年成立（隸屬ASPA，福特基金會資助，主席Riggs），開創發展行政研究、引入生態概念與結構功能論，惟1971年因「過度理論化、缺乏實務解方」與內部對「發展」定義分歧而遭終止資助，1973年併入SICA——這並非研究失敗，而是比較行政研究之常態化。</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學者／概念</w:t>
            </w:r>
          </w:p>
        </w:tc>
        <w:tc>
          <w:tcPr>
            <w:tcW w:type="dxa" w:w="6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核心內容</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Gaus（1947）</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行政生態研究：人、地方、物理技術、社會制度、理念與人格五要因</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Dahl（1947）</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批判傳統原則學派忽略環境，主張比較行政須具生態敏感性</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Riggs（1961、1962）</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行政生態學core命題；比較行政三次轉向；CAG主席</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Heady（2001，第六版）</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重申生態途徑為比較行政認識論基石，忽略生態脈絡之改革移植多以失敗收場</w:t>
            </w:r>
          </w:p>
        </w:tc>
      </w:tr>
    </w:tbl>
    <w:p>
      <w:pPr>
        <w:spacing w:after="280" w:before="120"/>
        <w:jc w:val="center"/>
      </w:pPr>
      <w:r>
        <w:rPr>
          <w:rFonts w:ascii="微軟正黑體" w:cs="微軟正黑體" w:eastAsia="微軟正黑體" w:hAnsi="微軟正黑體"/>
          <w:i/>
          <w:iCs/>
          <w:color w:val="555555"/>
          <w:sz w:val="18"/>
          <w:szCs w:val="18"/>
        </w:rPr>
        <w:t xml:space="preserve">表7-A　行政生態學與比較行政主要學者</w:t>
      </w:r>
    </w:p>
    <w:p>
      <w:pPr>
        <w:spacing w:after="140" w:before="260"/>
      </w:pPr>
      <w:r>
        <w:rPr>
          <w:rFonts w:ascii="微軟正黑體" w:cs="微軟正黑體" w:eastAsia="微軟正黑體" w:hAnsi="微軟正黑體"/>
          <w:b/>
          <w:bCs/>
          <w:color w:val="2E5C8A"/>
          <w:sz w:val="23"/>
          <w:szCs w:val="23"/>
        </w:rPr>
        <w:t xml:space="preserve">四、核心命題</w:t>
      </w:r>
    </w:p>
    <w:p>
      <w:pPr>
        <w:pStyle w:val="ListParagraph"/>
        <w:numPr>
          <w:ilvl w:val="0"/>
          <w:numId w:val="2"/>
        </w:numPr>
        <w:spacing w:after="120" w:line="340"/>
      </w:pPr>
      <w:r>
        <w:rPr>
          <w:rFonts w:ascii="微軟正黑體" w:cs="微軟正黑體" w:eastAsia="微軟正黑體" w:hAnsi="微軟正黑體"/>
          <w:sz w:val="22"/>
          <w:szCs w:val="22"/>
        </w:rPr>
        <w:t xml:space="preserve">環境決定論（環境完全決定行政，近乎宿命式悲觀）vs. 環境制約論（環境僅構成機會與限制條件，行政仍保有能動性與裁量空間，本教科書一貫立場）——這呼應第五章對行政裁量並非「民主失控」之強調；CAG終止資助之歷史教訓——基礎理論建構與實務解方之間如何平衡，對任何強調跨學科整合之新興研究領域，皆具啟示意義。</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途徑</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行政生態學</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提供整體論視角，說明行政改革須考量脈絡合宜性，避免制度移植水土不服</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「環境制約」之邊界仍須依個案認定，過度強調環境易滑向決定論</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比較行政群體（CAG）</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開創發展行政研究，引入生態與結構功能論，培養重要比較行政學者</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過度理論化、缺乏對實務政策（如援外政策）之解方，終致資助終止</w:t>
            </w:r>
          </w:p>
        </w:tc>
      </w:tr>
    </w:tbl>
    <w:p>
      <w:pPr>
        <w:spacing w:after="280" w:before="120"/>
        <w:jc w:val="center"/>
      </w:pPr>
      <w:r>
        <w:rPr>
          <w:rFonts w:ascii="微軟正黑體" w:cs="微軟正黑體" w:eastAsia="微軟正黑體" w:hAnsi="微軟正黑體"/>
          <w:i/>
          <w:iCs/>
          <w:color w:val="555555"/>
          <w:sz w:val="18"/>
          <w:szCs w:val="18"/>
        </w:rPr>
        <w:t xml:space="preserve">表7-B　行政生態學與比較行政之貢獻與限制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增列第四環境（數位／資料環境）於PESTEL傳統六構面之外，是本書因應AI與資料基礎設施時代而提出之理論擴充，詳見第四節。</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我國兩公約施行法賦予國際人權公約國內法效力，正是「政治環境」對行政體系結構制約之具體例證；我國行政學界（如比較行政研究）之發展，亦受惠於CAG時期引入之生態研究途徑。</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①行政環境之定義（Gaus, 1947）與五要因</w:t>
            </w:r>
          </w:p>
          <w:p>
            <w:pPr>
              <w:spacing w:after="80" w:line="320"/>
            </w:pPr>
            <w:r>
              <w:rPr>
                <w:rFonts w:ascii="微軟正黑體" w:cs="微軟正黑體" w:eastAsia="微軟正黑體" w:hAnsi="微軟正黑體"/>
                <w:sz w:val="21"/>
                <w:szCs w:val="21"/>
              </w:rPr>
              <w:t xml:space="preserve">•　②PESTEL六構面＋本書主張新增之第四環境（數位／資料環境）</w:t>
            </w:r>
          </w:p>
          <w:p>
            <w:pPr>
              <w:spacing w:after="80" w:line="320"/>
            </w:pPr>
            <w:r>
              <w:rPr>
                <w:rFonts w:ascii="微軟正黑體" w:cs="微軟正黑體" w:eastAsia="微軟正黑體" w:hAnsi="微軟正黑體"/>
                <w:sz w:val="21"/>
                <w:szCs w:val="21"/>
              </w:rPr>
              <w:t xml:space="preserve">•　③行政生態學三項核心命題：相互依存性／動態適應性／情境合宜性</w:t>
            </w:r>
          </w:p>
          <w:p>
            <w:pPr>
              <w:spacing w:after="80" w:line="320"/>
            </w:pPr>
            <w:r>
              <w:rPr>
                <w:rFonts w:ascii="微軟正黑體" w:cs="微軟正黑體" w:eastAsia="微軟正黑體" w:hAnsi="微軟正黑體"/>
                <w:sz w:val="21"/>
                <w:szCs w:val="21"/>
              </w:rPr>
              <w:t xml:space="preserve">•　④環境決定論 vs. 環境制約論</w:t>
            </w:r>
          </w:p>
          <w:p>
            <w:pPr>
              <w:spacing w:after="0" w:line="320"/>
            </w:pPr>
            <w:r>
              <w:rPr>
                <w:rFonts w:ascii="微軟正黑體" w:cs="微軟正黑體" w:eastAsia="微軟正黑體" w:hAnsi="微軟正黑體"/>
                <w:sz w:val="21"/>
                <w:szCs w:val="21"/>
              </w:rPr>
              <w:t xml:space="preserve">•　⑤比較行政三次典範轉向；比較行政群體（CAG）之成立、貢獻與終止資助原因</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行政生態三命題口訣：互（相依存）、動（態適應）、合（情境合宜）——三字訣「互動合」</w:t>
            </w:r>
          </w:p>
          <w:p>
            <w:pPr>
              <w:spacing w:after="80" w:line="320"/>
            </w:pPr>
            <w:r>
              <w:rPr>
                <w:rFonts w:ascii="微軟正黑體" w:cs="微軟正黑體" w:eastAsia="微軟正黑體" w:hAnsi="微軟正黑體"/>
                <w:sz w:val="21"/>
                <w:szCs w:val="21"/>
              </w:rPr>
              <w:t xml:space="preserve">•　PESTEL＋1記憶：政經社科生法＋數位（第四環境）——七構面缺一不完整</w:t>
            </w:r>
          </w:p>
          <w:p>
            <w:pPr>
              <w:spacing w:after="0" w:line="320"/>
            </w:pPr>
            <w:r>
              <w:rPr>
                <w:rFonts w:ascii="微軟正黑體" w:cs="微軟正黑體" w:eastAsia="微軟正黑體" w:hAnsi="微軟正黑體"/>
                <w:sz w:val="21"/>
                <w:szCs w:val="21"/>
              </w:rPr>
              <w:t xml:space="preserve">•　CAG終止資助口訣：「理論太多、解方太少」——外部嫌不實用，內部吵不出共識</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環境決定論」（環境完全決定行政）與「環境制約論」（環境僅構成機會與限制，行政仍有能動性）常被考生誤認為程度上的差異而非立場上的差異——本教科書明確採環境制約論，作答時應清楚表態並說明理由，而非模糊帶過。</w:t>
            </w:r>
          </w:p>
          <w:p>
            <w:pPr>
              <w:spacing w:after="0" w:line="320"/>
            </w:pPr>
            <w:r>
              <w:rPr>
                <w:rFonts w:ascii="微軟正黑體" w:cs="微軟正黑體" w:eastAsia="微軟正黑體" w:hAnsi="微軟正黑體"/>
                <w:sz w:val="21"/>
                <w:szCs w:val="21"/>
              </w:rPr>
              <w:t xml:space="preserve">•　CAG（比較行政群體）與SICA（國際比較研究委員會）常被考生誤認為同一組織之不同名稱——CAG是1963-1973年間存在之獨立專責群體，SICA是CAG於1973年併入之後續組織，兩者是「前身與後繼」關係而非同義詞。</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第二節　雷格斯稜柱模型與已開發／開發中國家行政文化對比</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Riggs早期受結構功能論影響，認為社會由農業社會（Agraria）向工業社會（Industria）轉型；因二分過於粗略，Riggs提出過渡型態的稜柱社會（Prismatic Society），主張任何社會可由經濟、社會、象徵、政治、行政五個功能面向衡量轉型程度。</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借用光學稜柱隱喻，Riggs提出社會轉型光譜三階段：鎔合型（Fused，結構功能高度重疊未分化，近似傳統社會）、稜柱型（Prismatic，傳統與現代結構並存交錯，多數開發中國家所處階段）、繞射型（Diffracted，結構高度分化、功能專化，近似現代工業社會）。</w:t>
      </w:r>
    </w:p>
    <w:p>
      <w:pPr>
        <w:pStyle w:val="ListParagraph"/>
        <w:numPr>
          <w:ilvl w:val="0"/>
          <w:numId w:val="2"/>
        </w:numPr>
        <w:spacing w:after="120" w:line="340"/>
      </w:pPr>
      <w:r>
        <w:rPr>
          <w:rFonts w:ascii="微軟正黑體" w:cs="微軟正黑體" w:eastAsia="微軟正黑體" w:hAnsi="微軟正黑體"/>
          <w:sz w:val="22"/>
          <w:szCs w:val="22"/>
        </w:rPr>
        <w:t xml:space="preserve">稜柱社會三大結構性病理：異質性（Heterogeneity，同一時空並存截然不同的制度與觀點，非等同貪腐）、重疊性（Overlapping，傳統與現代結構重疊致權責混淆）、形式主義（Formalism，法規理想與實際行為脫節，貪污僅為其可能後果之一，更多時候導致清談與無作為）；SALA模型（語源泰語sala「小亭」與西語sala「衙門」）指兼具官僚制外形與家族、派系、恩庇實質的稜柱社會行政機關；bazaar-canteen經濟隱喻描述行政補貼價格與市場價格雙軌運作。</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342"/>
        <w:gridCol w:w="2342"/>
        <w:gridCol w:w="2342"/>
      </w:tblGrid>
      <w:tr>
        <w:trPr>
          <w:tblHeader/>
        </w:trPr>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模型／面向</w:t>
            </w:r>
          </w:p>
        </w:tc>
        <w:tc>
          <w:tcPr>
            <w:tcW w:type="dxa" w:w="23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鎔合型（傳統）</w:t>
            </w:r>
          </w:p>
        </w:tc>
        <w:tc>
          <w:tcPr>
            <w:tcW w:type="dxa" w:w="23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稜柱型（過渡）</w:t>
            </w:r>
          </w:p>
        </w:tc>
        <w:tc>
          <w:tcPr>
            <w:tcW w:type="dxa" w:w="23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繞射型（現代）</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權力結構</w:t>
            </w:r>
          </w:p>
        </w:tc>
        <w:tc>
          <w:tcPr>
            <w:tcW w:type="dxa" w:w="23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歸屬主義、家族主義</w:t>
            </w:r>
          </w:p>
        </w:tc>
        <w:tc>
          <w:tcPr>
            <w:tcW w:type="dxa" w:w="23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重疊性，權責不清</w:t>
            </w:r>
          </w:p>
        </w:tc>
        <w:tc>
          <w:tcPr>
            <w:tcW w:type="dxa" w:w="23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成就主義、普遍主義</w:t>
            </w:r>
          </w:p>
        </w:tc>
      </w:tr>
      <w:tr>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規範行為</w:t>
            </w:r>
          </w:p>
        </w:tc>
        <w:tc>
          <w:tcPr>
            <w:tcW w:type="dxa" w:w="23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實然即應然</w:t>
            </w:r>
          </w:p>
        </w:tc>
        <w:tc>
          <w:tcPr>
            <w:tcW w:type="dxa" w:w="23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形式主義，理想與實然脫節</w:t>
            </w:r>
          </w:p>
        </w:tc>
        <w:tc>
          <w:tcPr>
            <w:tcW w:type="dxa" w:w="23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形式與實質一致</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行政特徵</w:t>
            </w:r>
          </w:p>
        </w:tc>
        <w:tc>
          <w:tcPr>
            <w:tcW w:type="dxa" w:w="23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行政政治經濟未分化</w:t>
            </w:r>
          </w:p>
        </w:tc>
        <w:tc>
          <w:tcPr>
            <w:tcW w:type="dxa" w:w="23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SALA（行政衙門化家族型）</w:t>
            </w:r>
          </w:p>
        </w:tc>
        <w:tc>
          <w:tcPr>
            <w:tcW w:type="dxa" w:w="23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高度分化、專業官僚制</w:t>
            </w:r>
          </w:p>
        </w:tc>
      </w:tr>
    </w:tbl>
    <w:p>
      <w:pPr>
        <w:spacing w:after="280" w:before="120"/>
        <w:jc w:val="center"/>
      </w:pPr>
      <w:r>
        <w:rPr>
          <w:rFonts w:ascii="微軟正黑體" w:cs="微軟正黑體" w:eastAsia="微軟正黑體" w:hAnsi="微軟正黑體"/>
          <w:i/>
          <w:iCs/>
          <w:color w:val="555555"/>
          <w:sz w:val="18"/>
          <w:szCs w:val="18"/>
        </w:rPr>
        <w:t xml:space="preserve">表7-C　Riggs三社會模型對照（節錄）</w:t>
      </w:r>
    </w:p>
    <w:p>
      <w:pPr>
        <w:spacing w:after="140" w:before="260"/>
      </w:pPr>
      <w:r>
        <w:rPr>
          <w:rFonts w:ascii="微軟正黑體" w:cs="微軟正黑體" w:eastAsia="微軟正黑體" w:hAnsi="微軟正黑體"/>
          <w:b/>
          <w:bCs/>
          <w:color w:val="2E5C8A"/>
          <w:sz w:val="23"/>
          <w:szCs w:val="23"/>
        </w:rPr>
        <w:t xml:space="preserve">四、核心命題</w:t>
      </w:r>
    </w:p>
    <w:p>
      <w:pPr>
        <w:pStyle w:val="ListParagraph"/>
        <w:numPr>
          <w:ilvl w:val="0"/>
          <w:numId w:val="2"/>
        </w:numPr>
        <w:spacing w:after="120" w:line="340"/>
      </w:pPr>
      <w:r>
        <w:rPr>
          <w:rFonts w:ascii="微軟正黑體" w:cs="微軟正黑體" w:eastAsia="微軟正黑體" w:hAnsi="微軟正黑體"/>
          <w:sz w:val="22"/>
          <w:szCs w:val="22"/>
        </w:rPr>
        <w:t xml:space="preserve">行政文化（administrative culture）指特定環境下人民與官僚對行政體系之認知、情感與評價所構成之價值信念與行為模式總和；Heady區分已開發（繞射型為主）與開發中／低度開發（稜柱型為主）兩型，兩者在文化價值、官僚專業、權力結構、控制取向、與環境關係、代表病理與改革動力等面向均呈系統性差異。</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稜柱模型三階段</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以光譜取代傳統/現代僵化二分，精確描述開發中國家過渡狀態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三大病理（異質性、重疊性、形式主義）之判準仍須依個案脈絡，避免簡化為「落後」標籤</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已開發/開發中文化對比</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系統性呈現行政文化在多重面向之差異，便於跨國比較與改革借鑑</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過度二分易忽略台灣此類「已開發中稜柱殘餘」混合型國家之特殊性</w:t>
            </w:r>
          </w:p>
        </w:tc>
      </w:tr>
    </w:tbl>
    <w:p>
      <w:pPr>
        <w:spacing w:after="280" w:before="120"/>
        <w:jc w:val="center"/>
      </w:pPr>
      <w:r>
        <w:rPr>
          <w:rFonts w:ascii="微軟正黑體" w:cs="微軟正黑體" w:eastAsia="微軟正黑體" w:hAnsi="微軟正黑體"/>
          <w:i/>
          <w:iCs/>
          <w:color w:val="555555"/>
          <w:sz w:val="18"/>
          <w:szCs w:val="18"/>
        </w:rPr>
        <w:t xml:space="preserve">表7-D　稜柱模型與行政文化對比之貢獻與限制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就台灣而言，行政文化整體以已開發特徵為主——功績用人、法治框架、專業分工大致完備，惟仍殘留派系、人情與部分形式主義等稜柱痕跡，較適切之定位是「已開發中的稜柱殘餘」混合型，而非簡單歸入任一極端。</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SALA模型對理解我國地方派系與人情文化研究，至今仍具啟發性；異質性（過渡期病理）與現代民主社會多元尊重之「多樣性」（diversity，正面資產）截然不同，考生應避免混為一談。</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①Riggs農業-工業二分及五面向轉型（經濟、社會、象徵、政治、行政）</w:t>
            </w:r>
          </w:p>
          <w:p>
            <w:pPr>
              <w:spacing w:after="80" w:line="320"/>
            </w:pPr>
            <w:r>
              <w:rPr>
                <w:rFonts w:ascii="微軟正黑體" w:cs="微軟正黑體" w:eastAsia="微軟正黑體" w:hAnsi="微軟正黑體"/>
                <w:sz w:val="21"/>
                <w:szCs w:val="21"/>
              </w:rPr>
              <w:t xml:space="preserve">•　②鎔合型、稜柱型、繞射型三社會模型</w:t>
            </w:r>
          </w:p>
          <w:p>
            <w:pPr>
              <w:spacing w:after="80" w:line="320"/>
            </w:pPr>
            <w:r>
              <w:rPr>
                <w:rFonts w:ascii="微軟正黑體" w:cs="微軟正黑體" w:eastAsia="微軟正黑體" w:hAnsi="微軟正黑體"/>
                <w:sz w:val="21"/>
                <w:szCs w:val="21"/>
              </w:rPr>
              <w:t xml:space="preserve">•　③稜柱社會三大病理：異質性／重疊性／形式主義</w:t>
            </w:r>
          </w:p>
          <w:p>
            <w:pPr>
              <w:spacing w:after="80" w:line="320"/>
            </w:pPr>
            <w:r>
              <w:rPr>
                <w:rFonts w:ascii="微軟正黑體" w:cs="微軟正黑體" w:eastAsia="微軟正黑體" w:hAnsi="微軟正黑體"/>
                <w:sz w:val="21"/>
                <w:szCs w:val="21"/>
              </w:rPr>
              <w:t xml:space="preserve">•　④SALA模型與bazaar-canteen經濟隱喻</w:t>
            </w:r>
          </w:p>
          <w:p>
            <w:pPr>
              <w:spacing w:after="0" w:line="320"/>
            </w:pPr>
            <w:r>
              <w:rPr>
                <w:rFonts w:ascii="微軟正黑體" w:cs="微軟正黑體" w:eastAsia="微軟正黑體" w:hAnsi="微軟正黑體"/>
                <w:sz w:val="21"/>
                <w:szCs w:val="21"/>
              </w:rPr>
              <w:t xml:space="preserve">•　⑤已開發（繞射型）vs. 開發中（稜柱型為主）行政文化與體制系統性差異</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三階段光譜記憶：鎔合（沒分開）→稜柱（正在分開，最混亂）→繞射（分開了）——如同白光穿過稜鏡的過程</w:t>
            </w:r>
          </w:p>
          <w:p>
            <w:pPr>
              <w:spacing w:after="80" w:line="320"/>
            </w:pPr>
            <w:r>
              <w:rPr>
                <w:rFonts w:ascii="微軟正黑體" w:cs="微軟正黑體" w:eastAsia="微軟正黑體" w:hAnsi="微軟正黑體"/>
                <w:sz w:val="21"/>
                <w:szCs w:val="21"/>
              </w:rPr>
              <w:t xml:space="preserve">•　三大病理口訣：異（質性，新舊並存）、重（疊性，權責不清）、形（式主義，說一套做一套）——「異重形」三字訣</w:t>
            </w:r>
          </w:p>
          <w:p>
            <w:pPr>
              <w:spacing w:after="0" w:line="320"/>
            </w:pPr>
            <w:r>
              <w:rPr>
                <w:rFonts w:ascii="微軟正黑體" w:cs="微軟正黑體" w:eastAsia="微軟正黑體" w:hAnsi="微軟正黑體"/>
                <w:sz w:val="21"/>
                <w:szCs w:val="21"/>
              </w:rPr>
              <w:t xml:space="preserve">•　台灣定位速記：「已開發中的稜柱殘餘」——不是純繞射型，也不是純稜柱型，是混合型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「形式主義」（規範與行為脫節，貪污只是可能後果之一）與「貪腐」常被考生直接畫上等號——這是國考題庫明確澄清之錯誤簡化，作答時應點出形式主義更常導致清談與無作為，而非必然導向貪污。</w:t>
            </w:r>
          </w:p>
          <w:p>
            <w:pPr>
              <w:spacing w:after="0" w:line="320"/>
            </w:pPr>
            <w:r>
              <w:rPr>
                <w:rFonts w:ascii="微軟正黑體" w:cs="微軟正黑體" w:eastAsia="微軟正黑體" w:hAnsi="微軟正黑體"/>
                <w:sz w:val="21"/>
                <w:szCs w:val="21"/>
              </w:rPr>
              <w:t xml:space="preserve">•　「異質性」（Heterogeneity，稜柱社會之過渡病理，新舊制度不調和並存）與「多樣性」（diversity，現代民主社會多元尊重之正面價值）常被考生混用——前者是負面的過渡現象，後者是正面的制度資產，性質相反，不可等同視之。</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第三節　全球化、行政革新與發展行政</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全球化指跨國界之人員、資本、資訊、技術與理念加速流動，使各地互賴加深的過程；在行政學上，全球化最核心的意涵並非單純國際化，而是「內外鑲嵌、治理尺度重組」——國內行政體系須直接處理原本屬於國際層次的議題，國際規範也直接內國化為行政運作的一部分。</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全球化四重詮釋（Held et al., 2020）：國際化（國與國互動密度增加）、自由化（拆除管制、邊界開放）、普同化（價值與制度趨同）、去領土化（社會關係超越地理疆界）。</w:t>
      </w:r>
    </w:p>
    <w:p>
      <w:pPr>
        <w:pStyle w:val="ListParagraph"/>
        <w:numPr>
          <w:ilvl w:val="0"/>
          <w:numId w:val="2"/>
        </w:numPr>
        <w:spacing w:after="120" w:line="340"/>
      </w:pPr>
      <w:r>
        <w:rPr>
          <w:rFonts w:ascii="微軟正黑體" w:cs="微軟正黑體" w:eastAsia="微軟正黑體" w:hAnsi="微軟正黑體"/>
          <w:sz w:val="22"/>
          <w:szCs w:val="22"/>
        </w:rPr>
        <w:t xml:space="preserve">全球化並未使國家消失，而是使國家轉型為「競爭型國家」與「調節型國家」：政府任務增加但直接生產減少，管制與協調功能相對提升，具體反映在任務邊界、行為者、工具、課責與能力需求五個面向之結構轉型；Robertson提出「全球在地化」（Glocalization）概念：全球壓力需經由在地脈絡轉譯才能落地，「全球化必然破壞在地文化」是過度決定論之錯誤敘述。</w:t>
      </w:r>
    </w:p>
    <w:p>
      <w:pPr>
        <w:pStyle w:val="ListParagraph"/>
        <w:numPr>
          <w:ilvl w:val="0"/>
          <w:numId w:val="2"/>
        </w:numPr>
        <w:spacing w:after="120" w:line="340"/>
      </w:pPr>
      <w:r>
        <w:rPr>
          <w:rFonts w:ascii="微軟正黑體" w:cs="微軟正黑體" w:eastAsia="微軟正黑體" w:hAnsi="微軟正黑體"/>
          <w:sz w:val="22"/>
          <w:szCs w:val="22"/>
        </w:rPr>
        <w:t xml:space="preserve">行政革新（Caiden, 1969/2022）是「人為運用權力與影響，刻意引導行政體系轉型的歷程」，動因包括財政緊迫、人民期待升高、科技創新、國際競爭與正當性危機；Weidner（1964）區分發展行政（Development Administration，為達成國家建構與社經發展目標而進行之行政作為，目標導向）與行政發展（Administrative Development，使行政體系自身具備執行發展任務能力之現代化過程，手段能力）——二者如雞生蛋、蛋生雞，缺一不可。</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理論／概念</w:t>
            </w:r>
          </w:p>
        </w:tc>
        <w:tc>
          <w:tcPr>
            <w:tcW w:type="dxa" w:w="6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核心內容</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Held et al.（2020）</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全球化四重詮釋：國際化／自由化／普同化／去領土化</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競爭型國家／調節型國家</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任務邊界、行為者、工具、課責、能力需求五面向之結構轉型</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Robertson</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全球在地化（Glocalization）：全球壓力須經在地脈絡轉譯</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Caiden（1969/2022）</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行政革新定義：刻意性、價值性與未來導向之行政轉型</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Weidner（1964）</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發展行政（目標導向）vs. 行政發展（手段能力）</w:t>
            </w:r>
          </w:p>
        </w:tc>
      </w:tr>
    </w:tbl>
    <w:p>
      <w:pPr>
        <w:spacing w:after="280" w:before="120"/>
        <w:jc w:val="center"/>
      </w:pPr>
      <w:r>
        <w:rPr>
          <w:rFonts w:ascii="微軟正黑體" w:cs="微軟正黑體" w:eastAsia="微軟正黑體" w:hAnsi="微軟正黑體"/>
          <w:i/>
          <w:iCs/>
          <w:color w:val="555555"/>
          <w:sz w:val="18"/>
          <w:szCs w:val="18"/>
        </w:rPr>
        <w:t xml:space="preserve">表7-E　全球化與行政革新理論主要學者</w:t>
      </w:r>
    </w:p>
    <w:p>
      <w:pPr>
        <w:spacing w:after="140" w:before="260"/>
      </w:pPr>
      <w:r>
        <w:rPr>
          <w:rFonts w:ascii="微軟正黑體" w:cs="微軟正黑體" w:eastAsia="微軟正黑體" w:hAnsi="微軟正黑體"/>
          <w:b/>
          <w:bCs/>
          <w:color w:val="2E5C8A"/>
          <w:sz w:val="23"/>
          <w:szCs w:val="23"/>
        </w:rPr>
        <w:t xml:space="preserve">四、核心命題</w:t>
      </w:r>
    </w:p>
    <w:p>
      <w:pPr>
        <w:pStyle w:val="ListParagraph"/>
        <w:numPr>
          <w:ilvl w:val="0"/>
          <w:numId w:val="2"/>
        </w:numPr>
        <w:spacing w:after="120" w:line="340"/>
      </w:pPr>
      <w:r>
        <w:rPr>
          <w:rFonts w:ascii="微軟正黑體" w:cs="微軟正黑體" w:eastAsia="微軟正黑體" w:hAnsi="微軟正黑體"/>
          <w:sz w:val="22"/>
          <w:szCs w:val="22"/>
        </w:rPr>
        <w:t xml:space="preserve">以台灣經驗為例，1960年代美援與經建會主導的進口替代與出口導向政策，即為發展行政之實踐；同期推行的人事、主計、企管現代化，則屬行政發展之具體展現——這正是發展行政與行政發展相輔相成、缺一不可之經典案例。當代革新可歸納三面向：結構革新（去任務化、地方化、行政法人化、委外化——我國2002年「四化」原則）、技術革新（電子化政府→數位政府→AI驅動政府，走向平台政府Gov-as-a-Platform）、價值革新（顧客導向NPM→公民導向NPS→公共價值PVM→協同韌性NPG）。</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競爭型／調節型國家轉型論</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精確描述全球化下國家角色由生產者轉為協調者之結構轉型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須避免過度簡化為「國家退場」，實則國家任務總量未必減少</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發展行政 vs. 行政發展</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釐清「目標」與「手段能力」兩條分析軸線，避免混為一談</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實務上兩者高度交織，個案分析仍須同時處理雙軸線</w:t>
            </w:r>
          </w:p>
        </w:tc>
      </w:tr>
    </w:tbl>
    <w:p>
      <w:pPr>
        <w:spacing w:after="280" w:before="120"/>
        <w:jc w:val="center"/>
      </w:pPr>
      <w:r>
        <w:rPr>
          <w:rFonts w:ascii="微軟正黑體" w:cs="微軟正黑體" w:eastAsia="微軟正黑體" w:hAnsi="微軟正黑體"/>
          <w:i/>
          <w:iCs/>
          <w:color w:val="555555"/>
          <w:sz w:val="18"/>
          <w:szCs w:val="18"/>
        </w:rPr>
        <w:t xml:space="preserve">表7-F　全球化與發展行政理論之貢獻與限制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當代革新之價值軸線——從NPM到NPS到PVM到NPG／韌性治理——正是連結本章行政環境與第四章公共價值、第六章行政倫理的重要橋梁，說明環境變遷如何驅動治理典範之演進。</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我國推行開放資料雖師法國際開放政府夥伴關係（OGP），但也加入宮廟資料、長照據點等在地需求，是「全球在地化」之具體實踐；108年為我國「地方創生元年」，即是發展行政（目標：地方社經發展）與行政發展（手段：地方治理能力建構）並重之當代案例，原住民地區之地方創生策略尤須同時考量在地文化脈絡與全球化下之產業競爭壓力。</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①全球化四重詮釋：國際化／自由化／普同化／去領土化</w:t>
            </w:r>
          </w:p>
          <w:p>
            <w:pPr>
              <w:spacing w:after="80" w:line="320"/>
            </w:pPr>
            <w:r>
              <w:rPr>
                <w:rFonts w:ascii="微軟正黑體" w:cs="微軟正黑體" w:eastAsia="微軟正黑體" w:hAnsi="微軟正黑體"/>
                <w:sz w:val="21"/>
                <w:szCs w:val="21"/>
              </w:rPr>
              <w:t xml:space="preserve">•　②競爭型國家與調節型國家：全球化對行政五大衝擊面向</w:t>
            </w:r>
          </w:p>
          <w:p>
            <w:pPr>
              <w:spacing w:after="80" w:line="320"/>
            </w:pPr>
            <w:r>
              <w:rPr>
                <w:rFonts w:ascii="微軟正黑體" w:cs="微軟正黑體" w:eastAsia="微軟正黑體" w:hAnsi="微軟正黑體"/>
                <w:sz w:val="21"/>
                <w:szCs w:val="21"/>
              </w:rPr>
              <w:t xml:space="preserve">•　③全球在地化（Glocalization）：全球化不等於同質化</w:t>
            </w:r>
          </w:p>
          <w:p>
            <w:pPr>
              <w:spacing w:after="80" w:line="320"/>
            </w:pPr>
            <w:r>
              <w:rPr>
                <w:rFonts w:ascii="微軟正黑體" w:cs="微軟正黑體" w:eastAsia="微軟正黑體" w:hAnsi="微軟正黑體"/>
                <w:sz w:val="21"/>
                <w:szCs w:val="21"/>
              </w:rPr>
              <w:t xml:space="preserve">•　④行政革新（Caiden）之定義與動因；革新與改革之區辨</w:t>
            </w:r>
          </w:p>
          <w:p>
            <w:pPr>
              <w:spacing w:after="80" w:line="320"/>
            </w:pPr>
            <w:r>
              <w:rPr>
                <w:rFonts w:ascii="微軟正黑體" w:cs="微軟正黑體" w:eastAsia="微軟正黑體" w:hAnsi="微軟正黑體"/>
                <w:sz w:val="21"/>
                <w:szCs w:val="21"/>
              </w:rPr>
              <w:t xml:space="preserve">•　⑤發展行政 vs. 行政發展（Weidner, 1964）</w:t>
            </w:r>
          </w:p>
          <w:p>
            <w:pPr>
              <w:spacing w:after="0" w:line="320"/>
            </w:pPr>
            <w:r>
              <w:rPr>
                <w:rFonts w:ascii="微軟正黑體" w:cs="微軟正黑體" w:eastAsia="微軟正黑體" w:hAnsi="微軟正黑體"/>
                <w:sz w:val="21"/>
                <w:szCs w:val="21"/>
              </w:rPr>
              <w:t xml:space="preserve">•　⑥當代革新三面向：結構革新／技術革新／價值革新</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全球化四重詮釋口訣：際（國際化）、由（自由化）、同（普同化）、越（去領土化）——「際由同越」四字訣</w:t>
            </w:r>
          </w:p>
          <w:p>
            <w:pPr>
              <w:spacing w:after="80" w:line="320"/>
            </w:pPr>
            <w:r>
              <w:rPr>
                <w:rFonts w:ascii="微軟正黑體" w:cs="微軟正黑體" w:eastAsia="微軟正黑體" w:hAnsi="微軟正黑體"/>
                <w:sz w:val="21"/>
                <w:szCs w:val="21"/>
              </w:rPr>
              <w:t xml:space="preserve">•　發展行政 vs. 行政發展記憶：發展行政做「目標」（要發展什麼），行政發展練「肌肉」（有沒有能力做）</w:t>
            </w:r>
          </w:p>
          <w:p>
            <w:pPr>
              <w:spacing w:after="0" w:line="320"/>
            </w:pPr>
            <w:r>
              <w:rPr>
                <w:rFonts w:ascii="微軟正黑體" w:cs="微軟正黑體" w:eastAsia="微軟正黑體" w:hAnsi="微軟正黑體"/>
                <w:sz w:val="21"/>
                <w:szCs w:val="21"/>
              </w:rPr>
              <w:t xml:space="preserve">•　當代革新三面向口訣：結構（怎麼分工）、技術（用什麼工具）、價值（追求什麼）——「結技值」三字訣</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「發展行政」（Development Administration，為發展目標而進行的行政作為，目標導向）與「行政發展」（Administrative Development，行政體系自身現代化的過程，手段能力導向）中文詞序恰好相反，是國考最經典的混淆陷阱之一，作答時應以英文原詞輔助區辨。</w:t>
            </w:r>
          </w:p>
          <w:p>
            <w:pPr>
              <w:spacing w:after="0" w:line="320"/>
            </w:pPr>
            <w:r>
              <w:rPr>
                <w:rFonts w:ascii="微軟正黑體" w:cs="微軟正黑體" w:eastAsia="微軟正黑體" w:hAnsi="微軟正黑體"/>
                <w:sz w:val="21"/>
                <w:szCs w:val="21"/>
              </w:rPr>
              <w:t xml:space="preserve">•　「全球化」（跨國界流動加深互賴）與「全球在地化」（Glocalization，全球壓力須經在地轉譯）常被考生誤認為全球化的兩個對立概念——實則全球在地化是全球化的「落地機制」而非反義詞，全球化本身即透過在地轉譯才能真正發生作用。</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第四節　AI鑲嵌下的第四環境與全球AI治理競合</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當資料、算力與模型本身成為一種環境，傳統行政生態學的分析架構是否仍然適用？本書主張數位環境（Digital Environment）是繼物理、社會、政治環境之後的第四環境，具三項特徵：非地域性與可複製性（資料模型可零邊際成本複製，但算力高度集中於少數平台）、代理性（Agency，AI具半自主決策能力，形成「人工裁量」與「街頭演算法」）、基礎設施化（資料雲端與模型逐漸成為如水電一般的公共基礎設施）。</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第四環境根植於半世紀的資訊社會理論脈絡：貝爾（1973）後工業社會理論（知識資訊取代資本勞動）→增田米二資訊社會理論→卡斯提爾（1996）網絡社會理論（權力從科層節點轉移至網絡節點）→帕斯奎爾（2015）黑箱社會理論→范迪克等人（2018）平台社會理論→祖博夫（2019）監控資本主義理論→克勞馥（2021）行星成本理論→瓦魯法克斯（2023）技術封建主義理論（平台巨頭收取「雲端租金」）。</w:t>
      </w:r>
    </w:p>
    <w:p>
      <w:pPr>
        <w:pStyle w:val="ListParagraph"/>
        <w:numPr>
          <w:ilvl w:val="0"/>
          <w:numId w:val="2"/>
        </w:numPr>
        <w:spacing w:after="120" w:line="340"/>
      </w:pPr>
      <w:r>
        <w:rPr>
          <w:rFonts w:ascii="微軟正黑體" w:cs="微軟正黑體" w:eastAsia="微軟正黑體" w:hAnsi="微軟正黑體"/>
          <w:sz w:val="22"/>
          <w:szCs w:val="22"/>
        </w:rPr>
        <w:t xml:space="preserve">2022-2026年生成式AI浪潮分裂為三條競合軌跡：演算法資本主義／技術封建主義軌跡（平台獨佔資料算力收租）、規制型數位國家軌跡（以EU DSA/DMA強制規制馴服平台權力）、科技集團化軌跡（晶片資料管制沿地緣政治斷層線分裂）——台灣同時鑲嵌於三軌交會點：作為半導體供應鏈關鍵節點承受科技集團化壓力，政策選擇又貼近規制型數位國家與公民共創路徑。</w:t>
      </w:r>
    </w:p>
    <w:p>
      <w:pPr>
        <w:pStyle w:val="ListParagraph"/>
        <w:numPr>
          <w:ilvl w:val="0"/>
          <w:numId w:val="2"/>
        </w:numPr>
        <w:spacing w:after="120" w:line="340"/>
      </w:pPr>
      <w:r>
        <w:rPr>
          <w:rFonts w:ascii="微軟正黑體" w:cs="微軟正黑體" w:eastAsia="微軟正黑體" w:hAnsi="微軟正黑體"/>
          <w:sz w:val="22"/>
          <w:szCs w:val="22"/>
        </w:rPr>
        <w:t xml:space="preserve">資料作為戰略資源：Ostrom（1990）八項共有財治理原則可轉譯為資料治理制度設計；2023-2024年國際共識轉向「可信賴資料共享」（去識別化、目的限制、公民授權），而非無限制共享。</w:t>
      </w:r>
    </w:p>
    <w:p>
      <w:pPr>
        <w:pStyle w:val="ListParagraph"/>
        <w:numPr>
          <w:ilvl w:val="0"/>
          <w:numId w:val="2"/>
        </w:numPr>
        <w:spacing w:after="120" w:line="340"/>
      </w:pPr>
      <w:r>
        <w:rPr>
          <w:rFonts w:ascii="微軟正黑體" w:cs="微軟正黑體" w:eastAsia="微軟正黑體" w:hAnsi="微軟正黑體"/>
          <w:sz w:val="22"/>
          <w:szCs w:val="22"/>
        </w:rPr>
        <w:t xml:space="preserve">後COVID-19韌性行政五特徵（Ansell et al. 2021; OECD 2023; Deloitte 2024）：不預設解方（漸進試驗、滾動學習）、內聚外開（跨域整合、納入企業與公民社會）、實驗容錯（容許失敗之實驗型政府）、資料戰略（打破孤島兼顧隱私）、貼近公民（近用性、推力而非禁罰）。</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2600"/>
        <w:gridCol w:w="3826"/>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模式／架構</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核心邏輯</w:t>
            </w:r>
          </w:p>
        </w:tc>
        <w:tc>
          <w:tcPr>
            <w:tcW w:type="dxa" w:w="3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代表／關鍵文件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市場驅動模式（美國）</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創新優先、分散式自律、事後究責</w:t>
            </w:r>
          </w:p>
        </w:tc>
        <w:tc>
          <w:tcPr>
            <w:tcW w:type="dxa" w:w="3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NIST AI RMF（2023）、行政命令14110</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權利／風險導向模式（歐盟）</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以基本權利為基礎，風險四級分類</w:t>
            </w:r>
          </w:p>
        </w:tc>
        <w:tc>
          <w:tcPr>
            <w:tcW w:type="dxa" w:w="3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EU AI Act（2024通過）</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國家安全導向模式</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國家安全與社會穩定優先</w:t>
            </w:r>
          </w:p>
        </w:tc>
        <w:tc>
          <w:tcPr>
            <w:tcW w:type="dxa" w:w="3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生成式AI服務管理暫行辦法等</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公民共創／小國靈活模式（台灣、英國、新加坡）</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小國敏捷、公民參與、監理沙盒</w:t>
            </w:r>
          </w:p>
        </w:tc>
        <w:tc>
          <w:tcPr>
            <w:tcW w:type="dxa" w:w="3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我國AI基本法草案；英國布萊切利峰會；新加坡框架</w:t>
            </w:r>
          </w:p>
        </w:tc>
      </w:tr>
    </w:tbl>
    <w:p>
      <w:pPr>
        <w:spacing w:after="280" w:before="120"/>
        <w:jc w:val="center"/>
      </w:pPr>
      <w:r>
        <w:rPr>
          <w:rFonts w:ascii="微軟正黑體" w:cs="微軟正黑體" w:eastAsia="微軟正黑體" w:hAnsi="微軟正黑體"/>
          <w:i/>
          <w:iCs/>
          <w:color w:val="555555"/>
          <w:sz w:val="18"/>
          <w:szCs w:val="18"/>
        </w:rPr>
        <w:t xml:space="preserve">表7-G　2023-2024比較AI治理四模式</w:t>
      </w:r>
    </w:p>
    <w:p>
      <w:pPr>
        <w:spacing w:after="140" w:before="260"/>
      </w:pPr>
      <w:r>
        <w:rPr>
          <w:rFonts w:ascii="微軟正黑體" w:cs="微軟正黑體" w:eastAsia="微軟正黑體" w:hAnsi="微軟正黑體"/>
          <w:b/>
          <w:bCs/>
          <w:color w:val="2E5C8A"/>
          <w:sz w:val="23"/>
          <w:szCs w:val="23"/>
        </w:rPr>
        <w:t xml:space="preserve">四、核心命題</w:t>
      </w:r>
    </w:p>
    <w:p>
      <w:pPr>
        <w:pStyle w:val="ListParagraph"/>
        <w:numPr>
          <w:ilvl w:val="0"/>
          <w:numId w:val="2"/>
        </w:numPr>
        <w:spacing w:after="120" w:line="340"/>
      </w:pPr>
      <w:r>
        <w:rPr>
          <w:rFonts w:ascii="微軟正黑體" w:cs="微軟正黑體" w:eastAsia="微軟正黑體" w:hAnsi="微軟正黑體"/>
          <w:sz w:val="22"/>
          <w:szCs w:val="22"/>
        </w:rPr>
        <w:t xml:space="preserve">三種權力移轉：情境建構權（P1，訓練資料標註與提示模板預設類別預先框定何謂治理議題）、行政裁量權（P2，街頭演算法承擔第一輪裁量，並受制於平台商業條件）、公權力影響力（P3，晶片與雲端供應商透過基礎設施掌控實質參與治理環境定義權）；三種結構性效應：跨格移動、邊界消解、權威重構——AI治理並非去政治化，而是政治的再媒介，訓練資料、目標函數與風險容忍度皆是政治價值選擇之產物。</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第四環境理論</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承認資料與演算法已具備獨立形塑行政運作之結構性力量，補足PESTEL之空缺</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第四環境本身仍在被全球治理競合積極形塑之中，尚無定論性理論框架</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韌性行政五特徵</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系統性回應COVID-19後複合危機治理需求，兼顧速度與學習能力</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「實驗容錯」與傳統究責文化之間仍存張力，制度化程度因國家而異</w:t>
            </w:r>
          </w:p>
        </w:tc>
      </w:tr>
    </w:tbl>
    <w:p>
      <w:pPr>
        <w:spacing w:after="280" w:before="120"/>
        <w:jc w:val="center"/>
      </w:pPr>
      <w:r>
        <w:rPr>
          <w:rFonts w:ascii="微軟正黑體" w:cs="微軟正黑體" w:eastAsia="微軟正黑體" w:hAnsi="微軟正黑體"/>
          <w:i/>
          <w:iCs/>
          <w:color w:val="555555"/>
          <w:sz w:val="18"/>
          <w:szCs w:val="18"/>
        </w:rPr>
        <w:t xml:space="preserve">表7-H　第四環境與韌性行政理論之貢獻與限制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治理新議題包括：AI與行政裁量稀釋（自動化偏誤，需人在迴路與可解釋性XAI對抗）、資料與算力不平等（主權雲、可攜式模型以避免平台俘虜）、公共價值失靈的AI版（Bozeman 2023；偏見歧視、黑箱不透明、可追溯性缺失、公民無法有效爭訟）、永續與韌性（綠色算力、資安韌性，連結SDG 9與SDG 13）。</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我國數位發展部持續推動AI基本法草案與AI行動方案2.0，設立AI評測中心進行風險評估，並推動TAIDE（可信賴AI對話引擎）與主權雲規劃，降低對外國雲端業者之結構性依賴；整體而言，我國政府AI治理已具備部分制度雛形，但距離資料主權、算力主權與模型主權三者兼備之完整第四環境治理能力，仍有相當距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①第四環境（數位環境）三項特徵：非地域性與可複製性／代理性／基礎設施化</w:t>
            </w:r>
          </w:p>
          <w:p>
            <w:pPr>
              <w:spacing w:after="80" w:line="320"/>
            </w:pPr>
            <w:r>
              <w:rPr>
                <w:rFonts w:ascii="微軟正黑體" w:cs="微軟正黑體" w:eastAsia="微軟正黑體" w:hAnsi="微軟正黑體"/>
                <w:sz w:val="21"/>
                <w:szCs w:val="21"/>
              </w:rPr>
              <w:t xml:space="preserve">•　②資訊社會理論脈絡：貝爾後工業社會→卡斯提爾網絡社會→祖博夫監控資本主義→瓦魯法克斯技術封建主義</w:t>
            </w:r>
          </w:p>
          <w:p>
            <w:pPr>
              <w:spacing w:after="80" w:line="320"/>
            </w:pPr>
            <w:r>
              <w:rPr>
                <w:rFonts w:ascii="微軟正黑體" w:cs="微軟正黑體" w:eastAsia="微軟正黑體" w:hAnsi="微軟正黑體"/>
                <w:sz w:val="21"/>
                <w:szCs w:val="21"/>
              </w:rPr>
              <w:t xml:space="preserve">•　③生成式AI社會三條競合軌跡：演算法資本主義／規制型數位國家／科技集團化</w:t>
            </w:r>
          </w:p>
          <w:p>
            <w:pPr>
              <w:spacing w:after="80" w:line="320"/>
            </w:pPr>
            <w:r>
              <w:rPr>
                <w:rFonts w:ascii="微軟正黑體" w:cs="微軟正黑體" w:eastAsia="微軟正黑體" w:hAnsi="微軟正黑體"/>
                <w:sz w:val="21"/>
                <w:szCs w:val="21"/>
              </w:rPr>
              <w:t xml:space="preserve">•　④資料作為戰略資源：Ostrom八項共有財治理原則之資料治理轉譯；可信賴資料共享</w:t>
            </w:r>
          </w:p>
          <w:p>
            <w:pPr>
              <w:spacing w:after="80" w:line="320"/>
            </w:pPr>
            <w:r>
              <w:rPr>
                <w:rFonts w:ascii="微軟正黑體" w:cs="微軟正黑體" w:eastAsia="微軟正黑體" w:hAnsi="微軟正黑體"/>
                <w:sz w:val="21"/>
                <w:szCs w:val="21"/>
              </w:rPr>
              <w:t xml:space="preserve">•　⑤後COVID-19韌性行政五特徵：不預設解方／內聚外開／實驗容錯／資料戰略／貼近公民</w:t>
            </w:r>
          </w:p>
          <w:p>
            <w:pPr>
              <w:spacing w:after="0" w:line="320"/>
            </w:pPr>
            <w:r>
              <w:rPr>
                <w:rFonts w:ascii="微軟正黑體" w:cs="微軟正黑體" w:eastAsia="微軟正黑體" w:hAnsi="微軟正黑體"/>
                <w:sz w:val="21"/>
                <w:szCs w:val="21"/>
              </w:rPr>
              <w:t xml:space="preserve">•　⑥2023-2024全球AI治理四模式：市場驅動／權利風險導向／國家安全導向／公民共創小國靈活</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第四環境三特徵口訣：複（製性）、代（理性）、基（礎設施化）——「複代基」三字訣</w:t>
            </w:r>
          </w:p>
          <w:p>
            <w:pPr>
              <w:spacing w:after="80" w:line="320"/>
            </w:pPr>
            <w:r>
              <w:rPr>
                <w:rFonts w:ascii="微軟正黑體" w:cs="微軟正黑體" w:eastAsia="微軟正黑體" w:hAnsi="微軟正黑體"/>
                <w:sz w:val="21"/>
                <w:szCs w:val="21"/>
              </w:rPr>
              <w:t xml:space="preserve">•　韌性五特徵口訣：不（預設解方）、內（聚外開）、實（驗容錯）、資（料戰略）、貼（近公民）——「不內實資貼」五字訣</w:t>
            </w:r>
          </w:p>
          <w:p>
            <w:pPr>
              <w:spacing w:after="0" w:line="320"/>
            </w:pPr>
            <w:r>
              <w:rPr>
                <w:rFonts w:ascii="微軟正黑體" w:cs="微軟正黑體" w:eastAsia="微軟正黑體" w:hAnsi="微軟正黑體"/>
                <w:sz w:val="21"/>
                <w:szCs w:val="21"/>
              </w:rPr>
              <w:t xml:space="preserve">•　AI治理四模式記憶：美國要快（市場驅動）、歐盟要嚴（權利風險）、威權要穩（國家安全）、台灣要靈活（公民共創）</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監控資本主義」（祖博夫，2019：行為資料被商品化為預測性產品）與「技術封建主義」（瓦魯法克斯，2023：平台收取近似地租的雲端租金）常被考生視為同一理論之不同名稱——前者聚焦「資料商品化」的市場邏輯，後者聚焦「基礎設施獨佔」的地租邏輯，是資訊社會理論脈絡中先後提出、批判角度不同的兩個理論。</w:t>
            </w:r>
          </w:p>
          <w:p>
            <w:pPr>
              <w:spacing w:after="0" w:line="320"/>
            </w:pPr>
            <w:r>
              <w:rPr>
                <w:rFonts w:ascii="微軟正黑體" w:cs="微軟正黑體" w:eastAsia="微軟正黑體" w:hAnsi="微軟正黑體"/>
                <w:sz w:val="21"/>
                <w:szCs w:val="21"/>
              </w:rPr>
              <w:t xml:space="preserve">•　「主權雲」（Sovereign Cloud，降低對外國雲端業者依賴之基礎設施策略）與「資料主權」（國家對境內資料之管轄與治理權）常被考生混用——主權雲是達成資料主權（乃至算力主權、模型主權）的其中一項技術手段，並非同義詞，答題時應說明三種「主權」（資料、算力、模型）須同時兼備方為完整之第四環境治理能力。</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以下依A級基本題、B級比較題、C級綜合題三種難度，示範「題型判斷→關鍵字→答題架構→參考答案→得分關鍵→常見失分」之完整解題流程。三題均附基本得分版、標準版、高分版三種參考答案。</w:t>
      </w:r>
    </w:p>
    <w:p>
      <w:pPr>
        <w:spacing w:after="180" w:before="360"/>
      </w:pPr>
      <w:r>
        <w:rPr>
          <w:rFonts w:ascii="微軟正黑體" w:cs="微軟正黑體" w:eastAsia="微軟正黑體" w:hAnsi="微軟正黑體"/>
          <w:b/>
          <w:bCs/>
          <w:color w:val="1F4E79"/>
          <w:sz w:val="26"/>
          <w:szCs w:val="26"/>
        </w:rPr>
        <w:t xml:space="preserve">題目一（A級基本題）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111年公務人員特種考試原住民族考試三等考試（一般行政），行政學，申論題第二題（25分）——完全符合一般行政類科、三等（相當高考三級）目標等別。</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「政府訂108年為臺灣地方創生元年，試說明地方創生的意義，並以原住民地區為例，舉一個地方創生的領域，討論其具體推動策略。（25分）」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說明＋政策應用題」，考生須先說明地方創生之意義（可扣連本章發展行政vs.行政發展、全球在地化等理論架構），再以原住民地區為例，舉一具體領域討論推動策略——單純描述地方創生政策內容而未扣連學理架構，屬於見樹不見林。</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地方創生 ＋ 發展行政 vs. 行政發展 ＋ 全球在地化 ＋ 原住民地區政策應用。</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一、前言：地方創生之政策背景與意義</w:t>
      </w:r>
    </w:p>
    <w:p>
      <w:pPr>
        <w:pStyle w:val="ListParagraph"/>
        <w:numPr>
          <w:ilvl w:val="0"/>
          <w:numId w:val="2"/>
        </w:numPr>
        <w:spacing w:after="120" w:line="340"/>
      </w:pPr>
      <w:r>
        <w:rPr>
          <w:rFonts w:ascii="微軟正黑體" w:cs="微軟正黑體" w:eastAsia="微軟正黑體" w:hAnsi="微軟正黑體"/>
          <w:sz w:val="22"/>
          <w:szCs w:val="22"/>
        </w:rPr>
        <w:t xml:space="preserve">二、以發展行政與行政發展架構理解地方創生之雙重意涵</w:t>
      </w:r>
    </w:p>
    <w:p>
      <w:pPr>
        <w:pStyle w:val="ListParagraph"/>
        <w:numPr>
          <w:ilvl w:val="0"/>
          <w:numId w:val="2"/>
        </w:numPr>
        <w:spacing w:after="120" w:line="340"/>
      </w:pPr>
      <w:r>
        <w:rPr>
          <w:rFonts w:ascii="微軟正黑體" w:cs="微軟正黑體" w:eastAsia="微軟正黑體" w:hAnsi="微軟正黑體"/>
          <w:sz w:val="22"/>
          <w:szCs w:val="22"/>
        </w:rPr>
        <w:t xml:space="preserve">三、以原住民地區為例，選定一個領域討論具體推動策略</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地方創生（Regional Revitalization）是政府為因應人口過度集中都會區、地方人口流失與高齡化，於108年（2019年）訂為「地方創生元年」所推動之政策，核心意義在於透過挖掘地方特色產業與人文資源，創造在地就業機會，達成「均衡台灣」之目標，可視為Weidner（1964）「發展行政」（為達成國家建構與社經發展目標而進行之行政作為）概念在當代台灣之具體實踐。</w:t>
      </w:r>
    </w:p>
    <w:p>
      <w:pPr>
        <w:spacing w:after="200" w:line="360"/>
        <w:ind w:firstLine="431"/>
        <w:jc w:val="both"/>
      </w:pPr>
      <w:r>
        <w:rPr>
          <w:rFonts w:ascii="微軟正黑體" w:cs="微軟正黑體" w:eastAsia="微軟正黑體" w:hAnsi="微軟正黑體"/>
          <w:sz w:val="22"/>
          <w:szCs w:val="22"/>
        </w:rPr>
        <w:t xml:space="preserve">以原住民地區為例，可選定「文化觀光與部落經濟」作為地方創生領域：具體推動策略包括建立部落特色產業品牌（如小米、藜麥等原鄉作物加值）、發展生態與文化體驗觀光、結合青年返鄉創業輔導與微型貸款、強化部落與都會消費市場之產銷通路連結。</w:t>
      </w:r>
    </w:p>
    <w:p>
      <w:pPr>
        <w:spacing w:after="200" w:line="360"/>
        <w:ind w:firstLine="431"/>
        <w:jc w:val="both"/>
      </w:pPr>
      <w:r>
        <w:rPr>
          <w:rFonts w:ascii="微軟正黑體" w:cs="微軟正黑體" w:eastAsia="微軟正黑體" w:hAnsi="微軟正黑體"/>
          <w:sz w:val="22"/>
          <w:szCs w:val="22"/>
        </w:rPr>
        <w:t xml:space="preserve">推動此類策略，除發展行政（設定地方創生目標）外，亦須同時進行行政發展（強化地方公所、原民會等執行機關之治理能力），並注意全球在地化——師法國際地方創生經驗，同時尊重原住民族在地文化脈絡，方能使地方創生政策真正落地生根。</w:t>
      </w:r>
    </w:p>
    <w:p>
      <w:pPr>
        <w:spacing w:after="100" w:before="160"/>
      </w:pPr>
      <w:r>
        <w:rPr>
          <w:rFonts w:ascii="微軟正黑體" w:cs="微軟正黑體" w:eastAsia="微軟正黑體" w:hAnsi="微軟正黑體"/>
          <w:b/>
          <w:bCs/>
          <w:color w:val="444444"/>
          <w:sz w:val="21"/>
          <w:szCs w:val="21"/>
        </w:rPr>
        <w:t xml:space="preserve">【參考答案·標準版】（約1,000-1,500字，主要示範答案）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台灣自1990年代以來面臨人口過度集中六都、非都會地區人口流失與高齡少子化之結構性挑戰，政府借鏡日本「地方創生」經驗，於108年（2019年）訂為我國「地方創生元年」，推動地方創生政策，透過挖掘地方特色產業、文化與人文資源，創造在地就業機會與人口回流誘因，達成區域均衡發展之目標。</w:t>
      </w:r>
    </w:p>
    <w:p>
      <w:pPr>
        <w:spacing w:after="200" w:line="360"/>
        <w:ind w:firstLine="431"/>
        <w:jc w:val="both"/>
      </w:pPr>
      <w:r>
        <w:rPr>
          <w:rFonts w:ascii="微軟正黑體" w:cs="微軟正黑體" w:eastAsia="微軟正黑體" w:hAnsi="微軟正黑體"/>
          <w:sz w:val="22"/>
          <w:szCs w:val="22"/>
        </w:rPr>
        <w:t xml:space="preserve">二、發展行政與行政發展之雙重意涵</w:t>
      </w:r>
    </w:p>
    <w:p>
      <w:pPr>
        <w:spacing w:after="200" w:line="360"/>
        <w:ind w:firstLine="431"/>
        <w:jc w:val="both"/>
      </w:pPr>
      <w:r>
        <w:rPr>
          <w:rFonts w:ascii="微軟正黑體" w:cs="微軟正黑體" w:eastAsia="微軟正黑體" w:hAnsi="微軟正黑體"/>
          <w:sz w:val="22"/>
          <w:szCs w:val="22"/>
        </w:rPr>
        <w:t xml:space="preserve">依Weidner（1964）之區分，地方創生政策同時涉及發展行政與行政發展兩個面向：就發展行政而言，地方創生以「創造在地就業、促進區域均衡發展」為明確之社經發展目標，是目標導向之行政作為；就行政發展而言，地方創生之落實，仰賴地方公所、原住民族委員會、國家發展委員會等執行機關具備跨域整合、資源媒合與長期陪伴輔導之治理能力，是使行政體系自身具備執行發展任務能力之現代化過程。二者相輔相成，缺一不可——若僅有政策目標而無執行能力，地方創生將淪為口號；若僅強化行政能力而無明確發展目標，亦將失去政策方向。</w:t>
      </w:r>
    </w:p>
    <w:p>
      <w:pPr>
        <w:spacing w:after="200" w:line="360"/>
        <w:ind w:firstLine="431"/>
        <w:jc w:val="both"/>
      </w:pPr>
      <w:r>
        <w:rPr>
          <w:rFonts w:ascii="微軟正黑體" w:cs="微軟正黑體" w:eastAsia="微軟正黑體" w:hAnsi="微軟正黑體"/>
          <w:sz w:val="22"/>
          <w:szCs w:val="22"/>
        </w:rPr>
        <w:t xml:space="preserve">三、原住民地區地方創生領域與具體推動策略</w:t>
      </w:r>
    </w:p>
    <w:p>
      <w:pPr>
        <w:spacing w:after="200" w:line="360"/>
        <w:ind w:firstLine="431"/>
        <w:jc w:val="both"/>
      </w:pPr>
      <w:r>
        <w:rPr>
          <w:rFonts w:ascii="微軟正黑體" w:cs="微軟正黑體" w:eastAsia="微軟正黑體" w:hAnsi="微軟正黑體"/>
          <w:sz w:val="22"/>
          <w:szCs w:val="22"/>
        </w:rPr>
        <w:t xml:space="preserve">以原住民地區為例，可選定「部落文化觀光與在地產業加值」作為地方創生領域，具體推動策略包括：其一，建立部落特色產業品牌，結合原鄉小米、紅藜、咖啡等特色作物，發展從生產、加工到行銷之完整加值鏈；其二，發展深度文化體驗觀光，結合部落祭儀、傳統工藝與生態導覽，避免淺碟式觀光對文化之商品化與扭曲；其三，強化青年返鄉創業誘因，透過微型創業貸款、電商平台輔導與國家發展委員會之地方創生基金，降低青年返鄉之經濟門檻；其四，建立部落與都會消費市場之產銷通路連結，運用數位行銷與物流體系，突破地理區位之市場限制。</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地方創生政策之推動，須同時掌握發展行政（明確之社經發展目標）與行政發展（執行機關之治理能力）兩條軸線，並秉持全球在地化之精神——參考國際經驗但立基於在地文化脈絡；以原住民地區而言，唯有讓部落自身成為文化詮釋與產業發展之主體，而非被動接受外部規劃，地方創生方能真正達成區域均衡發展與文化永續之雙重目標。</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補充學者對比：可引入Robertson「全球在地化」（Glocalization）概念，說明地方創生政策雖借鏡日本經驗，卻須經由台灣原住民族在地脈絡轉譯，方能避免「全球化即同質化」之過度決定論錯誤。</w:t>
      </w:r>
    </w:p>
    <w:p>
      <w:pPr>
        <w:pStyle w:val="ListParagraph"/>
        <w:numPr>
          <w:ilvl w:val="0"/>
          <w:numId w:val="2"/>
        </w:numPr>
        <w:spacing w:after="120" w:line="340"/>
      </w:pPr>
      <w:r>
        <w:rPr>
          <w:rFonts w:ascii="微軟正黑體" w:cs="微軟正黑體" w:eastAsia="微軟正黑體" w:hAnsi="微軟正黑體"/>
          <w:sz w:val="22"/>
          <w:szCs w:val="22"/>
        </w:rPr>
        <w:t xml:space="preserve">補充當代批判深化：可指出地方創生政策若僅停留於「結構革新」（成立地方創生會報、專案辦公室）而未同步進行「價值革新」（從政府主導之顧客導向轉為部落主體性之公民導向），恐使原住民族淪為政策客體而非參與主體，呼應本章當代革新三面向（結構、技術、價值）須同步推進之核心命題。</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具體指出，資料戰略（本章第四節韌性行政五特徵之一）可應用於原住民地區地方創生——例如運用觀光人流、交易與物流資料，即時掌握部落產業經營成效，同時須兼顧原住民族傳統知識與文化資料之主權與隱私保護，避免陷入「資料殖民」之風險。</w:t>
      </w:r>
    </w:p>
    <w:p>
      <w:pPr>
        <w:pStyle w:val="ListParagraph"/>
        <w:numPr>
          <w:ilvl w:val="0"/>
          <w:numId w:val="2"/>
        </w:numPr>
        <w:spacing w:after="120" w:line="340"/>
      </w:pPr>
      <w:r>
        <w:rPr>
          <w:rFonts w:ascii="微軟正黑體" w:cs="微軟正黑體" w:eastAsia="微軟正黑體" w:hAnsi="微軟正黑體"/>
          <w:sz w:val="22"/>
          <w:szCs w:val="22"/>
        </w:rPr>
        <w:t xml:space="preserve">補充臺灣行政實務：可具體點名國家發展委員會「地方創生會報」與「地方創生基金」之制度設計，以及原住民族委員會近年推動之部落青年創業輔導計畫，作為發展行政與行政發展並重之具體案例。</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須明確扣連發展行政與行政發展之區分架構，說明地方創生政策同時涉及「目標」與「能力」兩個面向，不可僅描述政策內容而無學理架構。</w:t>
      </w:r>
    </w:p>
    <w:p>
      <w:pPr>
        <w:pStyle w:val="ListParagraph"/>
        <w:numPr>
          <w:ilvl w:val="0"/>
          <w:numId w:val="2"/>
        </w:numPr>
        <w:spacing w:after="120" w:line="340"/>
      </w:pPr>
      <w:r>
        <w:rPr>
          <w:rFonts w:ascii="微軟正黑體" w:cs="微軟正黑體" w:eastAsia="微軟正黑體" w:hAnsi="微軟正黑體"/>
          <w:sz w:val="22"/>
          <w:szCs w:val="22"/>
        </w:rPr>
        <w:t xml:space="preserve">原住民地區之具體推動策略須具體可行（品牌建立、文化觀光、青年創業、通路連結），不可流於空泛口號。</w:t>
      </w:r>
    </w:p>
    <w:p>
      <w:pPr>
        <w:pStyle w:val="ListParagraph"/>
        <w:numPr>
          <w:ilvl w:val="0"/>
          <w:numId w:val="2"/>
        </w:numPr>
        <w:spacing w:after="120" w:line="340"/>
      </w:pPr>
      <w:r>
        <w:rPr>
          <w:rFonts w:ascii="微軟正黑體" w:cs="微軟正黑體" w:eastAsia="微軟正黑體" w:hAnsi="微軟正黑體"/>
          <w:sz w:val="22"/>
          <w:szCs w:val="22"/>
        </w:rPr>
        <w:t xml:space="preserve">若能扣連全球在地化概念，說明地方創生須兼顧國際經驗與在地文化主體性，可展現理論深度，是本題拉開分數差距之關鍵。</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只描述地方創生政策之一般性內容，未扣連發展行政vs.行政發展或任何本章學理架構。</w:t>
      </w:r>
    </w:p>
    <w:p>
      <w:pPr>
        <w:pStyle w:val="ListParagraph"/>
        <w:numPr>
          <w:ilvl w:val="0"/>
          <w:numId w:val="2"/>
        </w:numPr>
        <w:spacing w:after="120" w:line="340"/>
      </w:pPr>
      <w:r>
        <w:rPr>
          <w:rFonts w:ascii="微軟正黑體" w:cs="微軟正黑體" w:eastAsia="微軟正黑體" w:hAnsi="微軟正黑體"/>
          <w:sz w:val="22"/>
          <w:szCs w:val="22"/>
        </w:rPr>
        <w:t xml:space="preserve">❌ 「以原住民地區為例」流於形式帶過，未具體選定一個領域並展開具體推動策略。</w:t>
      </w:r>
    </w:p>
    <w:p>
      <w:pPr>
        <w:pStyle w:val="ListParagraph"/>
        <w:numPr>
          <w:ilvl w:val="0"/>
          <w:numId w:val="2"/>
        </w:numPr>
        <w:spacing w:after="120" w:line="340"/>
      </w:pPr>
      <w:r>
        <w:rPr>
          <w:rFonts w:ascii="微軟正黑體" w:cs="微軟正黑體" w:eastAsia="微軟正黑體" w:hAnsi="微軟正黑體"/>
          <w:sz w:val="22"/>
          <w:szCs w:val="22"/>
        </w:rPr>
        <w:t xml:space="preserve">❌ 通篇未提及地方創生與全球化、在地化之關係，論述停留於單一政策描述層次。</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母體教材「Riggs稜柱模型」自行設計之模擬命題。本語料庫（107-111年）中，本章可完全對應一般行政類科且內容直接相關之真題僅查得1題（即題目一）；另有一題（107年地方特考三等「府際協議機制」）雖與本章環境主題有廣義關聯，惟其核心內容實質對應第九章「治理典範」之府際與網絡治理理論，已改列該章真題。故依本書體例補充1題經典理論模擬題，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運用雷格斯（Riggs）稜柱模型中之三大結構性病理（異質性、重疊性、形式主義），分析開發中國家推動行政革新時可能面臨的制度性障礙？並說明我國在行政現代化過程中，是否仍存在稜柱社會之殘餘特徵？」</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理論應用＋本土反思題」，考生須先逐一說明三大病理之意涵，再運用其分析行政革新之制度性障礙，最後扣回台灣本土脈絡進行反思——僅解釋三大病理定義而未應用於「行政革新障礙」與「台灣反思」兩個題目明確要求之面向，屬於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Riggs稜柱模型 ＋ 異質性 ＋ 重疊性 ＋ 形式主義 ＋ 台灣稜柱殘餘。</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一、前言：稜柱社會與行政革新之制度性張力</w:t>
      </w:r>
    </w:p>
    <w:p>
      <w:pPr>
        <w:pStyle w:val="ListParagraph"/>
        <w:numPr>
          <w:ilvl w:val="0"/>
          <w:numId w:val="2"/>
        </w:numPr>
        <w:spacing w:after="120" w:line="340"/>
      </w:pPr>
      <w:r>
        <w:rPr>
          <w:rFonts w:ascii="微軟正黑體" w:cs="微軟正黑體" w:eastAsia="微軟正黑體" w:hAnsi="微軟正黑體"/>
          <w:sz w:val="22"/>
          <w:szCs w:val="22"/>
        </w:rPr>
        <w:t xml:space="preserve">二、三大病理逐一分析行政革新之制度性障礙</w:t>
      </w:r>
    </w:p>
    <w:p>
      <w:pPr>
        <w:pStyle w:val="ListParagraph"/>
        <w:numPr>
          <w:ilvl w:val="0"/>
          <w:numId w:val="2"/>
        </w:numPr>
        <w:spacing w:after="120" w:line="340"/>
      </w:pPr>
      <w:r>
        <w:rPr>
          <w:rFonts w:ascii="微軟正黑體" w:cs="微軟正黑體" w:eastAsia="微軟正黑體" w:hAnsi="微軟正黑體"/>
          <w:sz w:val="22"/>
          <w:szCs w:val="22"/>
        </w:rPr>
        <w:t xml:space="preserve">三、台灣行政現代化過程中之稜柱殘餘特徵</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【參考答案·標準版】（約1,100字）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Riggs（1961）指出，多數開發中國家正處於稜柱社會階段，傳統與現代結構並存交錯；此一過渡狀態，使開發中國家推動行政革新時，往往面臨西方繞射型社會所未曾經歷之特殊制度性障礙。</w:t>
      </w:r>
    </w:p>
    <w:p>
      <w:pPr>
        <w:spacing w:after="200" w:line="360"/>
        <w:ind w:firstLine="431"/>
        <w:jc w:val="both"/>
      </w:pPr>
      <w:r>
        <w:rPr>
          <w:rFonts w:ascii="微軟正黑體" w:cs="微軟正黑體" w:eastAsia="微軟正黑體" w:hAnsi="微軟正黑體"/>
          <w:sz w:val="22"/>
          <w:szCs w:val="22"/>
        </w:rPr>
        <w:t xml:space="preserve">二、三大病理與行政革新之制度性障礙</w:t>
      </w:r>
    </w:p>
    <w:p>
      <w:pPr>
        <w:spacing w:after="200" w:line="360"/>
        <w:ind w:firstLine="431"/>
        <w:jc w:val="both"/>
      </w:pPr>
      <w:r>
        <w:rPr>
          <w:rFonts w:ascii="微軟正黑體" w:cs="微軟正黑體" w:eastAsia="微軟正黑體" w:hAnsi="微軟正黑體"/>
          <w:sz w:val="22"/>
          <w:szCs w:val="22"/>
        </w:rPr>
        <w:t xml:space="preserve">就異質性而言，同一時空並存截然不同的制度與觀點，使行政革新之推動者本身即可能受新舊價值拉扯——受現代專業訓練之文官，同時受家族忠誠與人情關係牽制，導致革新政策在執行層次遭遇認同混亂與抵抗；就重疊性而言，傳統結構與現代正式結構重疊，一種功能可能由不同結構重複履行，或正式編制外仍有非正式派系實際主導決策，使行政革新方案即便在紙面上通過，實際執行時仍可能被非正式權力結構架空或扭曲；就形式主義而言，法規與計畫理想崇高但執行力低落，行政革新方案若僅止於頒布新法規、新組織架構，而未能同步處理「為何無法落實」之根本原因，最終仍將淪為紙上革新，無法產生實質變革。</w:t>
      </w:r>
    </w:p>
    <w:p>
      <w:pPr>
        <w:spacing w:after="200" w:line="360"/>
        <w:ind w:firstLine="431"/>
        <w:jc w:val="both"/>
      </w:pPr>
      <w:r>
        <w:rPr>
          <w:rFonts w:ascii="微軟正黑體" w:cs="微軟正黑體" w:eastAsia="微軟正黑體" w:hAnsi="微軟正黑體"/>
          <w:sz w:val="22"/>
          <w:szCs w:val="22"/>
        </w:rPr>
        <w:t xml:space="preserve">三、台灣之稜柱殘餘特徵</w:t>
      </w:r>
    </w:p>
    <w:p>
      <w:pPr>
        <w:spacing w:after="200" w:line="360"/>
        <w:ind w:firstLine="431"/>
        <w:jc w:val="both"/>
      </w:pPr>
      <w:r>
        <w:rPr>
          <w:rFonts w:ascii="微軟正黑體" w:cs="微軟正黑體" w:eastAsia="微軟正黑體" w:hAnsi="微軟正黑體"/>
          <w:sz w:val="22"/>
          <w:szCs w:val="22"/>
        </w:rPr>
        <w:t xml:space="preserve">就台灣而言，行政文化整體已呈現繖射型（已開發）特徵為主——功績用人制度、法治框架與專業分工大致完備；然而，部分地方政治仍殘留派系政治、人情關係對公共資源分配之影響，形式主義亦偶見於部分行政革新方案「重立法、輕執行」之現象（如組織改造後新舊業務未能實質整合）。這使台灣較適切之定位是「已開發中的稜柱殘餘」混合型，而非純粹之繞射型社會。</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Riggs稜柱模型三大病理，提醒行政革新之推動者：制度移植若忽略在地社會之異質性、重疊性與形式主義風險，即便法規與組織架構完善，仍可能因非正式權力結構之抵抗而落空。台灣之行政革新經驗顯示，即便整體行政文化已趨向繞射型，仍須持續正視稜柱殘餘特徵之存在，方能使行政革新真正落地，而非僅止於形式上的制度移植。</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三大病理須逐一定義並分別應用於「行政革新之制度性障礙」，不可僅列出名詞而未展開分析。</w:t>
      </w:r>
    </w:p>
    <w:p>
      <w:pPr>
        <w:pStyle w:val="ListParagraph"/>
        <w:numPr>
          <w:ilvl w:val="0"/>
          <w:numId w:val="2"/>
        </w:numPr>
        <w:spacing w:after="120" w:line="340"/>
      </w:pPr>
      <w:r>
        <w:rPr>
          <w:rFonts w:ascii="微軟正黑體" w:cs="微軟正黑體" w:eastAsia="微軟正黑體" w:hAnsi="微軟正黑體"/>
          <w:sz w:val="22"/>
          <w:szCs w:val="22"/>
        </w:rPr>
        <w:t xml:space="preserve">「台灣稜柱殘餘特徵」須具體舉例（地方派系、形式主義案例），不可籠統帶過。</w:t>
      </w:r>
    </w:p>
    <w:p>
      <w:pPr>
        <w:pStyle w:val="ListParagraph"/>
        <w:numPr>
          <w:ilvl w:val="0"/>
          <w:numId w:val="2"/>
        </w:numPr>
        <w:spacing w:after="120" w:line="340"/>
      </w:pPr>
      <w:r>
        <w:rPr>
          <w:rFonts w:ascii="微軟正黑體" w:cs="微軟正黑體" w:eastAsia="微軟正黑體" w:hAnsi="微軟正黑體"/>
          <w:sz w:val="22"/>
          <w:szCs w:val="22"/>
        </w:rPr>
        <w:t xml:space="preserve">若能點出台灣「已開發中的稜柱殘餘」混合型定位，展現對本土脈絡之精確掌握，是本題拉開分數差距之關鍵。</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只解釋異質性、重疊性、形式主義之定義，未進一步分析其對「行政革新」造成之具體制度性障礙。</w:t>
      </w:r>
    </w:p>
    <w:p>
      <w:pPr>
        <w:pStyle w:val="ListParagraph"/>
        <w:numPr>
          <w:ilvl w:val="0"/>
          <w:numId w:val="2"/>
        </w:numPr>
        <w:spacing w:after="120" w:line="340"/>
      </w:pPr>
      <w:r>
        <w:rPr>
          <w:rFonts w:ascii="微軟正黑體" w:cs="微軟正黑體" w:eastAsia="微軟正黑體" w:hAnsi="微軟正黑體"/>
          <w:sz w:val="22"/>
          <w:szCs w:val="22"/>
        </w:rPr>
        <w:t xml:space="preserve">❌ 未回應題目要求之「我國是否仍存在稜柱社會殘餘特徵」，通篇僅討論開發中國家一般情況。</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援引Esman（1991）對Riggs稜柱模型之經典批判：稜柱模型隱含「線性發展」預設，易將已開發社會視為所有國家發展之終點站，此一批判視角可用以說明「行政現代化」不必然是單向趨同過程，而可能呈現多元路徑。</w:t>
      </w:r>
    </w:p>
    <w:p>
      <w:pPr>
        <w:pStyle w:val="ListParagraph"/>
        <w:numPr>
          <w:ilvl w:val="0"/>
          <w:numId w:val="2"/>
        </w:numPr>
        <w:spacing w:after="120" w:line="340"/>
      </w:pPr>
      <w:r>
        <w:rPr>
          <w:rFonts w:ascii="微軟正黑體" w:cs="微軟正黑體" w:eastAsia="微軟正黑體" w:hAnsi="微軟正黑體"/>
          <w:sz w:val="22"/>
          <w:szCs w:val="22"/>
        </w:rPr>
        <w:t xml:space="preserve">可補充比較視角：SALA模型（兼具官僚制外形與家族恩庇實質）與bazaar-canteen經濟隱喻（補貼價格與市場價格雙軌並行），可進一步具體化「重疊性」病理在人事任用與經濟行政領域之表現形式，使分析更貼近稜柱社會之實際運作樣貌。</w:t>
      </w:r>
    </w:p>
    <w:p>
      <w:pPr>
        <w:pStyle w:val="ListParagraph"/>
        <w:numPr>
          <w:ilvl w:val="0"/>
          <w:numId w:val="2"/>
        </w:numPr>
        <w:spacing w:after="120" w:line="340"/>
      </w:pPr>
      <w:r>
        <w:rPr>
          <w:rFonts w:ascii="微軟正黑體" w:cs="微軟正黑體" w:eastAsia="微軟正黑體" w:hAnsi="微軟正黑體"/>
          <w:sz w:val="22"/>
          <w:szCs w:val="22"/>
        </w:rPr>
        <w:t xml:space="preserve">可補充臺灣實務：地方基層選舉之樁腳文化與部分公共工程採購中偶見之關說案件，皆可作為「重疊性」（正式採購程序與非正式人情網絡並存）之具體例證，強化「台灣仍存稜柱殘餘」論點之說服力。</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書AI治理內容自行設計之模擬命題。第七章母體教材「AI鑲嵌後的權力與結構變化：第四環境」一節，已就「第四環境三特徵」「生成式AI社會三條競合軌跡」「2023-2024全球AI治理四模式」提出完整分析架構——本題即以此為基礎延伸設計。現階段公開歷屆試題（107-111年）中尚未查得與此完全對應之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本書主張數位／資料環境為繼物理、社會、政治環境之後的『第四環境』。請說明第四環境之三項特徵，並運用『生成式AI社會三條競合軌跡』架構，分析台灣在全球AI治理競合中所面臨的雙重處境，最後提出台灣因應此一處境之政策建議。」</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闡釋＋國際處境分析＋政策建議題」，考生須依序完成三項任務：說明第四環境三特徵、以三條競合軌跡分析台灣雙重處境、提出具體政策建議——遺漏「台灣雙重處境」此一題目明確要求之分析環節，屬於結構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第四環境 ＋ 生成式AI社會三條競合軌跡 ＋ 台灣雙重處境 ＋ 資料算力模型主權。</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一、前言：第四環境之興起背景</w:t>
      </w:r>
    </w:p>
    <w:p>
      <w:pPr>
        <w:pStyle w:val="ListParagraph"/>
        <w:numPr>
          <w:ilvl w:val="0"/>
          <w:numId w:val="2"/>
        </w:numPr>
        <w:spacing w:after="120" w:line="340"/>
      </w:pPr>
      <w:r>
        <w:rPr>
          <w:rFonts w:ascii="微軟正黑體" w:cs="微軟正黑體" w:eastAsia="微軟正黑體" w:hAnsi="微軟正黑體"/>
          <w:sz w:val="22"/>
          <w:szCs w:val="22"/>
        </w:rPr>
        <w:t xml:space="preserve">二、第四環境三項特徵：非地域性與可複製性、代理性、基礎設施化</w:t>
      </w:r>
    </w:p>
    <w:p>
      <w:pPr>
        <w:pStyle w:val="ListParagraph"/>
        <w:numPr>
          <w:ilvl w:val="0"/>
          <w:numId w:val="2"/>
        </w:numPr>
        <w:spacing w:after="120" w:line="340"/>
      </w:pPr>
      <w:r>
        <w:rPr>
          <w:rFonts w:ascii="微軟正黑體" w:cs="微軟正黑體" w:eastAsia="微軟正黑體" w:hAnsi="微軟正黑體"/>
          <w:sz w:val="22"/>
          <w:szCs w:val="22"/>
        </w:rPr>
        <w:t xml:space="preserve">三、生成式AI社會三條競合軌跡與台灣之雙重處境</w:t>
      </w:r>
    </w:p>
    <w:p>
      <w:pPr>
        <w:pStyle w:val="ListParagraph"/>
        <w:numPr>
          <w:ilvl w:val="0"/>
          <w:numId w:val="2"/>
        </w:numPr>
        <w:spacing w:after="120" w:line="340"/>
      </w:pPr>
      <w:r>
        <w:rPr>
          <w:rFonts w:ascii="微軟正黑體" w:cs="微軟正黑體" w:eastAsia="微軟正黑體" w:hAnsi="微軟正黑體"/>
          <w:sz w:val="22"/>
          <w:szCs w:val="22"/>
        </w:rPr>
        <w:t xml:space="preserve">四、政策建議</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傳統行政生態學僅將科技列為環境之一環，惟在生成式AI與資料基礎設施時代，數位環境已具備自成邏輯之半自主性演化能力，本書因而主張數位環境是繼物理、社會、政治環境之後的「第四環境」。</w:t>
      </w:r>
    </w:p>
    <w:p>
      <w:pPr>
        <w:spacing w:after="200" w:line="360"/>
        <w:ind w:firstLine="431"/>
        <w:jc w:val="both"/>
      </w:pPr>
      <w:r>
        <w:rPr>
          <w:rFonts w:ascii="微軟正黑體" w:cs="微軟正黑體" w:eastAsia="微軟正黑體" w:hAnsi="微軟正黑體"/>
          <w:sz w:val="22"/>
          <w:szCs w:val="22"/>
        </w:rPr>
        <w:t xml:space="preserve">二、第四環境三項特徵</w:t>
      </w:r>
    </w:p>
    <w:p>
      <w:pPr>
        <w:spacing w:after="200" w:line="360"/>
        <w:ind w:firstLine="431"/>
        <w:jc w:val="both"/>
      </w:pPr>
      <w:r>
        <w:rPr>
          <w:rFonts w:ascii="微軟正黑體" w:cs="微軟正黑體" w:eastAsia="微軟正黑體" w:hAnsi="微軟正黑體"/>
          <w:sz w:val="22"/>
          <w:szCs w:val="22"/>
        </w:rPr>
        <w:t xml:space="preserve">其一，非地域性與可複製性：資料與模型可以零邊際成本複製，但算力與基礎設施卻高度集中於美國與少數平台企業，形成「複製容易、掌控困難」之矛盾結構；其二，代理性（Agency）：AI具備半自主決策能力，形成「人工裁量」與「街頭演算法」，雖無意識卻已重塑行政裁量之實質內容；其三，基礎設施化：資料、雲端與模型逐漸成為如水電一般的公共基礎設施，政府無法自外於平台依賴，卻又須避免陷入數位殖民之風險。</w:t>
      </w:r>
    </w:p>
    <w:p>
      <w:pPr>
        <w:spacing w:after="200" w:line="360"/>
        <w:ind w:firstLine="431"/>
        <w:jc w:val="both"/>
      </w:pPr>
      <w:r>
        <w:rPr>
          <w:rFonts w:ascii="微軟正黑體" w:cs="微軟正黑體" w:eastAsia="微軟正黑體" w:hAnsi="微軟正黑體"/>
          <w:sz w:val="22"/>
          <w:szCs w:val="22"/>
        </w:rPr>
        <w:t xml:space="preserve">三、三條競合軌跡與台灣之雙重處境</w:t>
      </w:r>
    </w:p>
    <w:p>
      <w:pPr>
        <w:spacing w:after="200" w:line="360"/>
        <w:ind w:firstLine="431"/>
        <w:jc w:val="both"/>
      </w:pPr>
      <w:r>
        <w:rPr>
          <w:rFonts w:ascii="微軟正黑體" w:cs="微軟正黑體" w:eastAsia="微軟正黑體" w:hAnsi="微軟正黑體"/>
          <w:sz w:val="22"/>
          <w:szCs w:val="22"/>
        </w:rPr>
        <w:t xml:space="preserve">生成式AI社會敘事分裂為三條並存軌跡：演算法資本主義／技術封建主義軌跡（平台獨佔資料算力，收取近似地租之數位租金）、規制型數位國家軌跡（以EU數位服務法DSA、數位市場法DMA與人工智慧法強制規制馴服平台權力）、科技集團化軌跡（晶片與資料管制沿地緣政治斷層線分裂為排他性集團）。台灣正同時鑲嵌於三軌交會點，呈現雙重處境：一方面，作為全球半導體供應鏈之關鍵節點，台灣直接承受科技集團化軌跡之地緣政治壓力，晶片出口管制與供應鏈重組並非單純產業政策議題，而是第四環境對行政體系之結構性制約；另一方面，作為積極推動AI基本法草案與主權AI之中小型民主國家，台灣之政策選擇又更貼近規制型數位國家與公民共創路徑，而非放任式的演算法資本主義。</w:t>
      </w:r>
    </w:p>
    <w:p>
      <w:pPr>
        <w:spacing w:after="200" w:line="360"/>
        <w:ind w:firstLine="431"/>
        <w:jc w:val="both"/>
      </w:pPr>
      <w:r>
        <w:rPr>
          <w:rFonts w:ascii="微軟正黑體" w:cs="微軟正黑體" w:eastAsia="微軟正黑體" w:hAnsi="微軟正黑體"/>
          <w:sz w:val="22"/>
          <w:szCs w:val="22"/>
        </w:rPr>
        <w:t xml:space="preserve">四、政策建議</w:t>
      </w:r>
    </w:p>
    <w:p>
      <w:pPr>
        <w:pStyle w:val="ListParagraph"/>
        <w:numPr>
          <w:ilvl w:val="0"/>
          <w:numId w:val="2"/>
        </w:numPr>
        <w:spacing w:after="120" w:line="340"/>
      </w:pPr>
      <w:r>
        <w:rPr>
          <w:rFonts w:ascii="微軟正黑體" w:cs="微軟正黑體" w:eastAsia="微軟正黑體" w:hAnsi="微軟正黑體"/>
          <w:sz w:val="22"/>
          <w:szCs w:val="22"/>
        </w:rPr>
        <w:t xml:space="preserve">（一）強化主權雲與可攜式模型建設，降低對外國雲端業者之結構性依賴，回應基礎設施化風險。</w:t>
      </w:r>
    </w:p>
    <w:p>
      <w:pPr>
        <w:pStyle w:val="ListParagraph"/>
        <w:numPr>
          <w:ilvl w:val="0"/>
          <w:numId w:val="2"/>
        </w:numPr>
        <w:spacing w:after="120" w:line="340"/>
      </w:pPr>
      <w:r>
        <w:rPr>
          <w:rFonts w:ascii="微軟正黑體" w:cs="微軟正黑體" w:eastAsia="微軟正黑體" w:hAnsi="微軟正黑體"/>
          <w:sz w:val="22"/>
          <w:szCs w:val="22"/>
        </w:rPr>
        <w:t xml:space="preserve">（二）推動TAIDE等主權AI模型研發，同步兼顧資料主權、算力主權與模型主權三者，建構完整之第四環境治理能力。</w:t>
      </w:r>
    </w:p>
    <w:p>
      <w:pPr>
        <w:pStyle w:val="ListParagraph"/>
        <w:numPr>
          <w:ilvl w:val="0"/>
          <w:numId w:val="2"/>
        </w:numPr>
        <w:spacing w:after="120" w:line="340"/>
      </w:pPr>
      <w:r>
        <w:rPr>
          <w:rFonts w:ascii="微軟正黑體" w:cs="微軟正黑體" w:eastAsia="微軟正黑體" w:hAnsi="微軟正黑體"/>
          <w:sz w:val="22"/>
          <w:szCs w:val="22"/>
        </w:rPr>
        <w:t xml:space="preserve">（三）以AI基本法草案與監理沙盒機制，在科技集團化之地緣政治壓力下，維持與國際規制型數位國家（如歐盟）之制度相容性，避免陷入單一集團之技術依附。</w:t>
      </w:r>
    </w:p>
    <w:p>
      <w:pPr>
        <w:pStyle w:val="ListParagraph"/>
        <w:numPr>
          <w:ilvl w:val="0"/>
          <w:numId w:val="2"/>
        </w:numPr>
        <w:spacing w:after="120" w:line="340"/>
      </w:pPr>
      <w:r>
        <w:rPr>
          <w:rFonts w:ascii="微軟正黑體" w:cs="微軟正黑體" w:eastAsia="微軟正黑體" w:hAnsi="微軟正黑體"/>
          <w:sz w:val="22"/>
          <w:szCs w:val="22"/>
        </w:rPr>
        <w:t xml:space="preserve">（四）運用公民共創與小國敏捷優勢，透過監理沙盒與人權連結創新，在資源有限之限制下，探索有別於美歐兩極模式之第三條路徑。</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第四環境之興起，使台灣之行政環境分析不能自外於全球AI治理之競合格局；台灣同時承受科技集團化之地緣政治壓力，又選擇貼近規制型數位國家與公民共創路徑，此一雙重處境並非矛盾，而是台灣作為關鍵科技節點與中小型民主國家之獨特定位——唯有同步建構資料、算力、模型三重主權，並善用小國敏捷優勢，方能在第四環境的全球競合中，維持行政治理之自主性與正當性。</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第四環境三項特徵須逐一完整說明，不可僅籠統稱「AI很重要」。</w:t>
      </w:r>
    </w:p>
    <w:p>
      <w:pPr>
        <w:pStyle w:val="ListParagraph"/>
        <w:numPr>
          <w:ilvl w:val="0"/>
          <w:numId w:val="2"/>
        </w:numPr>
        <w:spacing w:after="120" w:line="340"/>
      </w:pPr>
      <w:r>
        <w:rPr>
          <w:rFonts w:ascii="微軟正黑體" w:cs="微軟正黑體" w:eastAsia="微軟正黑體" w:hAnsi="微軟正黑體"/>
          <w:sz w:val="22"/>
          <w:szCs w:val="22"/>
        </w:rPr>
        <w:t xml:space="preserve">須明確運用「生成式AI社會三條競合軌跡」架構，並具體指出台灣同時受科技集團化與規制型數位國家兩軌牽引之「雙重處境」，此為本題核心得分點。</w:t>
      </w:r>
    </w:p>
    <w:p>
      <w:pPr>
        <w:pStyle w:val="ListParagraph"/>
        <w:numPr>
          <w:ilvl w:val="0"/>
          <w:numId w:val="2"/>
        </w:numPr>
        <w:spacing w:after="120" w:line="340"/>
      </w:pPr>
      <w:r>
        <w:rPr>
          <w:rFonts w:ascii="微軟正黑體" w:cs="微軟正黑體" w:eastAsia="微軟正黑體" w:hAnsi="微軟正黑體"/>
          <w:sz w:val="22"/>
          <w:szCs w:val="22"/>
        </w:rPr>
        <w:t xml:space="preserve">政策建議須具體可操作（主權雲、TAIDE、AI基本法、監理沙盒），並分別對應前述分析之處境，不可流於空泛呼籲。</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只描述AI對政府治理的一般性影響，未套用「第四環境三特徵」或「三條競合軌跡」等本章專屬學理架構。</w:t>
      </w:r>
    </w:p>
    <w:p>
      <w:pPr>
        <w:pStyle w:val="ListParagraph"/>
        <w:numPr>
          <w:ilvl w:val="0"/>
          <w:numId w:val="2"/>
        </w:numPr>
        <w:spacing w:after="120" w:line="340"/>
      </w:pPr>
      <w:r>
        <w:rPr>
          <w:rFonts w:ascii="微軟正黑體" w:cs="微軟正黑體" w:eastAsia="微軟正黑體" w:hAnsi="微軟正黑體"/>
          <w:sz w:val="22"/>
          <w:szCs w:val="22"/>
        </w:rPr>
        <w:t xml:space="preserve">❌ 未能指出台灣同時受多條軌跡牽引之「雙重處境」，誤將台灣簡化歸類為單一軌跡。</w:t>
      </w:r>
    </w:p>
    <w:p>
      <w:pPr>
        <w:pStyle w:val="ListParagraph"/>
        <w:numPr>
          <w:ilvl w:val="0"/>
          <w:numId w:val="2"/>
        </w:numPr>
        <w:spacing w:after="120" w:line="340"/>
      </w:pPr>
      <w:r>
        <w:rPr>
          <w:rFonts w:ascii="微軟正黑體" w:cs="微軟正黑體" w:eastAsia="微軟正黑體" w:hAnsi="微軟正黑體"/>
          <w:sz w:val="22"/>
          <w:szCs w:val="22"/>
        </w:rPr>
        <w:t xml:space="preserve">❌ 政策建議與前述分析脫節，僅重複「政府應加強AI治理」等空泛立場。</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可補充援引Farrell與Newman（2019）「地緣經濟武器化」（weaponized interdependence）概念，說明晶片與雲端基礎設施之全球供應鏈本身即可能被特定強權作為地緣政治槓桿工具，進一步深化「科技集團化軌跡」對台灣結構性壓力之理論基礎。</w:t>
      </w:r>
    </w:p>
    <w:p>
      <w:pPr>
        <w:pStyle w:val="ListParagraph"/>
        <w:numPr>
          <w:ilvl w:val="0"/>
          <w:numId w:val="2"/>
        </w:numPr>
        <w:spacing w:after="120" w:line="340"/>
      </w:pPr>
      <w:r>
        <w:rPr>
          <w:rFonts w:ascii="微軟正黑體" w:cs="微軟正黑體" w:eastAsia="微軟正黑體" w:hAnsi="微軟正黑體"/>
          <w:sz w:val="22"/>
          <w:szCs w:val="22"/>
        </w:rPr>
        <w:t xml:space="preserve">可補充批判視角：「公民共創／小國靈活模式」雖具敏捷彈性之優勢，但在資料、算力與模型三重主權皆高度仰賴外部供應鏈之現實下，其政策空間仍可能受制於美中兩大科技集團之基礎設施依附，此一結構性侷限應於政策建議中一併正視，而非僅強調小國敏捷之正面效益。</w:t>
      </w:r>
    </w:p>
    <w:p>
      <w:pPr>
        <w:pStyle w:val="ListParagraph"/>
        <w:numPr>
          <w:ilvl w:val="0"/>
          <w:numId w:val="2"/>
        </w:numPr>
        <w:spacing w:after="120" w:line="340"/>
      </w:pPr>
      <w:r>
        <w:rPr>
          <w:rFonts w:ascii="微軟正黑體" w:cs="微軟正黑體" w:eastAsia="微軟正黑體" w:hAnsi="微軟正黑體"/>
          <w:sz w:val="22"/>
          <w:szCs w:val="22"/>
        </w:rPr>
        <w:t xml:space="preserve">可補充臺灣實務：我國近年積極參與G7廣島AI準則、OECD AI原則等多邊對話機制，並於半導體先進製程出口管制政策中同步協調產業與國安考量，具體呈現台灣在規制型數位國家路徑與科技集團化壓力之間，如何透過多邊參與尋求政策迴旋空間之實務嘗試。</w:t>
      </w:r>
    </w:p>
    <w:p>
      <w:pPr>
        <w:spacing w:after="26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以下彙整與本章主題相關之歷屆試題，來源為考選部官方公告試題（107-111年，行政學／行政學概要科目），依考選部「類科」欄位是否明列「一般行政」判斷是否為一般行政類科直接命題紀錄。本語料庫中另有一題（107年地方特考三等「府際協議機制」）因核心內容實質對應第九章「治理典範」，已改列該章真題，不重複列於本章。</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1600"/>
        <w:gridCol w:w="1000"/>
        <w:gridCol w:w="2626"/>
        <w:gridCol w:w="1200"/>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1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111年公務人員特種考試原住民族考試三等考試</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一般行政</w:t>
            </w:r>
          </w:p>
        </w:tc>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地方創生之意義與原住民地區推動策略（即題目一）</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考選部官方公告試題，一般行政符合，等別對應三等／高考三級</w:t>
            </w:r>
          </w:p>
        </w:tc>
      </w:tr>
    </w:tbl>
    <w:p>
      <w:pPr>
        <w:spacing w:after="280" w:before="120"/>
        <w:jc w:val="center"/>
      </w:pPr>
      <w:r>
        <w:rPr>
          <w:rFonts w:ascii="微軟正黑體" w:cs="微軟正黑體" w:eastAsia="微軟正黑體" w:hAnsi="微軟正黑體"/>
          <w:i/>
          <w:iCs/>
          <w:color w:val="555555"/>
          <w:sz w:val="18"/>
          <w:szCs w:val="18"/>
        </w:rPr>
        <w:t xml:space="preserve">表7-I　本章相關歷屆試題彙整</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試題，共查得1題直接對應本章理論脈絡且完全符合一般行政類科之申論真題；Riggs稜柱模型、行政生態學、全球化五大衝擊、第四環境等經典考點，於本語料庫年度範圍內尚未查得直接對應之申論真題，惟屬國考行政學之基礎必考概念，仍應完整準備，並建議另行參閱112年以後之最新年度考古題補充。</w:t>
      </w:r>
    </w:p>
    <w:p>
      <w:pPr>
        <w:spacing w:after="26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行政環境與行政生態學</w:t>
            </w:r>
          </w:p>
          <w:p>
            <w:pPr>
              <w:spacing w:line="340"/>
              <w:jc w:val="both"/>
            </w:pPr>
            <w:r>
              <w:rPr>
                <w:rFonts w:ascii="微軟正黑體" w:cs="微軟正黑體" w:eastAsia="微軟正黑體" w:hAnsi="微軟正黑體"/>
                <w:sz w:val="21"/>
                <w:szCs w:val="21"/>
              </w:rPr>
              <w:t xml:space="preserve">Gaus五要因 → PESTEL六構面＋第四環境 → 行政生態學三命題（互動合）→ 環境制約論（非決定論）→ 比較行政三次轉向 → CAG興衰</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Riggs稜柱模型</w:t>
            </w:r>
          </w:p>
          <w:p>
            <w:pPr>
              <w:spacing w:line="340"/>
              <w:jc w:val="both"/>
            </w:pPr>
            <w:r>
              <w:rPr>
                <w:rFonts w:ascii="微軟正黑體" w:cs="微軟正黑體" w:eastAsia="微軟正黑體" w:hAnsi="微軟正黑體"/>
                <w:sz w:val="21"/>
                <w:szCs w:val="21"/>
              </w:rPr>
              <w:t xml:space="preserve">鎔合型（傳統）→稜柱型（過渡，三病理：異質性/重疊性/形式主義，SALA模型）→繞射型（現代）／台灣＝已開發中的稜柱殘餘</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全球化與行政革新</w:t>
            </w:r>
          </w:p>
          <w:p>
            <w:pPr>
              <w:spacing w:line="340"/>
              <w:jc w:val="both"/>
            </w:pPr>
            <w:r>
              <w:rPr>
                <w:rFonts w:ascii="微軟正黑體" w:cs="微軟正黑體" w:eastAsia="微軟正黑體" w:hAnsi="微軟正黑體"/>
                <w:sz w:val="21"/>
                <w:szCs w:val="21"/>
              </w:rPr>
              <w:t xml:space="preserve">全球化四重詮釋（際由同越）→ 競爭型/調節型國家 → 全球在地化 ／ 發展行政（目標）vs. 行政發展（能力）→ 當代革新三面向（結構/技術/價值）</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第四環境與AI治理競合</w:t>
            </w:r>
          </w:p>
          <w:p>
            <w:pPr>
              <w:spacing w:line="340"/>
              <w:jc w:val="both"/>
            </w:pPr>
            <w:r>
              <w:rPr>
                <w:rFonts w:ascii="微軟正黑體" w:cs="微軟正黑體" w:eastAsia="微軟正黑體" w:hAnsi="微軟正黑體"/>
                <w:sz w:val="21"/>
                <w:szCs w:val="21"/>
              </w:rPr>
              <w:t xml:space="preserve">非地域可複製/代理性/基礎設施化三特徵 → 資訊社會理論脈絡（貝爾→卡斯提爾→祖博夫→瓦魯法克斯）→ 三條競合軌跡 → AI治理四模式 → 台灣資料/算力/模型三重主權建構中</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韌性行政五特徵</w:t>
            </w:r>
          </w:p>
          <w:p>
            <w:pPr>
              <w:spacing w:line="340"/>
              <w:jc w:val="both"/>
            </w:pPr>
            <w:r>
              <w:rPr>
                <w:rFonts w:ascii="微軟正黑體" w:cs="微軟正黑體" w:eastAsia="微軟正黑體" w:hAnsi="微軟正黑體"/>
                <w:sz w:val="21"/>
                <w:szCs w:val="21"/>
              </w:rPr>
              <w:t xml:space="preserve">不預設解方、內聚外開、實驗容錯、資料戰略、貼近公民——後COVID-19治理理論之五項共同特徵（不內實資貼）</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行政從來不是在真空中運作的孤立系統，而是持續與環境交換能量與資訊的有機體；當第四環境的力量已足以與物理、社會、政治環境並列，台灣的行政環境分析，就不能只問「如何適應環境」，更要問「誰在定義這個環境」。</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2026-09-03T07:57:21.339Z</dcterms:created>
  <dcterms:modified xsi:type="dcterms:W3CDTF">2026-09-03T07:57:21.339Z</dcterms:modified>
</cp:coreProperties>
</file>

<file path=docProps/custom.xml><?xml version="1.0" encoding="utf-8"?>
<Properties xmlns="http://schemas.openxmlformats.org/officeDocument/2006/custom-properties" xmlns:vt="http://schemas.openxmlformats.org/officeDocument/2006/docPropsVTypes"/>
</file>