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第六章　行政倫理與責任</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六章「行政倫理與責任」，內容取材自該章之七節母體教材（並含篇幅甚大的「AI鑲嵌後的權力與結構變化」專節），依國考「考點化、模組化、背誦＋應用」邏輯重新壓縮改寫為五節：第一節整合行政倫理的本質、雙元架構與行政裁量的倫理困境（原第一、二節）；第二節整合Rawls正義論：原初情境與無知之幕（原第三節）；第三節整合行政中立的新詮釋與行政責任體系（原第四、五節）；第四節整合我國陽光四法與利益迴避具體法制（原第六節）；第五節整合演算法課責、AI倫理五支柱與虛擬法官的紅線（原第七節與AI鑲嵌後內容）。本章真題語料庫較少（僅查得1題完全符合一般行政類科之真題），依本書體例，另補1題經典理論模擬題與1題AI模擬題，並於各題「考題出處」欄位明確標示。</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行政倫理的本質、雙元架構與行政裁量的倫理困境</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行政倫理（administrative ethics，又稱公務倫理）是倫理學在公共行政場域的具體化，指公務人員在執行公務、運用裁量時，基於專業與民主價值，對公共利益與手段合宜性的反省與判斷能力；道德（morality）問「我應成為何種人」，倫理（ethics）問「在此角色中我應如何行事」——行政倫理屬於角色倫理（role ethics）。</w:t>
      </w:r>
    </w:p>
    <w:p>
      <w:pPr>
        <w:pStyle w:val="ListParagraph"/>
        <w:numPr>
          <w:ilvl w:val="0"/>
          <w:numId w:val="2"/>
        </w:numPr>
        <w:spacing w:after="120" w:line="340"/>
      </w:pPr>
      <w:r>
        <w:rPr>
          <w:rFonts w:ascii="微軟正黑體" w:cs="微軟正黑體" w:eastAsia="微軟正黑體" w:hAnsi="微軟正黑體"/>
          <w:sz w:val="22"/>
          <w:szCs w:val="22"/>
        </w:rPr>
        <w:t xml:space="preserve">行政倫理的弔詭性：它是匡正行政行為的治本依據，卻缺乏法律般的強制制裁力，一旦崩壞，卻導致民主正當性危機。</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防禦性行政倫理（消極）聚焦防杜貪污、賄賂、濫權、瀆職，核心問題是「合法與否」；促進性行政倫理（積極）受行為科學與1968年新公共行政運動影響，強調社會公平、多元利益與關懷弱勢，核心關懷從「不可為」轉向「應積極為」——從防禦到促進，反映行政倫理從合法律性到合倫理性、從控制到賦能的典範轉移。</w:t>
      </w:r>
    </w:p>
    <w:p>
      <w:pPr>
        <w:pStyle w:val="ListParagraph"/>
        <w:numPr>
          <w:ilvl w:val="0"/>
          <w:numId w:val="2"/>
        </w:numPr>
        <w:spacing w:after="120" w:line="340"/>
      </w:pPr>
      <w:r>
        <w:rPr>
          <w:rFonts w:ascii="微軟正黑體" w:cs="微軟正黑體" w:eastAsia="微軟正黑體" w:hAnsi="微軟正黑體"/>
          <w:sz w:val="22"/>
          <w:szCs w:val="22"/>
        </w:rPr>
        <w:t xml:space="preserve">行政倫理三重結構性困境：公共利益誤導（公益本質模糊，易被特定團體包裝化）、行政機關獨大（專業資訊壟斷、全職永業優勢，業務委外與多層次代理更形成「多手問題」與「無臉政府」）、組織倫理問題（團體忠誠置於個人良知之上，形成官僚病態bureaupathology）。</w:t>
      </w:r>
    </w:p>
    <w:p>
      <w:pPr>
        <w:pStyle w:val="ListParagraph"/>
        <w:numPr>
          <w:ilvl w:val="0"/>
          <w:numId w:val="2"/>
        </w:numPr>
        <w:spacing w:after="120" w:line="340"/>
      </w:pPr>
      <w:r>
        <w:rPr>
          <w:rFonts w:ascii="微軟正黑體" w:cs="微軟正黑體" w:eastAsia="微軟正黑體" w:hAnsi="微軟正黑體"/>
          <w:sz w:val="22"/>
          <w:szCs w:val="22"/>
        </w:rPr>
        <w:t xml:space="preserve">Cooper（2012）三類型倫理衝突：權威衝突（長官命令與個人良知之衝突）、角色衝突（內外角色或內部角色間之衝突）、利益衝突（私益與公益之衝突，須透過迴避制度處理）；Warwick（1981）五項決策檢核原則：公共取向、反省性選擇、真誠、程序的尊重、手段的限制——五項原則由價值層貫穿至技術層，構成一套完整的倫理決策檢核清單。</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學者／架構</w:t>
            </w:r>
          </w:p>
        </w:tc>
        <w:tc>
          <w:tcPr>
            <w:tcW w:type="dxa" w:w="5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核心內容</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防禦性 vs. 促進性倫理</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從「合法性、服從、懲罰貪腐」轉向「公平、正義、回應性、獎勵興利」</w:t>
            </w:r>
          </w:p>
        </w:tc>
      </w:tr>
      <w:tr>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Cooper（2012）三類型倫理衝突</w:t>
            </w:r>
          </w:p>
        </w:tc>
        <w:tc>
          <w:tcPr>
            <w:tcW w:type="dxa" w:w="5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權威衝突／角色衝突（內外、內內）／利益衝突</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Warwick（1981）五項原則</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公共取向、反省性選擇、真誠、程序尊重、手段限制</w:t>
            </w:r>
          </w:p>
        </w:tc>
      </w:tr>
    </w:tbl>
    <w:p>
      <w:pPr>
        <w:spacing w:after="280" w:before="120"/>
        <w:jc w:val="center"/>
      </w:pPr>
      <w:r>
        <w:rPr>
          <w:rFonts w:ascii="微軟正黑體" w:cs="微軟正黑體" w:eastAsia="微軟正黑體" w:hAnsi="微軟正黑體"/>
          <w:i/>
          <w:iCs/>
          <w:color w:val="555555"/>
          <w:sz w:val="18"/>
          <w:szCs w:val="18"/>
        </w:rPr>
        <w:t xml:space="preserve">表6-A　行政倫理雙元架構與裁量倫理困境理論</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主觀責任（內心信仰、良知）與客觀責任（法律、層級、對公民義務）相互矛盾時，即產生Cooper所稱之倫理困境；依法行政之正確表述是公部門奉行「法無授權即禁止」（法律保留原則），私部門與人民則奉行「法無禁止即自由」——這是行政機關擴張職權或引進新興管理工具時，最容易被誤用之混淆點，任何新措施仍須回歸明確法律授權，不能以「法律未禁止」作為擴權理由。</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防禦性／促進性雙元架構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清楚呈現行政倫理從消極合法到積極興利之典範轉移</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促進性倫理之「公益」界定仍具高度模糊性，易生價值衝突</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Cooper三類型倫理衝突</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提供結構化架構辨識裁量困境之來源，便於對應具體制度回應</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實務案例常同時涉及多種衝突類型，須綜合判斷而非單選其一</w:t>
            </w:r>
          </w:p>
        </w:tc>
      </w:tr>
    </w:tbl>
    <w:p>
      <w:pPr>
        <w:spacing w:after="280" w:before="120"/>
        <w:jc w:val="center"/>
      </w:pPr>
      <w:r>
        <w:rPr>
          <w:rFonts w:ascii="微軟正黑體" w:cs="微軟正黑體" w:eastAsia="微軟正黑體" w:hAnsi="微軟正黑體"/>
          <w:i/>
          <w:iCs/>
          <w:color w:val="555555"/>
          <w:sz w:val="18"/>
          <w:szCs w:val="18"/>
        </w:rPr>
        <w:t xml:space="preserve">表6-B　行政倫理裁量理論之貢獻與限制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AI時代，公共利益更容易被「數據中立」「技術效率」等話語掩蓋，實則演算法已內建價值選擇；Warwick五原則亦已發展出明確之AI轉譯：公共取向轉譯為演算法公平性、反省性選擇轉譯為對抗自動化偏見、真誠轉譯為可解釋性揭露、程序尊重轉譯為數位正當程序、手段限制轉譯為最小侵害與風險分級。</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行政程序法》與實務見解確立「行政裁量仍受司法審查」（裁量逾越、濫用、怠惰），並非如常見誤解「不受司法審查」；食安風險、環境污染等公共危害若消極不作為，同屬促進性倫理之違反，是我國近年食安、環保爭議案件中常見之倫理檢視角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①防禦性行政倫理 vs. 促進性行政倫理：核心問題、價值基礎、風險之對比</w:t>
            </w:r>
          </w:p>
          <w:p>
            <w:pPr>
              <w:spacing w:after="80" w:line="320"/>
            </w:pPr>
            <w:r>
              <w:rPr>
                <w:rFonts w:ascii="微軟正黑體" w:cs="微軟正黑體" w:eastAsia="微軟正黑體" w:hAnsi="微軟正黑體"/>
                <w:sz w:val="21"/>
                <w:szCs w:val="21"/>
              </w:rPr>
              <w:t xml:space="preserve">•　②行政倫理三重結構性困境：公共利益誤導／行政機關獨大／組織倫理問題</w:t>
            </w:r>
          </w:p>
          <w:p>
            <w:pPr>
              <w:spacing w:after="80" w:line="320"/>
            </w:pPr>
            <w:r>
              <w:rPr>
                <w:rFonts w:ascii="微軟正黑體" w:cs="微軟正黑體" w:eastAsia="微軟正黑體" w:hAnsi="微軟正黑體"/>
                <w:sz w:val="21"/>
                <w:szCs w:val="21"/>
              </w:rPr>
              <w:t xml:space="preserve">•　③多手問題（Many Hands）與無臉政府（No-Face Government）</w:t>
            </w:r>
          </w:p>
          <w:p>
            <w:pPr>
              <w:spacing w:after="80" w:line="320"/>
            </w:pPr>
            <w:r>
              <w:rPr>
                <w:rFonts w:ascii="微軟正黑體" w:cs="微軟正黑體" w:eastAsia="微軟正黑體" w:hAnsi="微軟正黑體"/>
                <w:sz w:val="21"/>
                <w:szCs w:val="21"/>
              </w:rPr>
              <w:t xml:space="preserve">•　④Cooper三類型倫理衝突：權威衝突／角色衝突／利益衝突</w:t>
            </w:r>
          </w:p>
          <w:p>
            <w:pPr>
              <w:spacing w:after="80" w:line="320"/>
            </w:pPr>
            <w:r>
              <w:rPr>
                <w:rFonts w:ascii="微軟正黑體" w:cs="微軟正黑體" w:eastAsia="微軟正黑體" w:hAnsi="微軟正黑體"/>
                <w:sz w:val="21"/>
                <w:szCs w:val="21"/>
              </w:rPr>
              <w:t xml:space="preserve">•　⑤Warwick五項倫理原則：公共取向／反省性選擇／真誠／程序尊重／手段限制</w:t>
            </w:r>
          </w:p>
          <w:p>
            <w:pPr>
              <w:spacing w:after="0" w:line="320"/>
            </w:pPr>
            <w:r>
              <w:rPr>
                <w:rFonts w:ascii="微軟正黑體" w:cs="微軟正黑體" w:eastAsia="微軟正黑體" w:hAnsi="微軟正黑體"/>
                <w:sz w:val="21"/>
                <w:szCs w:val="21"/>
              </w:rPr>
              <w:t xml:space="preserve">•　⑥依法行政的正確表述：公部門法無授權即禁止，私部門法無禁止即自由</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防禦 vs. 促進口訣：防禦「不可為」（不貪不取），促進「應積極為」（見危不救也算違反倫理）</w:t>
            </w:r>
          </w:p>
          <w:p>
            <w:pPr>
              <w:spacing w:after="80" w:line="320"/>
            </w:pPr>
            <w:r>
              <w:rPr>
                <w:rFonts w:ascii="微軟正黑體" w:cs="微軟正黑體" w:eastAsia="微軟正黑體" w:hAnsi="微軟正黑體"/>
                <w:sz w:val="21"/>
                <w:szCs w:val="21"/>
              </w:rPr>
              <w:t xml:space="preserve">•　Cooper三衝突記憶：權威（上對下的命令 vs. 良知）、角色（内外或内内的期待拉扯）、利益（私益 vs. 公益）</w:t>
            </w:r>
          </w:p>
          <w:p>
            <w:pPr>
              <w:spacing w:after="0" w:line="320"/>
            </w:pPr>
            <w:r>
              <w:rPr>
                <w:rFonts w:ascii="微軟正黑體" w:cs="微軟正黑體" w:eastAsia="微軟正黑體" w:hAnsi="微軟正黑體"/>
                <w:sz w:val="21"/>
                <w:szCs w:val="21"/>
              </w:rPr>
              <w:t xml:space="preserve">•　Warwick五原則口訣：公（共取向）、反（省性選擇）、真（誠）、程（序尊重）、手（段限制）——五字訣「公反真程手」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「道德」（morality，個人內化最高操守原則）與「倫理」（ethics，特定職業社群脈絡之群己關係規範）常被考生混用——行政倫理屬於「角色倫理」，答題時應點名此一區辨，而非籠統以「道德」代稱。</w:t>
            </w:r>
          </w:p>
          <w:p>
            <w:pPr>
              <w:spacing w:after="0" w:line="320"/>
            </w:pPr>
            <w:r>
              <w:rPr>
                <w:rFonts w:ascii="微軟正黑體" w:cs="微軟正黑體" w:eastAsia="微軟正黑體" w:hAnsi="微軟正黑體"/>
                <w:sz w:val="21"/>
                <w:szCs w:val="21"/>
              </w:rPr>
              <w:t xml:space="preserve">•　Cooper「角色衝突（內外）」（組織角色與專業角色之衝突，如衛生官員兼具公衛專家身分）與「角色衝突（內內）」（層級間角色期待之拉扯，如中階主管夾於高層與基層之間）是兩種不同的角色衝突子類型，作答時應清楚區分「跨身分」與「跨層級」之差異。</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第二節　正義的行政：Rawls原初情境與無知之幕</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行政倫理的靈魂是社會公平。John Rawls於1971年《正義論》提供最系統的哲學基礎：原初情境（original position）設想人們在訂立社會基本結構契約之前，處於理性、自由且互無利害但彼此合作的假想起點；無知之幕（veil of ignorance）則使參與者對自身天賦、階級、性別、族群、宗教、世代與社經地位一無所知，僅具一般社會理論知識，目的在排除既得利益偏頗。</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無知之幕並非「愚民無知」，而是一種「公平的程序裝置」——在幕後，理性個體基於風險規避，採取「最大化最小值」（maximin）策略，優先保障最劣勢者，因為每個人都可能成為最弱勢的一方。</w:t>
      </w:r>
    </w:p>
    <w:p>
      <w:pPr>
        <w:pStyle w:val="ListParagraph"/>
        <w:numPr>
          <w:ilvl w:val="0"/>
          <w:numId w:val="2"/>
        </w:numPr>
        <w:spacing w:after="120" w:line="340"/>
      </w:pPr>
      <w:r>
        <w:rPr>
          <w:rFonts w:ascii="微軟正黑體" w:cs="微軟正黑體" w:eastAsia="微軟正黑體" w:hAnsi="微軟正黑體"/>
          <w:sz w:val="22"/>
          <w:szCs w:val="22"/>
        </w:rPr>
        <w:t xml:space="preserve">正義兩原則：第一原則（自由平等原則）——每個人對與所有人所享最廣泛平等的基本自由體系相容之類似自由體系，享有平等權利，具優先性；第二原則（機會均等與差別原則）——其一為機會公平平等原則（職位地位對所有人開放），其二為差別原則（社會經濟不平等僅在對最弱勢者最有利時始具正當性）。</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413"/>
        <w:gridCol w:w="3613"/>
      </w:tblGrid>
      <w:tr>
        <w:trPr>
          <w:tblHeader/>
        </w:trPr>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構成</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原典意涵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行政轉譯</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原初情境</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契約起點</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政策制定前的利害關係人審議</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無知之幕</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遮蔽社經資訊</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中立檢視政策對弱勢的衝擊</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差別原則</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對最弱勢者最有利</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重分配、矯正措施</w:t>
            </w:r>
          </w:p>
        </w:tc>
      </w:tr>
    </w:tbl>
    <w:p>
      <w:pPr>
        <w:spacing w:after="280" w:before="120"/>
        <w:jc w:val="center"/>
      </w:pPr>
      <w:r>
        <w:rPr>
          <w:rFonts w:ascii="微軟正黑體" w:cs="微軟正黑體" w:eastAsia="微軟正黑體" w:hAnsi="微軟正黑體"/>
          <w:i/>
          <w:iCs/>
          <w:color w:val="555555"/>
          <w:sz w:val="18"/>
          <w:szCs w:val="18"/>
        </w:rPr>
        <w:t xml:space="preserve">表6-C　Rawls正義論核心構成與行政轉譯</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Rawls正義論對行政倫理至少有三重制度涵義：最弱勢者保障應作為資源分配的優先考量；程序正義與補償正義須取得平衡；差別原則可進一步轉化為具體可操作之公平性指標（如優先改善最弱勢群體之服務落差或錯誤率），而非停留於抽象宣示層次。</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理論構件</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原初情境／無知之幕</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提供排除既得利益偏頗之公正程序裝置，具高度抽象說服力</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作為思想實驗，實際政策制定難以真正做到資訊完全遮蔽</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差別原則</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為資源重分配與弱勢保障提供明確之正當性判準</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「對最弱勢者最有利」之判斷標準仍須輔以具體實證資料方可操作</w:t>
            </w:r>
          </w:p>
        </w:tc>
      </w:tr>
    </w:tbl>
    <w:p>
      <w:pPr>
        <w:spacing w:after="280" w:before="120"/>
        <w:jc w:val="center"/>
      </w:pPr>
      <w:r>
        <w:rPr>
          <w:rFonts w:ascii="微軟正黑體" w:cs="微軟正黑體" w:eastAsia="微軟正黑體" w:hAnsi="微軟正黑體"/>
          <w:i/>
          <w:iCs/>
          <w:color w:val="555555"/>
          <w:sz w:val="18"/>
          <w:szCs w:val="18"/>
        </w:rPr>
        <w:t xml:space="preserve">表6-D　Rawls正義論之貢獻與限制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「演算法無知之幕」（blind testing）已成為公平機器學習之核心技術手段：在模型訓練與測試階段刻意遮蔽種族、性別等受保護特徵，以檢測並降低模型輸出之系統性偏見，是差別原則於AI治理中最具體之操作化實踐。</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社會福利資源分配（如低收入戶認定、弱勢兒少扶助）之政策設計，經常援引差別原則之精神，優先保障最劣勢群體，並以家戶所得、財產、負擔人口數等客觀指標建立資格審查機制，力求降低審查人員主觀認定造成之不公平落差。</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①原初情境（original position）與無知之幕（veil of ignorance）之意涵</w:t>
            </w:r>
          </w:p>
          <w:p>
            <w:pPr>
              <w:spacing w:after="80" w:line="320"/>
            </w:pPr>
            <w:r>
              <w:rPr>
                <w:rFonts w:ascii="微軟正黑體" w:cs="微軟正黑體" w:eastAsia="微軟正黑體" w:hAnsi="微軟正黑體"/>
                <w:sz w:val="21"/>
                <w:szCs w:val="21"/>
              </w:rPr>
              <w:t xml:space="preserve">•　②maximin最大化最小值策略</w:t>
            </w:r>
          </w:p>
          <w:p>
            <w:pPr>
              <w:spacing w:after="80" w:line="320"/>
            </w:pPr>
            <w:r>
              <w:rPr>
                <w:rFonts w:ascii="微軟正黑體" w:cs="微軟正黑體" w:eastAsia="微軟正黑體" w:hAnsi="微軟正黑體"/>
                <w:sz w:val="21"/>
                <w:szCs w:val="21"/>
              </w:rPr>
              <w:t xml:space="preserve">•　③正義兩原則：自由平等原則（第一原則）、機會均等原則與差別原則（第二原則）</w:t>
            </w:r>
          </w:p>
          <w:p>
            <w:pPr>
              <w:spacing w:after="80" w:line="320"/>
            </w:pPr>
            <w:r>
              <w:rPr>
                <w:rFonts w:ascii="微軟正黑體" w:cs="微軟正黑體" w:eastAsia="微軟正黑體" w:hAnsi="微軟正黑體"/>
                <w:sz w:val="21"/>
                <w:szCs w:val="21"/>
              </w:rPr>
              <w:t xml:space="preserve">•　④差別原則（difference principle）：不平等僅在對最弱勢者最有利時始具正當性</w:t>
            </w:r>
          </w:p>
          <w:p>
            <w:pPr>
              <w:spacing w:after="0" w:line="320"/>
            </w:pPr>
            <w:r>
              <w:rPr>
                <w:rFonts w:ascii="微軟正黑體" w:cs="微軟正黑體" w:eastAsia="微軟正黑體" w:hAnsi="微軟正黑體"/>
                <w:sz w:val="21"/>
                <w:szCs w:val="21"/>
              </w:rPr>
              <w:t xml:space="preserve">•　⑤演算法無知之幕（blind testing）作為公平機器學習之哲學基礎</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無知之幕口訣：「不知道自己是誰，才會訂出對所有人都公平的規則」</w:t>
            </w:r>
          </w:p>
          <w:p>
            <w:pPr>
              <w:spacing w:after="80" w:line="320"/>
            </w:pPr>
            <w:r>
              <w:rPr>
                <w:rFonts w:ascii="微軟正黑體" w:cs="微軟正黑體" w:eastAsia="微軟正黑體" w:hAnsi="微軟正黑體"/>
                <w:sz w:val="21"/>
                <w:szCs w:val="21"/>
              </w:rPr>
              <w:t xml:space="preserve">•　正義兩原則口訣：第一原則管「自由」（優先），第二原則管「機會＋差別」（分配）——自由優先於分配</w:t>
            </w:r>
          </w:p>
          <w:p>
            <w:pPr>
              <w:spacing w:after="0" w:line="320"/>
            </w:pPr>
            <w:r>
              <w:rPr>
                <w:rFonts w:ascii="微軟正黑體" w:cs="微軟正黑體" w:eastAsia="微軟正黑體" w:hAnsi="微軟正黑體"/>
                <w:sz w:val="21"/>
                <w:szCs w:val="21"/>
              </w:rPr>
              <w:t xml:space="preserve">•　差別原則速記：不平等要正當，除非對最弱勢的人最有利</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原初情境」（契約訂立的假想起點，一個情境）與「無知之幕」（該情境下的資訊遮蔽機制，一個裝置）常被考生視為同義詞混用——原初情境是舞台，無知之幕是這個舞台上的規則設計，兩者層次不同，作答時應分別定義再說明其關係。</w:t>
            </w:r>
          </w:p>
          <w:p>
            <w:pPr>
              <w:spacing w:after="0" w:line="320"/>
            </w:pPr>
            <w:r>
              <w:rPr>
                <w:rFonts w:ascii="微軟正黑體" w:cs="微軟正黑體" w:eastAsia="微軟正黑體" w:hAnsi="微軟正黑體"/>
                <w:sz w:val="21"/>
                <w:szCs w:val="21"/>
              </w:rPr>
              <w:t xml:space="preserve">•　「機會均等原則」（職位對所有人平等開放）與「差別原則」（不平等須對最弱勢者最有利）都屬於Rawls第二原則之子原則，但前者處理「起點的公平」，後者處理「結果不平等的正當性」，考生常誤把兩者合併為單一原則作答。</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第三節　行政中立的新詮釋與行政責任體系</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行政中立（administrative neutrality）指事務官依法執行公務，以同一標準服務全民，不因政黨色彩介入政爭，其功能在於維持社會公平、防止分贓、履行信託、穩定體系與避免公器私用；行政責任（administrative responsibility）指行政人員應向誰（to whom）、為何事（for what）負責。</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行政中立之弔詭性：黑堡宣言與新公共管理皆認為政治與行政無法截然二分，要求公務員如僧侶般中立並不切實際；當代新詮釋將中立對象由「不介入政治」轉為「忠於憲法、法律與民主程序」（constitutional loyalty），行為模式由消極「不介入」轉為積極「捍衛弱勢、促進人權」。</w:t>
      </w:r>
    </w:p>
    <w:p>
      <w:pPr>
        <w:pStyle w:val="ListParagraph"/>
        <w:numPr>
          <w:ilvl w:val="0"/>
          <w:numId w:val="2"/>
        </w:numPr>
        <w:spacing w:after="120" w:line="340"/>
      </w:pPr>
      <w:r>
        <w:rPr>
          <w:rFonts w:ascii="微軟正黑體" w:cs="微軟正黑體" w:eastAsia="微軟正黑體" w:hAnsi="微軟正黑體"/>
          <w:sz w:val="22"/>
          <w:szCs w:val="22"/>
        </w:rPr>
        <w:t xml:space="preserve">Fesler與Kettl責任二分：負責行為（accountable behavior，依法辦事之客觀責任）與倫理行為（ethical behavior，堅守道德標準之主觀責任）；Starling六要素：回應性、彈性、課責性、廉潔性、勝任能力、正當程序（近年並納入可審計性）；Gilbert依「正式／非正式」與「內部／外部」兩向度，建構確保行政責任的四種途徑；三元責任論：政治責任、法律責任、專業責任三者經常相互衝突，成熟制度不在消除衝突而在提供透明權衡機制。</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內部</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外部</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正式</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行政控制、調查委員會、人事主計政風雙重監督</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議會控制、司法控制、監察審計、選舉課責</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非正式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代表性官僚、專業倫理、吹哨者保護</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公民參與與數位審議、媒體監督、資訊自由</w:t>
            </w:r>
          </w:p>
        </w:tc>
      </w:tr>
    </w:tbl>
    <w:p>
      <w:pPr>
        <w:spacing w:after="280" w:before="120"/>
        <w:jc w:val="center"/>
      </w:pPr>
      <w:r>
        <w:rPr>
          <w:rFonts w:ascii="微軟正黑體" w:cs="微軟正黑體" w:eastAsia="微軟正黑體" w:hAnsi="微軟正黑體"/>
          <w:i/>
          <w:iCs/>
          <w:color w:val="555555"/>
          <w:sz w:val="18"/>
          <w:szCs w:val="18"/>
        </w:rPr>
        <w:t xml:space="preserve">表6-E　Gilbert四宮格：行政責任確保途徑</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476"/>
        <w:gridCol w:w="2475"/>
        <w:gridCol w:w="2475"/>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247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政治責任</w:t>
            </w:r>
          </w:p>
        </w:tc>
        <w:tc>
          <w:tcPr>
            <w:tcW w:type="dxa" w:w="2475"/>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法律責任</w:t>
            </w:r>
          </w:p>
        </w:tc>
        <w:tc>
          <w:tcPr>
            <w:tcW w:type="dxa" w:w="2475"/>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專業責任</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對誰負責</w:t>
            </w:r>
          </w:p>
        </w:tc>
        <w:tc>
          <w:tcPr>
            <w:tcW w:type="dxa" w:w="247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民選首長、政黨、公民</w:t>
            </w:r>
          </w:p>
        </w:tc>
        <w:tc>
          <w:tcPr>
            <w:tcW w:type="dxa" w:w="2475"/>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憲法、法律、法院</w:t>
            </w:r>
          </w:p>
        </w:tc>
        <w:tc>
          <w:tcPr>
            <w:tcW w:type="dxa" w:w="2475"/>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專業社群、公共利益</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如何確保</w:t>
            </w:r>
          </w:p>
        </w:tc>
        <w:tc>
          <w:tcPr>
            <w:tcW w:type="dxa" w:w="247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選舉、議會、民意</w:t>
            </w:r>
          </w:p>
        </w:tc>
        <w:tc>
          <w:tcPr>
            <w:tcW w:type="dxa" w:w="2475"/>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司法審查、監察審計</w:t>
            </w:r>
          </w:p>
        </w:tc>
        <w:tc>
          <w:tcPr>
            <w:tcW w:type="dxa" w:w="2475"/>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專業守則、同儕、吹哨</w:t>
            </w:r>
          </w:p>
        </w:tc>
      </w:tr>
    </w:tbl>
    <w:p>
      <w:pPr>
        <w:spacing w:after="280" w:before="120"/>
        <w:jc w:val="center"/>
      </w:pPr>
      <w:r>
        <w:rPr>
          <w:rFonts w:ascii="微軟正黑體" w:cs="微軟正黑體" w:eastAsia="微軟正黑體" w:hAnsi="微軟正黑體"/>
          <w:i/>
          <w:iCs/>
          <w:color w:val="555555"/>
          <w:sz w:val="18"/>
          <w:szCs w:val="18"/>
        </w:rPr>
        <w:t xml:space="preserve">表6-F　三元責任論比較（節錄）</w:t>
      </w:r>
    </w:p>
    <w:p>
      <w:pPr>
        <w:pStyle w:val="ListParagraph"/>
        <w:numPr>
          <w:ilvl w:val="0"/>
          <w:numId w:val="2"/>
        </w:numPr>
        <w:spacing w:after="120" w:line="340"/>
      </w:pPr>
      <w:r>
        <w:rPr>
          <w:rFonts w:ascii="微軟正黑體" w:cs="微軟正黑體" w:eastAsia="微軟正黑體" w:hAnsi="微軟正黑體"/>
          <w:sz w:val="22"/>
          <w:szCs w:val="22"/>
        </w:rPr>
        <w:t xml:space="preserve">Responsibility（內在責任感，主觀責任）與Accountability（外在可究責狀態，客觀責任）中文皆譯為「課責」但內涵不同，行政責任之完整設計須同時處理這兩個層次；課責的完整流程應包含資訊、辯論、制裁三個階段，若缺乏可爭訟性，課責便僅是儀式。</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Gilbert四宮格</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以雙向度清楚分類行政責任確保途徑，避免過度倚賴單一機制</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過度倚賴內部正式易形成防衛性官僚，過度倚賴外部非正式易形成民粹式課責</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三元責任論</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呈現政治、法律、專業三種課責邏輯之動態拉扯，貼近實務決策情境</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三者衝突時之權衡機制仍須依個案設計，理論本身不提供具體排序</w:t>
            </w:r>
          </w:p>
        </w:tc>
      </w:tr>
    </w:tbl>
    <w:p>
      <w:pPr>
        <w:spacing w:after="280" w:before="120"/>
        <w:jc w:val="center"/>
      </w:pPr>
      <w:r>
        <w:rPr>
          <w:rFonts w:ascii="微軟正黑體" w:cs="微軟正黑體" w:eastAsia="微軟正黑體" w:hAnsi="微軟正黑體"/>
          <w:i/>
          <w:iCs/>
          <w:color w:val="555555"/>
          <w:sz w:val="18"/>
          <w:szCs w:val="18"/>
        </w:rPr>
        <w:t xml:space="preserve">表6-G　行政責任理論之貢獻與限制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Gilbert四宮格已納入數位機制：內部正式新增「內部稽核AI日誌」、外部正式新增「個資與AI專責機關」；三元責任論之數位新機制則分別對應數位公聽會與參與平台（政治責任）、AI基本法與人權影響評估（法律責任）、AI倫理委員會與模型審計（專業責任）。</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公務人員行政中立法》（2009年制定）明定確保公務人員依法行政、執行公正、政治中立之目的，規範對象涵蓋法定機關與公立學校有給專任人員，並延伸準用九類人員；義務內容包括不得兼任政黨職務、不得利用職務介入黨爭或要求政治獻金、不得動用行政資源從事政黨宣傳等，登記為候選人者應依規定請假，長官不得拒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①行政中立新舊詮釋對比：去政治化（舊）vs. 民主錨定（新，忠於憲法）</w:t>
            </w:r>
          </w:p>
          <w:p>
            <w:pPr>
              <w:spacing w:after="80" w:line="320"/>
            </w:pPr>
            <w:r>
              <w:rPr>
                <w:rFonts w:ascii="微軟正黑體" w:cs="微軟正黑體" w:eastAsia="微軟正黑體" w:hAnsi="微軟正黑體"/>
                <w:sz w:val="21"/>
                <w:szCs w:val="21"/>
              </w:rPr>
              <w:t xml:space="preserve">•　②我國《公務人員行政中立法》規範對象、義務內容與參選規定</w:t>
            </w:r>
          </w:p>
          <w:p>
            <w:pPr>
              <w:spacing w:after="80" w:line="320"/>
            </w:pPr>
            <w:r>
              <w:rPr>
                <w:rFonts w:ascii="微軟正黑體" w:cs="微軟正黑體" w:eastAsia="微軟正黑體" w:hAnsi="微軟正黑體"/>
                <w:sz w:val="21"/>
                <w:szCs w:val="21"/>
              </w:rPr>
              <w:t xml:space="preserve">•　③Fesler與Kettl責任二分：負責行為（客觀）vs. 倫理行為（主觀）</w:t>
            </w:r>
          </w:p>
          <w:p>
            <w:pPr>
              <w:spacing w:after="80" w:line="320"/>
            </w:pPr>
            <w:r>
              <w:rPr>
                <w:rFonts w:ascii="微軟正黑體" w:cs="微軟正黑體" w:eastAsia="微軟正黑體" w:hAnsi="微軟正黑體"/>
                <w:sz w:val="21"/>
                <w:szCs w:val="21"/>
              </w:rPr>
              <w:t xml:space="preserve">•　④Starling六要素：回應性／彈性／課責性／廉潔性／勝任能力／正當程序</w:t>
            </w:r>
          </w:p>
          <w:p>
            <w:pPr>
              <w:spacing w:after="80" w:line="320"/>
            </w:pPr>
            <w:r>
              <w:rPr>
                <w:rFonts w:ascii="微軟正黑體" w:cs="微軟正黑體" w:eastAsia="微軟正黑體" w:hAnsi="微軟正黑體"/>
                <w:sz w:val="21"/>
                <w:szCs w:val="21"/>
              </w:rPr>
              <w:t xml:space="preserve">•　⑤Gilbert四宮格：正式/非正式 × 內部/外部</w:t>
            </w:r>
          </w:p>
          <w:p>
            <w:pPr>
              <w:spacing w:after="0" w:line="320"/>
            </w:pPr>
            <w:r>
              <w:rPr>
                <w:rFonts w:ascii="微軟正黑體" w:cs="微軟正黑體" w:eastAsia="微軟正黑體" w:hAnsi="微軟正黑體"/>
                <w:sz w:val="21"/>
                <w:szCs w:val="21"/>
              </w:rPr>
              <w:t xml:space="preserve">•　⑥三元責任論：政治責任／法律責任／專業責任</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行政中立新詮釋口訣：從「不碰政黨」到「忠於憲法」——對象變了，態度也從消極變積極</w:t>
            </w:r>
          </w:p>
          <w:p>
            <w:pPr>
              <w:spacing w:after="80" w:line="320"/>
            </w:pPr>
            <w:r>
              <w:rPr>
                <w:rFonts w:ascii="微軟正黑體" w:cs="微軟正黑體" w:eastAsia="微軟正黑體" w:hAnsi="微軟正黑體"/>
                <w:sz w:val="21"/>
                <w:szCs w:val="21"/>
              </w:rPr>
              <w:t xml:space="preserve">•　Gilbert四宮格記憶：內正（自己人管自己人）、外正（外部公權力管）、內非（自律文化）、外非（社會監督）</w:t>
            </w:r>
          </w:p>
          <w:p>
            <w:pPr>
              <w:spacing w:after="0" w:line="320"/>
            </w:pPr>
            <w:r>
              <w:rPr>
                <w:rFonts w:ascii="微軟正黑體" w:cs="微軟正黑體" w:eastAsia="微軟正黑體" w:hAnsi="微軟正黑體"/>
                <w:sz w:val="21"/>
                <w:szCs w:val="21"/>
              </w:rPr>
              <w:t xml:space="preserve">•　三元責任口訣：政治要快、法律要嚴、專業要對——三者互相拉扯，成熟制度是把拉扯攤在陽光下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「Responsibility」（內在責任感，主觀）與「Accountability」（外在可究責狀態，客觀）中文皆譯「課責」，考生極易混用——作答時應在第一次使用時以英文原詞加註區分，展現對兩者內涵差異之掌握。</w:t>
            </w:r>
          </w:p>
          <w:p>
            <w:pPr>
              <w:spacing w:after="0" w:line="320"/>
            </w:pPr>
            <w:r>
              <w:rPr>
                <w:rFonts w:ascii="微軟正黑體" w:cs="微軟正黑體" w:eastAsia="微軟正黑體" w:hAnsi="微軟正黑體"/>
                <w:sz w:val="21"/>
                <w:szCs w:val="21"/>
              </w:rPr>
              <w:t xml:space="preserve">•　「行政責任」（Fesler &amp; Kettl之負責/倫理二分、Gilbert四宮格、三元責任論，回答「向誰負責」）與「行政中立」（回答「是否介入政黨政治」）雖同屬本節，但問題意識不同，考生常誤將兩組理論混合套用於同一提問，作答時應先辨明題目問的是「課責機制」還是「政治中立」。</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第四節　我國行政責任的具體法制：陽光四法與利益迴避</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前述理論架構若不落實為具體法制，便只是抽象原則。我國近年已發展出一組被稱為「陽光法案」的具體制度，分別從不同角度落實行政責任與利益迴避。</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旋轉門條款（公務員服務法第16條）：公務員離職後三年內，不得擔任與其離職前五年內職務直接相關之營利事業董事、監察人、經理、執行業務股東或顧問；同法第14條並限制在職期間經營商業或投資有監督關係之營利事業。</w:t>
      </w:r>
    </w:p>
    <w:p>
      <w:pPr>
        <w:pStyle w:val="ListParagraph"/>
        <w:numPr>
          <w:ilvl w:val="0"/>
          <w:numId w:val="2"/>
        </w:numPr>
        <w:spacing w:after="120" w:line="340"/>
      </w:pPr>
      <w:r>
        <w:rPr>
          <w:rFonts w:ascii="微軟正黑體" w:cs="微軟正黑體" w:eastAsia="微軟正黑體" w:hAnsi="微軟正黑體"/>
          <w:sz w:val="22"/>
          <w:szCs w:val="22"/>
        </w:rPr>
        <w:t xml:space="preserve">公務員廉政倫理規範：對餽贈與飲宴應酬訂有具體數額門檻（一般社交往來市價不逾新臺幣三千元，同一年度來自同一來源受贈總額以一萬元為限；公務禮儀或市價五百元以下偶發受贈始得例外收受）——是行政倫理「法則化」之實例，把抽象廉潔要求轉譯為可操作、可稽核之行為標準。</w:t>
      </w:r>
    </w:p>
    <w:p>
      <w:pPr>
        <w:pStyle w:val="ListParagraph"/>
        <w:numPr>
          <w:ilvl w:val="0"/>
          <w:numId w:val="2"/>
        </w:numPr>
        <w:spacing w:after="120" w:line="340"/>
      </w:pPr>
      <w:r>
        <w:rPr>
          <w:rFonts w:ascii="微軟正黑體" w:cs="微軟正黑體" w:eastAsia="微軟正黑體" w:hAnsi="微軟正黑體"/>
          <w:sz w:val="22"/>
          <w:szCs w:val="22"/>
        </w:rPr>
        <w:t xml:space="preserve">公職人員利益衝突迴避法：規範對象涵蓋總統副總統、政府機關首長、政務人員、民代、法官檢察官等十二類公職人員及其配偶、二親等內親屬等關係人；所稱利益包括財產上利益與非財產上利益（升遷、調動等人事措施），是利益衝突不僅止於金錢之制度化體現。</w:t>
      </w:r>
    </w:p>
    <w:p>
      <w:pPr>
        <w:pStyle w:val="ListParagraph"/>
        <w:numPr>
          <w:ilvl w:val="0"/>
          <w:numId w:val="2"/>
        </w:numPr>
        <w:spacing w:after="120" w:line="340"/>
      </w:pPr>
      <w:r>
        <w:rPr>
          <w:rFonts w:ascii="微軟正黑體" w:cs="微軟正黑體" w:eastAsia="微軟正黑體" w:hAnsi="微軟正黑體"/>
          <w:sz w:val="22"/>
          <w:szCs w:val="22"/>
        </w:rPr>
        <w:t xml:space="preserve">公職人員財產申報法（陽光法案）：應申報對象涵蓋總統副總統至簡任第十職等以上首長等十二類，受理機關依身分層級分流（監察院／各機關政風單位／各級選舉委員會）；政治獻金法規範政黨、政治團體、擬參選人與當選人收受政治獻金之資格、來源限制與申報揭露義務，受理機關為監察院。</w:t>
      </w:r>
    </w:p>
    <w:p>
      <w:pPr>
        <w:pStyle w:val="ListParagraph"/>
        <w:numPr>
          <w:ilvl w:val="0"/>
          <w:numId w:val="2"/>
        </w:numPr>
        <w:spacing w:after="120" w:line="340"/>
      </w:pPr>
      <w:r>
        <w:rPr>
          <w:rFonts w:ascii="微軟正黑體" w:cs="微軟正黑體" w:eastAsia="微軟正黑體" w:hAnsi="微軟正黑體"/>
          <w:sz w:val="22"/>
          <w:szCs w:val="22"/>
        </w:rPr>
        <w:t xml:space="preserve">弊端揭發者保護（whistle-blowing）：是官僚異議之一種形式，抗衡「組織倫理困境」之最直接制度回應；美國自1978年文官改革法、1989年揭弊者保護法建立專責保護機制（功績制保護委員會），我國尚無專責弊端揭發者保護專法，是我國陽光法制中相對薄弱之一環。</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3800"/>
        <w:gridCol w:w="24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法制</w:t>
            </w:r>
          </w:p>
        </w:tc>
        <w:tc>
          <w:tcPr>
            <w:tcW w:type="dxa" w:w="3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核心目的</w:t>
            </w:r>
          </w:p>
        </w:tc>
        <w:tc>
          <w:tcPr>
            <w:tcW w:type="dxa" w:w="2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主管或受理機關</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旋轉門條款（公務員服務法）</w:t>
            </w:r>
          </w:p>
        </w:tc>
        <w:tc>
          <w:tcPr>
            <w:tcW w:type="dxa" w:w="3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防止職務影響力於離職後或任職中不當變現</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各機關政風單位</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公職人員利益衝突迴避法</w:t>
            </w:r>
          </w:p>
        </w:tc>
        <w:tc>
          <w:tcPr>
            <w:tcW w:type="dxa" w:w="3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遏阻利益輸送、要求利益迴避</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監察院</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公職人員財產申報法</w:t>
            </w:r>
          </w:p>
        </w:tc>
        <w:tc>
          <w:tcPr>
            <w:tcW w:type="dxa" w:w="3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以財產透明確立清廉作為</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監察院、政風單位、選舉委員會</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政治獻金法</w:t>
            </w:r>
          </w:p>
        </w:tc>
        <w:tc>
          <w:tcPr>
            <w:tcW w:type="dxa" w:w="3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防止金錢扭曲民主程序</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監察院</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弊端揭發者保護（尚無專法）</w:t>
            </w:r>
          </w:p>
        </w:tc>
        <w:tc>
          <w:tcPr>
            <w:tcW w:type="dxa" w:w="3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抗衡組織倫理困境，鼓勵揭弊</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散見各機關內部規範，草案研議中</w:t>
            </w:r>
          </w:p>
        </w:tc>
      </w:tr>
    </w:tbl>
    <w:p>
      <w:pPr>
        <w:spacing w:after="280" w:before="120"/>
        <w:jc w:val="center"/>
      </w:pPr>
      <w:r>
        <w:rPr>
          <w:rFonts w:ascii="微軟正黑體" w:cs="微軟正黑體" w:eastAsia="微軟正黑體" w:hAnsi="微軟正黑體"/>
          <w:i/>
          <w:iCs/>
          <w:color w:val="555555"/>
          <w:sz w:val="18"/>
          <w:szCs w:val="18"/>
        </w:rPr>
        <w:t xml:space="preserve">表6-H　我國陽光法制與利益迴避法規對照</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陽光四法（旋轉門條款、廉政倫理規範、利益衝突迴避法、財產申報法）與政治獻金法，共同構成我國廉能政府建立之法制拼圖，彼此分工互補而非各自獨立運作；其中弊端揭發者保護專法之缺位，是我國陽光法制中最明顯之制度缺口，隨著行政決策所涉及之技術與資訊日趨複雜，此一缺口之補強只會更加迫切。</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813"/>
        <w:gridCol w:w="30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法制</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0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陽光四法整體</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以具體數額、對象與受理機關，將抽象倫理要求轉化為可操作、可稽核之法律義務</w:t>
            </w:r>
          </w:p>
        </w:tc>
        <w:tc>
          <w:tcPr>
            <w:tcW w:type="dxa" w:w="3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弊端揭發者保護專法付之闕如，揭弊者保障不及對貪腐行為規範之完整</w:t>
            </w:r>
          </w:p>
        </w:tc>
      </w:tr>
    </w:tbl>
    <w:p>
      <w:pPr>
        <w:spacing w:after="280" w:before="120"/>
        <w:jc w:val="center"/>
      </w:pPr>
      <w:r>
        <w:rPr>
          <w:rFonts w:ascii="微軟正黑體" w:cs="微軟正黑體" w:eastAsia="微軟正黑體" w:hAnsi="微軟正黑體"/>
          <w:i/>
          <w:iCs/>
          <w:color w:val="555555"/>
          <w:sz w:val="18"/>
          <w:szCs w:val="18"/>
        </w:rPr>
        <w:t xml:space="preserve">表6-I　我國陽光法制之貢獻與限制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當AI系統出現偏誤，揭弊者所能仰賴的制度保障，遠不及陽光四法對傳統貪腐行為之規範完整——這正是本章稍後討論演算法課責時，格外需要補強之制度缺口。</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監察院同時身兼公職人員利益衝突迴避法、財產申報法與政治獻金法之受理或主管機關，展現我國陽光法制以監察權為核心之制度設計特色；各機關政風單位則於旋轉門條款與廉政倫理規範之日常執行中，扮演第一線把關角色。</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①旋轉門條款（公務員服務法第16條）：離職後三年、離職前五年職務直接相關</w:t>
            </w:r>
          </w:p>
          <w:p>
            <w:pPr>
              <w:spacing w:after="80" w:line="320"/>
            </w:pPr>
            <w:r>
              <w:rPr>
                <w:rFonts w:ascii="微軟正黑體" w:cs="微軟正黑體" w:eastAsia="微軟正黑體" w:hAnsi="微軟正黑體"/>
                <w:sz w:val="21"/>
                <w:szCs w:val="21"/>
              </w:rPr>
              <w:t xml:space="preserve">•　②公務員廉政倫理規範之具體數額門檻（三千元、一萬元、五百元）</w:t>
            </w:r>
          </w:p>
          <w:p>
            <w:pPr>
              <w:spacing w:after="80" w:line="320"/>
            </w:pPr>
            <w:r>
              <w:rPr>
                <w:rFonts w:ascii="微軟正黑體" w:cs="微軟正黑體" w:eastAsia="微軟正黑體" w:hAnsi="微軟正黑體"/>
                <w:sz w:val="21"/>
                <w:szCs w:val="21"/>
              </w:rPr>
              <w:t xml:space="preserve">•　③公職人員利益衝突迴避法：財產上利益與非財產上利益之區分</w:t>
            </w:r>
          </w:p>
          <w:p>
            <w:pPr>
              <w:spacing w:after="80" w:line="320"/>
            </w:pPr>
            <w:r>
              <w:rPr>
                <w:rFonts w:ascii="微軟正黑體" w:cs="微軟正黑體" w:eastAsia="微軟正黑體" w:hAnsi="微軟正黑體"/>
                <w:sz w:val="21"/>
                <w:szCs w:val="21"/>
              </w:rPr>
              <w:t xml:space="preserve">•　④公職人員財產申報法：應申報對象與受理機關之分流設計</w:t>
            </w:r>
          </w:p>
          <w:p>
            <w:pPr>
              <w:spacing w:after="80" w:line="320"/>
            </w:pPr>
            <w:r>
              <w:rPr>
                <w:rFonts w:ascii="微軟正黑體" w:cs="微軟正黑體" w:eastAsia="微軟正黑體" w:hAnsi="微軟正黑體"/>
                <w:sz w:val="21"/>
                <w:szCs w:val="21"/>
              </w:rPr>
              <w:t xml:space="preserve">•　⑤政治獻金法之規範目的與受理機關</w:t>
            </w:r>
          </w:p>
          <w:p>
            <w:pPr>
              <w:spacing w:after="0" w:line="320"/>
            </w:pPr>
            <w:r>
              <w:rPr>
                <w:rFonts w:ascii="微軟正黑體" w:cs="微軟正黑體" w:eastAsia="微軟正黑體" w:hAnsi="微軟正黑體"/>
                <w:sz w:val="21"/>
                <w:szCs w:val="21"/>
              </w:rPr>
              <w:t xml:space="preserve">•　⑥弊端揭發者保護：我國尚無專法，是陽光法制中相對薄弱之一環</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陽光四法口訣：旋轉門（離職後）、廉政倫理規範（餽贈飲宴）、利益衝突迴避法（在職迴避）、財產申報法（定期揭露）——涵蓋離職前、在職中、定期申報三個時間軸</w:t>
            </w:r>
          </w:p>
          <w:p>
            <w:pPr>
              <w:spacing w:after="80" w:line="320"/>
            </w:pPr>
            <w:r>
              <w:rPr>
                <w:rFonts w:ascii="微軟正黑體" w:cs="微軟正黑體" w:eastAsia="微軟正黑體" w:hAnsi="微軟正黑體"/>
                <w:sz w:val="21"/>
                <w:szCs w:val="21"/>
              </w:rPr>
              <w:t xml:space="preserve">•　數額速記：社交禮俗3000元、年度同一來源1萬元、偶發受贈500元——由小到大三道門檻</w:t>
            </w:r>
          </w:p>
          <w:p>
            <w:pPr>
              <w:spacing w:after="0" w:line="320"/>
            </w:pPr>
            <w:r>
              <w:rPr>
                <w:rFonts w:ascii="微軟正黑體" w:cs="微軟正黑體" w:eastAsia="微軟正黑體" w:hAnsi="微軟正黑體"/>
                <w:sz w:val="21"/>
                <w:szCs w:val="21"/>
              </w:rPr>
              <w:t xml:space="preserve">•　受理機關記憶：監察院管「利益迴避＋財產申報＋政治獻金」三法，政風單位管「旋轉門＋廉政倫理規範」日常執行</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公職人員利益衝突迴避法」（規範利益迴避行為，監察院受理）與「公職人員財產申報法」（要求定期揭露財產，監察院／政風單位／選委會分流受理）常被考生視為同一部法律——前者是「行為規範」，後者是「資訊揭露」，規範對象範圍亦不完全相同，作答時應分別列出法規全名與核心目的。</w:t>
            </w:r>
          </w:p>
          <w:p>
            <w:pPr>
              <w:spacing w:after="0" w:line="320"/>
            </w:pPr>
            <w:r>
              <w:rPr>
                <w:rFonts w:ascii="微軟正黑體" w:cs="微軟正黑體" w:eastAsia="微軟正黑體" w:hAnsi="微軟正黑體"/>
                <w:sz w:val="21"/>
                <w:szCs w:val="21"/>
              </w:rPr>
              <w:t xml:space="preserve">•　「旋轉門條款」限制的是離職「後」轉任特定產業，「公務員服務法第14條」限制的是在職「中」經營商業或投資，兩者同屬公務員服務法卻規範不同時間點之行為，考生常誤把兩者合併為單一「旋轉門」概念。</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第五節　AI鑲嵌下的演算法課責與虛擬法官的紅線</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當AI系統參與行政裁量，甚至涉入準司法性質的判斷，傳統行政倫理原則與課責機制是否仍然有效，是本章最尖銳的提問；裁量權從街頭官僚轉向街頭演算法與系統層官僚，帶來三重責任危機：多手問題（設計者、資料提供者、承辦人員、機關首長究竟誰該負責）、無臉政府（民眾甚至不知道自己被AI決定）、自動化偏見（承辦人員過度信任機器輸出）。</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演算法課責（algorithmic accountability）等於可歸責性、可解釋性、可爭訟性與可審計性四者的總和，具體機制包括演算法影響評估（AIA）、模型卡與資料卡（model cards, data cards）、演算法審計（內部、外部獨立、公民協作三種形式）、人類意義覆核（meaningful human review，EU AI Act第14條要求監督者須具實質介入、暫停或推翻能力）。</w:t>
      </w:r>
    </w:p>
    <w:p>
      <w:pPr>
        <w:pStyle w:val="ListParagraph"/>
        <w:numPr>
          <w:ilvl w:val="0"/>
          <w:numId w:val="2"/>
        </w:numPr>
        <w:spacing w:after="120" w:line="340"/>
      </w:pPr>
      <w:r>
        <w:rPr>
          <w:rFonts w:ascii="微軟正黑體" w:cs="微軟正黑體" w:eastAsia="微軟正黑體" w:hAnsi="微軟正黑體"/>
          <w:sz w:val="22"/>
          <w:szCs w:val="22"/>
        </w:rPr>
        <w:t xml:space="preserve">AI倫理五支柱（Warwick五原則之AI轉譯收斂而成）：公平性（COMPAS再犯風險評估爭議、愛沙尼亞AI法官嘗試）、可解釋性（GDPR第22條、EU AI Act第86條解釋請求權）、可爭訟性（對抗式解釋、獨立覆核軌道）、隱私與資料治理（差別隱私、資料信託、主權AI）、人類監督與尊嚴（HITL人在迴圈／HOTL人在迴圈之上／HIC人於指揮三種強度）。</w:t>
      </w:r>
    </w:p>
    <w:p>
      <w:pPr>
        <w:pStyle w:val="ListParagraph"/>
        <w:numPr>
          <w:ilvl w:val="0"/>
          <w:numId w:val="2"/>
        </w:numPr>
        <w:spacing w:after="120" w:line="340"/>
      </w:pPr>
      <w:r>
        <w:rPr>
          <w:rFonts w:ascii="微軟正黑體" w:cs="微軟正黑體" w:eastAsia="微軟正黑體" w:hAnsi="微軟正黑體"/>
          <w:sz w:val="22"/>
          <w:szCs w:val="22"/>
        </w:rPr>
        <w:t xml:space="preserve">虛擬法官三層次：輔助（AI整理卷證、提供量刑參考數據）、替代（AI直接產出裁決建議，法官形式覆核）、增強（AI與法官持續互動修正）——EU AI Act已將司法用途AI列為高風險系統，並明確禁止完全自動化的司法判決，此為虛擬法官三層次中唯一被國際治理實務明文禁止跨越之界線。</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架構／工具</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核心內容</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演算法課責四要素</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可歸責性、可解釋性、可爭訟性、可審計性</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AI倫理五支柱</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公平性／可解釋性／可爭訟性／隱私與資料治理／人類監督與尊嚴</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OECD AI原則（2023）</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包容成長／法治人權民主／透明可解釋／韌性安全／課責性</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EU AI Act風險分級</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不可接受風險（禁止）／高風險（嚴格管制）／有限風險（透明義務）／最小風險（自律）</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虛擬法官三層次</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輔助／替代／增強，司法用途AI屬高風險，禁止完全自動化判決</w:t>
            </w:r>
          </w:p>
        </w:tc>
      </w:tr>
    </w:tbl>
    <w:p>
      <w:pPr>
        <w:spacing w:after="280" w:before="120"/>
        <w:jc w:val="center"/>
      </w:pPr>
      <w:r>
        <w:rPr>
          <w:rFonts w:ascii="微軟正黑體" w:cs="微軟正黑體" w:eastAsia="微軟正黑體" w:hAnsi="微軟正黑體"/>
          <w:i/>
          <w:iCs/>
          <w:color w:val="555555"/>
          <w:sz w:val="18"/>
          <w:szCs w:val="18"/>
        </w:rPr>
        <w:t xml:space="preserve">表6-J　演算法課責與AI倫理治理工具箱</w:t>
      </w:r>
    </w:p>
    <w:p>
      <w:pPr>
        <w:spacing w:after="140" w:before="260"/>
      </w:pPr>
      <w:r>
        <w:rPr>
          <w:rFonts w:ascii="微軟正黑體" w:cs="微軟正黑體" w:eastAsia="微軟正黑體" w:hAnsi="微軟正黑體"/>
          <w:b/>
          <w:bCs/>
          <w:color w:val="2E5C8A"/>
          <w:sz w:val="23"/>
          <w:szCs w:val="23"/>
        </w:rPr>
        <w:t xml:space="preserve">四、核心命題</w:t>
      </w:r>
    </w:p>
    <w:p>
      <w:pPr>
        <w:pStyle w:val="ListParagraph"/>
        <w:numPr>
          <w:ilvl w:val="0"/>
          <w:numId w:val="2"/>
        </w:numPr>
        <w:spacing w:after="120" w:line="340"/>
      </w:pPr>
      <w:r>
        <w:rPr>
          <w:rFonts w:ascii="微軟正黑體" w:cs="微軟正黑體" w:eastAsia="微軟正黑體" w:hAnsi="微軟正黑體"/>
          <w:sz w:val="22"/>
          <w:szCs w:val="22"/>
        </w:rPr>
        <w:t xml:space="preserve">可爭訟性（contestability）是課責的最後一哩：即使系統具備透明度與可解釋性，若受影響者無法有效質疑決定，課責便僅停留在儀式層次——教科書建議任何政府AI系統上線前，都應完成「三可檢核」：可解釋、可追溯、可爭訟，三者缺一，系統便不應正式上線。</w:t>
      </w:r>
    </w:p>
    <w:p>
      <w:pPr>
        <w:pStyle w:val="ListParagraph"/>
        <w:numPr>
          <w:ilvl w:val="0"/>
          <w:numId w:val="2"/>
        </w:numPr>
        <w:spacing w:after="120" w:line="340"/>
      </w:pPr>
      <w:r>
        <w:rPr>
          <w:rFonts w:ascii="微軟正黑體" w:cs="微軟正黑體" w:eastAsia="微軟正黑體" w:hAnsi="微軟正黑體"/>
          <w:sz w:val="22"/>
          <w:szCs w:val="22"/>
        </w:rPr>
        <w:t xml:space="preserve">三種權力移轉：情境建構權（P1，訓練資料標註與模型優化目標預先決定何謂異常或高風險）、行政裁量權（P2，街頭演算法承擔第一輪裁量，反省性選擇面臨被架空風險）、公權力影響力（P3，虛擬法官從輔助走向替代甚至增強，責任向技術系統外溢）；三種結構性效應：跨格移動、邊界消解、權威重構。</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工具／原則</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演算法影響評估（AIA）</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上線前強制評估風險與偏見，將課責前置化</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評估品質高度仰賴機關自身之技術審視能力，易流於形式</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可爭訟性（三可檢核）</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以「上線前必要條件」形式，將抽象倫理要求轉化為可操作門檻</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獨立覆核軌道與舉證責任反轉之落實，仍缺乏強制性法源依據</w:t>
            </w:r>
          </w:p>
        </w:tc>
      </w:tr>
    </w:tbl>
    <w:p>
      <w:pPr>
        <w:spacing w:after="280" w:before="120"/>
        <w:jc w:val="center"/>
      </w:pPr>
      <w:r>
        <w:rPr>
          <w:rFonts w:ascii="微軟正黑體" w:cs="微軟正黑體" w:eastAsia="微軟正黑體" w:hAnsi="微軟正黑體"/>
          <w:i/>
          <w:iCs/>
          <w:color w:val="555555"/>
          <w:sz w:val="18"/>
          <w:szCs w:val="18"/>
        </w:rPr>
        <w:t xml:space="preserve">表6-K　演算法課責工具之貢獻與限制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OECD AI原則（2023年修訂）與歐盟《人工智慧法》（2024年通過）之風險分級管制，為AI倫理五支柱提供可操作之規制工具；對公共部門而言，由於政府具主權特質、人民對政府服務往往別無選擇，行政倫理之意涵是應採取最高注意義務，以高風險標準自我要求，而非僅滿足最低合規門檻。</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司法院AI量刑輔助系統之試行，僅提供量刑參考數據、最終裁決權仍保留於法官，呼應「輔助」層次而非「替代」層次之設計原則；行政院2023年發布生成式AI參考指引，要求政府機關使用生成式AI時應標示AI介入事實；國科會持續推動AI基本法草案，納入可爭訟性與人類監督相關規範，但目前仍缺乏強制性稽核機制，距離制度化之演算法課責仍有相當距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①AI裁量三重責任危機：多手問題／無臉政府／自動化偏見</w:t>
            </w:r>
          </w:p>
          <w:p>
            <w:pPr>
              <w:spacing w:after="80" w:line="320"/>
            </w:pPr>
            <w:r>
              <w:rPr>
                <w:rFonts w:ascii="微軟正黑體" w:cs="微軟正黑體" w:eastAsia="微軟正黑體" w:hAnsi="微軟正黑體"/>
                <w:sz w:val="21"/>
                <w:szCs w:val="21"/>
              </w:rPr>
              <w:t xml:space="preserve">•　②演算法課責四要素：可歸責性、可解釋性、可爭訟性、可審計性</w:t>
            </w:r>
          </w:p>
          <w:p>
            <w:pPr>
              <w:spacing w:after="80" w:line="320"/>
            </w:pPr>
            <w:r>
              <w:rPr>
                <w:rFonts w:ascii="微軟正黑體" w:cs="微軟正黑體" w:eastAsia="微軟正黑體" w:hAnsi="微軟正黑體"/>
                <w:sz w:val="21"/>
                <w:szCs w:val="21"/>
              </w:rPr>
              <w:t xml:space="preserve">•　③AI倫理五支柱：公平性／可解釋性／可爭訟性／隱私與資料治理／人類監督與尊嚴</w:t>
            </w:r>
          </w:p>
          <w:p>
            <w:pPr>
              <w:spacing w:after="80" w:line="320"/>
            </w:pPr>
            <w:r>
              <w:rPr>
                <w:rFonts w:ascii="微軟正黑體" w:cs="微軟正黑體" w:eastAsia="微軟正黑體" w:hAnsi="微軟正黑體"/>
                <w:sz w:val="21"/>
                <w:szCs w:val="21"/>
              </w:rPr>
              <w:t xml:space="preserve">•　④虛擬法官三層次：輔助／替代／增強，及國際治理明文禁止之「人類保留」紅線</w:t>
            </w:r>
          </w:p>
          <w:p>
            <w:pPr>
              <w:spacing w:after="80" w:line="320"/>
            </w:pPr>
            <w:r>
              <w:rPr>
                <w:rFonts w:ascii="微軟正黑體" w:cs="微軟正黑體" w:eastAsia="微軟正黑體" w:hAnsi="微軟正黑體"/>
                <w:sz w:val="21"/>
                <w:szCs w:val="21"/>
              </w:rPr>
              <w:t xml:space="preserve">•　⑤三可檢核：可解釋、可追溯、可爭訟——三者缺一系統不應上線</w:t>
            </w:r>
          </w:p>
          <w:p>
            <w:pPr>
              <w:spacing w:after="0" w:line="320"/>
            </w:pPr>
            <w:r>
              <w:rPr>
                <w:rFonts w:ascii="微軟正黑體" w:cs="微軟正黑體" w:eastAsia="微軟正黑體" w:hAnsi="微軟正黑體"/>
                <w:sz w:val="21"/>
                <w:szCs w:val="21"/>
              </w:rPr>
              <w:t xml:space="preserve">•　⑥OECD AI原則五項與EU AI Act風險分級四級</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三重責任危機口訣：多手（找不到人）、無臉（不知道是誰決定）、自動化偏見（人不敢反駁機器）</w:t>
            </w:r>
          </w:p>
          <w:p>
            <w:pPr>
              <w:spacing w:after="80" w:line="320"/>
            </w:pPr>
            <w:r>
              <w:rPr>
                <w:rFonts w:ascii="微軟正黑體" w:cs="微軟正黑體" w:eastAsia="微軟正黑體" w:hAnsi="微軟正黑體"/>
                <w:sz w:val="21"/>
                <w:szCs w:val="21"/>
              </w:rPr>
              <w:t xml:space="preserve">•　AI倫理五支柱口訣：公（平性）、解（釋性）、爭（訟性）、隱（私治理）、監（督尊嚴）——「公解爭隱監」五字訣</w:t>
            </w:r>
          </w:p>
          <w:p>
            <w:pPr>
              <w:spacing w:after="0" w:line="320"/>
            </w:pPr>
            <w:r>
              <w:rPr>
                <w:rFonts w:ascii="微軟正黑體" w:cs="微軟正黑體" w:eastAsia="微軟正黑體" w:hAnsi="微軟正黑體"/>
                <w:sz w:val="21"/>
                <w:szCs w:val="21"/>
              </w:rPr>
              <w:t xml:space="preserve">•　虛擬法官三層次記憶：輔助（人做主，機器幫忙）→替代（機器做主，人簽名）→增強（人機一起修正）——「替代」是被明文禁止的那一層</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演算法課責」四要素中的「可解釋性」（explainability，能否理解模型為何如此決定）與「可爭訟性」（contestability，能否有效質疑並要求重新審查）常被考生視為同一件事——可解釋性是「知道為什麼」，可爭訟性是「能不能改變結果」，前者是後者之必要條件但不充分，答題時應分別定義。</w:t>
            </w:r>
          </w:p>
          <w:p>
            <w:pPr>
              <w:spacing w:after="0" w:line="320"/>
            </w:pPr>
            <w:r>
              <w:rPr>
                <w:rFonts w:ascii="微軟正黑體" w:cs="微軟正黑體" w:eastAsia="微軟正黑體" w:hAnsi="微軟正黑體"/>
                <w:sz w:val="21"/>
                <w:szCs w:val="21"/>
              </w:rPr>
              <w:t xml:space="preserve">•　「人在迴圈」（HITL，人類實質參與每一步決策）與「人在迴圈之上」（HOTL，人類監督但不逐案介入）常被考生誤用——前者監督強度最高、適用高風險決定，後者監督強度較低、適用大量例行案件，虛擬法官若採「替代」層次卻僅配置HOTL強度之監督，即已違反國際治理實務之「人類保留」要求。</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以下依A級基本題、B級比較題、C級綜合題三種難度，示範「題型判斷→關鍵字→答題架構→參考答案→得分關鍵→常見失分」之完整解題流程。三題均附基本得分版、標準版、高分版三種參考答案。</w:t>
      </w:r>
    </w:p>
    <w:p>
      <w:pPr>
        <w:spacing w:after="180" w:before="360"/>
      </w:pPr>
      <w:r>
        <w:rPr>
          <w:rFonts w:ascii="微軟正黑體" w:cs="微軟正黑體" w:eastAsia="微軟正黑體" w:hAnsi="微軟正黑體"/>
          <w:b/>
          <w:bCs/>
          <w:color w:val="1F4E79"/>
          <w:sz w:val="26"/>
          <w:szCs w:val="26"/>
        </w:rPr>
        <w:t xml:space="preserve">題目一（A級基本題）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111年公務人員特種考試身心障礙人員考試三等考試（一般行政），行政學，申論題第一題（25分）——完全符合一般行政類科、三等（相當高考三級）目標等別。</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「請論述當代民主國家可以透過何種機制對於政府機關行政運作課責（accountability）？（25分）」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機制列舉＋分類說明題」，考生須系統性地列舉並分類民主國家對行政運作課責之各種機制——最適合套用之架構為Gilbert四宮格（正式/非正式×內部/外部）與三元責任論（政治/法律/專業），兩套架構可擇一為主軸、另一為輔助補充，切勿僅憑常識羅列零散機制而無分類架構。</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行政課責（accountability） ＋ Gilbert四宮格 ＋ 三元責任論 ＋ 正式與非正式機制。</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一、前言：行政課責之意涵與其於民主治理中的必要性</w:t>
      </w:r>
    </w:p>
    <w:p>
      <w:pPr>
        <w:pStyle w:val="ListParagraph"/>
        <w:numPr>
          <w:ilvl w:val="0"/>
          <w:numId w:val="2"/>
        </w:numPr>
        <w:spacing w:after="120" w:line="340"/>
      </w:pPr>
      <w:r>
        <w:rPr>
          <w:rFonts w:ascii="微軟正黑體" w:cs="微軟正黑體" w:eastAsia="微軟正黑體" w:hAnsi="微軟正黑體"/>
          <w:sz w:val="22"/>
          <w:szCs w:val="22"/>
        </w:rPr>
        <w:t xml:space="preserve">二、Gilbert四宮格：正式／非正式 × 內部／外部四類機制</w:t>
      </w:r>
    </w:p>
    <w:p>
      <w:pPr>
        <w:pStyle w:val="ListParagraph"/>
        <w:numPr>
          <w:ilvl w:val="0"/>
          <w:numId w:val="2"/>
        </w:numPr>
        <w:spacing w:after="120" w:line="340"/>
      </w:pPr>
      <w:r>
        <w:rPr>
          <w:rFonts w:ascii="微軟正黑體" w:cs="微軟正黑體" w:eastAsia="微軟正黑體" w:hAnsi="微軟正黑體"/>
          <w:sz w:val="22"/>
          <w:szCs w:val="22"/>
        </w:rPr>
        <w:t xml:space="preserve">三、三元責任論：政治、法律、專業三種課責邏輯之補充說明</w:t>
      </w:r>
    </w:p>
    <w:p>
      <w:pPr>
        <w:pStyle w:val="ListParagraph"/>
        <w:numPr>
          <w:ilvl w:val="0"/>
          <w:numId w:val="2"/>
        </w:numPr>
        <w:spacing w:after="120" w:line="340"/>
      </w:pPr>
      <w:r>
        <w:rPr>
          <w:rFonts w:ascii="微軟正黑體" w:cs="微軟正黑體" w:eastAsia="微軟正黑體" w:hAnsi="微軟正黑體"/>
          <w:sz w:val="22"/>
          <w:szCs w:val="22"/>
        </w:rPr>
        <w:t xml:space="preserve">四、結論：課責機制須避免過度倚賴單一途徑</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行政課責（accountability）指政府機關之行政運作，須向特定對象說明並接受評判。Gilbert依「正式/非正式」與「內部/外部」兩個向度，將確保行政課責之途徑分為四類：內部正式（行政控制、調查委員會、人事主計政風雙重監督）、外部正式（議會控制、司法控制、監察審計、選舉課責）、內部非正式（代表性官僚、專業倫理、吹哨者保護）、外部非正式（公民參與、媒體監督、資訊自由與開放資料）。</w:t>
      </w:r>
    </w:p>
    <w:p>
      <w:pPr>
        <w:spacing w:after="200" w:line="360"/>
        <w:ind w:firstLine="431"/>
        <w:jc w:val="both"/>
      </w:pPr>
      <w:r>
        <w:rPr>
          <w:rFonts w:ascii="微軟正黑體" w:cs="微軟正黑體" w:eastAsia="微軟正黑體" w:hAnsi="微軟正黑體"/>
          <w:sz w:val="22"/>
          <w:szCs w:val="22"/>
        </w:rPr>
        <w:t xml:space="preserve">此外，亦可從三元責任論補充理解：政治責任對民選首長與民意負責，機制為選舉、議會質詢；法律責任對憲法與法院負責，機制為行政訴訟與司法審查；專業責任對專業社群負責，機制為專業守則與同儕評鑑。</w:t>
      </w:r>
    </w:p>
    <w:p>
      <w:pPr>
        <w:spacing w:after="200" w:line="360"/>
        <w:ind w:firstLine="431"/>
        <w:jc w:val="both"/>
      </w:pPr>
      <w:r>
        <w:rPr>
          <w:rFonts w:ascii="微軟正黑體" w:cs="微軟正黑體" w:eastAsia="微軟正黑體" w:hAnsi="微軟正黑體"/>
          <w:sz w:val="22"/>
          <w:szCs w:val="22"/>
        </w:rPr>
        <w:t xml:space="preserve">民主國家之行政課責機制設計，須同時兼顧正式與非正式、內部與外部途徑，過度倚賴內部正式容易形成防衛性官僚，過度倚賴外部非正式則容易形成民粹式課責，唯有多重機制相互補充，方能建立完整且有效之課責體系。</w:t>
      </w:r>
    </w:p>
    <w:p>
      <w:pPr>
        <w:spacing w:after="100" w:before="160"/>
      </w:pPr>
      <w:r>
        <w:rPr>
          <w:rFonts w:ascii="微軟正黑體" w:cs="微軟正黑體" w:eastAsia="微軟正黑體" w:hAnsi="微軟正黑體"/>
          <w:b/>
          <w:bCs/>
          <w:color w:val="444444"/>
          <w:sz w:val="21"/>
          <w:szCs w:val="21"/>
        </w:rPr>
        <w:t xml:space="preserve">【參考答案·標準版】（約1,000-1,500字，主要示範答案）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行政課責（accountability）指行政機關之運作與決定，須向特定「論壇」（forum，可以是議會、法院、上級機關或公眾）負有說明與辯護之義務，論壇得以提問並做出評價，行政機關則可能因此面對後果。在民主國家，官僚體制雖不具直接民選正當性，仍須透過一組多元且相互補充之機制，接受民主課責。</w:t>
      </w:r>
    </w:p>
    <w:p>
      <w:pPr>
        <w:spacing w:after="200" w:line="360"/>
        <w:ind w:firstLine="431"/>
        <w:jc w:val="both"/>
      </w:pPr>
      <w:r>
        <w:rPr>
          <w:rFonts w:ascii="微軟正黑體" w:cs="微軟正黑體" w:eastAsia="微軟正黑體" w:hAnsi="微軟正黑體"/>
          <w:sz w:val="22"/>
          <w:szCs w:val="22"/>
        </w:rPr>
        <w:t xml:space="preserve">二、Gilbert四宮格：四類課責機制</w:t>
      </w:r>
    </w:p>
    <w:p>
      <w:pPr>
        <w:pStyle w:val="ListParagraph"/>
        <w:numPr>
          <w:ilvl w:val="0"/>
          <w:numId w:val="2"/>
        </w:numPr>
        <w:spacing w:after="120" w:line="340"/>
      </w:pPr>
      <w:r>
        <w:rPr>
          <w:rFonts w:ascii="微軟正黑體" w:cs="微軟正黑體" w:eastAsia="微軟正黑體" w:hAnsi="微軟正黑體"/>
          <w:sz w:val="22"/>
          <w:szCs w:val="22"/>
        </w:rPr>
        <w:t xml:space="preserve">（一）內部正式：包括行政控制（層級節制、標準作業程序）、調查委員會，以及人事、主計、政風之雙重監督，側重效率與制裁。</w:t>
      </w:r>
    </w:p>
    <w:p>
      <w:pPr>
        <w:pStyle w:val="ListParagraph"/>
        <w:numPr>
          <w:ilvl w:val="0"/>
          <w:numId w:val="2"/>
        </w:numPr>
        <w:spacing w:after="120" w:line="340"/>
      </w:pPr>
      <w:r>
        <w:rPr>
          <w:rFonts w:ascii="微軟正黑體" w:cs="微軟正黑體" w:eastAsia="微軟正黑體" w:hAnsi="微軟正黑體"/>
          <w:sz w:val="22"/>
          <w:szCs w:val="22"/>
        </w:rPr>
        <w:t xml:space="preserve">（二）外部正式：包括議會控制（立法、預算、質詢、聽證）、司法控制（行政訴訟、裁量審查）、監察控制（糾舉、彈劾、審計）與選舉課責，側重民主正當性與制裁。</w:t>
      </w:r>
    </w:p>
    <w:p>
      <w:pPr>
        <w:pStyle w:val="ListParagraph"/>
        <w:numPr>
          <w:ilvl w:val="0"/>
          <w:numId w:val="2"/>
        </w:numPr>
        <w:spacing w:after="120" w:line="340"/>
      </w:pPr>
      <w:r>
        <w:rPr>
          <w:rFonts w:ascii="微軟正黑體" w:cs="微軟正黑體" w:eastAsia="微軟正黑體" w:hAnsi="微軟正黑體"/>
          <w:sz w:val="22"/>
          <w:szCs w:val="22"/>
        </w:rPr>
        <w:t xml:space="preserve">（三）內部非正式：包括代表性官僚、專業倫理與吹哨者揭弊，側重預防與效率。</w:t>
      </w:r>
    </w:p>
    <w:p>
      <w:pPr>
        <w:pStyle w:val="ListParagraph"/>
        <w:numPr>
          <w:ilvl w:val="0"/>
          <w:numId w:val="2"/>
        </w:numPr>
        <w:spacing w:after="120" w:line="340"/>
      </w:pPr>
      <w:r>
        <w:rPr>
          <w:rFonts w:ascii="微軟正黑體" w:cs="微軟正黑體" w:eastAsia="微軟正黑體" w:hAnsi="微軟正黑體"/>
          <w:sz w:val="22"/>
          <w:szCs w:val="22"/>
        </w:rPr>
        <w:t xml:space="preserve">（四）外部非正式：包括公民參與（陳情、公聽會、審議式民調）、媒體監督（第四權）與資訊自由（政府資訊公開法、開放資料），側重預防與民主。</w:t>
      </w:r>
    </w:p>
    <w:p>
      <w:pPr>
        <w:spacing w:after="200" w:line="360"/>
        <w:ind w:firstLine="431"/>
        <w:jc w:val="both"/>
      </w:pPr>
      <w:r>
        <w:rPr>
          <w:rFonts w:ascii="微軟正黑體" w:cs="微軟正黑體" w:eastAsia="微軟正黑體" w:hAnsi="微軟正黑體"/>
          <w:sz w:val="22"/>
          <w:szCs w:val="22"/>
        </w:rPr>
        <w:t xml:space="preserve">三、三元責任論之補充說明</w:t>
      </w:r>
    </w:p>
    <w:p>
      <w:pPr>
        <w:spacing w:after="200" w:line="360"/>
        <w:ind w:firstLine="431"/>
        <w:jc w:val="both"/>
      </w:pPr>
      <w:r>
        <w:rPr>
          <w:rFonts w:ascii="微軟正黑體" w:cs="微軟正黑體" w:eastAsia="微軟正黑體" w:hAnsi="微軟正黑體"/>
          <w:sz w:val="22"/>
          <w:szCs w:val="22"/>
        </w:rPr>
        <w:t xml:space="preserve">除Gilbert四宮格之結構性分類外，亦可從課責之「性質」補充理解：政治責任對民選首長、政黨與民意負責，確保回應性，機制為選舉、議會質詢、參與式預算；法律責任對憲法、法律與法院負責，確保合法性與人權保障，機制為行政訴訟、國家賠償、司法審查與監察；專業責任對專業社群、倫理守則與公共利益負責，確保效能與倫理，機制為專業認證、倫理守則、同儕評鑑與吹哨者揭弊。三者經常相互衝突——政治要求快速回應、法律要求嚴謹依法、專業要求正確判斷，成熟的課責制度不在於消除此一衝突，而在於提供透明的權衡機制。</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民主國家對行政運作之課責，並非單一機制所能完成，而是Gilbert四宮格所呈現之正式與非正式、內部與外部途徑，搭配三元責任論政治、法律、專業三種課責邏輯之動態平衡結果。過度倚賴內部正式途徑，容易使機關淪為防衛性官僚、僅求形式合規；過度倚賴外部非正式途徑，則可能使課責流於民粹式壓力，缺乏制度穩定性。唯有多重機制相互補強、彼此制衡，方能建立兼顧效率、合法性與民主正當性之完整行政課責體系。</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補充學者對比：可引入Bovens（2007）民主課責鏈（授權→行動→資訊→說明→評價→制裁）作為Gilbert四宮格之補充分析工具，說明課責不僅是機制之分類，更是一組須逐環節檢視是否斷裂的動態流程。</w:t>
      </w:r>
    </w:p>
    <w:p>
      <w:pPr>
        <w:pStyle w:val="ListParagraph"/>
        <w:numPr>
          <w:ilvl w:val="0"/>
          <w:numId w:val="2"/>
        </w:numPr>
        <w:spacing w:after="120" w:line="340"/>
      </w:pPr>
      <w:r>
        <w:rPr>
          <w:rFonts w:ascii="微軟正黑體" w:cs="微軟正黑體" w:eastAsia="微軟正黑體" w:hAnsi="微軟正黑體"/>
          <w:sz w:val="22"/>
          <w:szCs w:val="22"/>
        </w:rPr>
        <w:t xml:space="preserve">補充當代批判深化：可指出Gilbert四宮格之「正式」機制側重制裁、「非正式」機制側重預防，兩者須並存而非互相替代——僅有事後制裁而無事前預防，將使課責淪為亡羊補牢；僅有預防機制而無制裁效力，則課責可能流於形式勸說。</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具體指出，AI系統嵌入行政決策後，Gilbert四宮格須納入新型數位機制——內部正式新增「內部稽核AI日誌」、外部正式新增「個資與AI專責機關」，而演算法課責（可歸責性、可解釋性、可爭訟性、可審計性）正是傳統課責機制在AI時代之延伸應用。</w:t>
      </w:r>
    </w:p>
    <w:p>
      <w:pPr>
        <w:pStyle w:val="ListParagraph"/>
        <w:numPr>
          <w:ilvl w:val="0"/>
          <w:numId w:val="2"/>
        </w:numPr>
        <w:spacing w:after="120" w:line="340"/>
      </w:pPr>
      <w:r>
        <w:rPr>
          <w:rFonts w:ascii="微軟正黑體" w:cs="微軟正黑體" w:eastAsia="微軟正黑體" w:hAnsi="微軟正黑體"/>
          <w:sz w:val="22"/>
          <w:szCs w:val="22"/>
        </w:rPr>
        <w:t xml:space="preserve">補充臺灣行政實務：我國監察院同時肩負利益衝突迴避法、財產申報法與政治獻金法之受理或主管職責，是外部正式課責機制之核心樞紐；而近年推動之政府資訊公開與開放資料平台，則具體落實外部非正式課責中之「資訊自由」機制。</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須明確套用Gilbert四宮格（或三元責任論）作為答題主軸，四類機制須逐一完整列舉，不可僅籠統列出二、三項機制。</w:t>
      </w:r>
    </w:p>
    <w:p>
      <w:pPr>
        <w:pStyle w:val="ListParagraph"/>
        <w:numPr>
          <w:ilvl w:val="0"/>
          <w:numId w:val="2"/>
        </w:numPr>
        <w:spacing w:after="120" w:line="340"/>
      </w:pPr>
      <w:r>
        <w:rPr>
          <w:rFonts w:ascii="微軟正黑體" w:cs="微軟正黑體" w:eastAsia="微軟正黑體" w:hAnsi="微軟正黑體"/>
          <w:sz w:val="22"/>
          <w:szCs w:val="22"/>
        </w:rPr>
        <w:t xml:space="preserve">須點出正式與非正式、內部與外部機制各自之特性（制裁 vs. 預防、效率 vs. 民主），展現對架構深層邏輯之理解，而非僅是機制名稱之堆疊。</w:t>
      </w:r>
    </w:p>
    <w:p>
      <w:pPr>
        <w:pStyle w:val="ListParagraph"/>
        <w:numPr>
          <w:ilvl w:val="0"/>
          <w:numId w:val="2"/>
        </w:numPr>
        <w:spacing w:after="120" w:line="340"/>
      </w:pPr>
      <w:r>
        <w:rPr>
          <w:rFonts w:ascii="微軟正黑體" w:cs="微軟正黑體" w:eastAsia="微軟正黑體" w:hAnsi="微軟正黑體"/>
          <w:sz w:val="22"/>
          <w:szCs w:val="22"/>
        </w:rPr>
        <w:t xml:space="preserve">結論須指出「過度倚賴單一途徑」之風險，是本題從及格分躍升高分之關鍵收束。</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僅憑常識列舉「議會監督、司法監督」等零散機制，未套用任何學理分類架構。</w:t>
      </w:r>
    </w:p>
    <w:p>
      <w:pPr>
        <w:pStyle w:val="ListParagraph"/>
        <w:numPr>
          <w:ilvl w:val="0"/>
          <w:numId w:val="2"/>
        </w:numPr>
        <w:spacing w:after="120" w:line="340"/>
      </w:pPr>
      <w:r>
        <w:rPr>
          <w:rFonts w:ascii="微軟正黑體" w:cs="微軟正黑體" w:eastAsia="微軟正黑體" w:hAnsi="微軟正黑體"/>
          <w:sz w:val="22"/>
          <w:szCs w:val="22"/>
        </w:rPr>
        <w:t xml:space="preserve">❌ 只答「外部」機制而遺漏「內部」機制，或只答「正式」而遺漏「非正式」，導致四宮格結構不完整。</w:t>
      </w:r>
    </w:p>
    <w:p>
      <w:pPr>
        <w:pStyle w:val="ListParagraph"/>
        <w:numPr>
          <w:ilvl w:val="0"/>
          <w:numId w:val="2"/>
        </w:numPr>
        <w:spacing w:after="120" w:line="340"/>
      </w:pPr>
      <w:r>
        <w:rPr>
          <w:rFonts w:ascii="微軟正黑體" w:cs="微軟正黑體" w:eastAsia="微軟正黑體" w:hAnsi="微軟正黑體"/>
          <w:sz w:val="22"/>
          <w:szCs w:val="22"/>
        </w:rPr>
        <w:t xml:space="preserve">❌ 通篇未區分Responsibility與Accountability之差異，或未點出課責流程須包含資訊、辯論、制裁三階段。</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母體教材「Cooper三類型倫理衝突」與「Warwick五項倫理原則」自行設計之模擬命題。本語料庫（107-111年）中，本章可完全對應一般行政類科之真題僅查得1題（即題目一），故依本書體例補充1題經典理論模擬題，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地方政府環保稽查人員發現轄內一家大型企業長期違法排放廢水，惟該企業為地方重要投資廠商，長官暗示『從輕發落、勿擴大處理』。請運用Cooper三類型倫理衝突，分析此一情境涉及哪些衝突類型？並運用Warwick五項倫理原則，說明該稽查人員應如何進行合乎倫理之決策？」</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情境分析＋雙架構應用題」，考生須先以Cooper三類型倫理衝突拆解情境中涉及之衝突類型（可能不只一種），再以Warwick五原則逐項說明合乎倫理之決策步驟——單純套用其中一套架構而遺漏另一套，屬於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Cooper三類型倫理衝突 ＋ 權威衝突 ＋ 角色衝突 ＋ Warwick五項原則 ＋ 反省性選擇。</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一、前言：行政裁量之倫理困境本質（主觀責任與客觀責任之矛盾）</w:t>
      </w:r>
    </w:p>
    <w:p>
      <w:pPr>
        <w:pStyle w:val="ListParagraph"/>
        <w:numPr>
          <w:ilvl w:val="0"/>
          <w:numId w:val="2"/>
        </w:numPr>
        <w:spacing w:after="120" w:line="340"/>
      </w:pPr>
      <w:r>
        <w:rPr>
          <w:rFonts w:ascii="微軟正黑體" w:cs="微軟正黑體" w:eastAsia="微軟正黑體" w:hAnsi="微軟正黑體"/>
          <w:sz w:val="22"/>
          <w:szCs w:val="22"/>
        </w:rPr>
        <w:t xml:space="preserve">二、以Cooper三類型倫理衝突分析情境（權威衝突為主，兼論利益衝突之潛在風險）</w:t>
      </w:r>
    </w:p>
    <w:p>
      <w:pPr>
        <w:pStyle w:val="ListParagraph"/>
        <w:numPr>
          <w:ilvl w:val="0"/>
          <w:numId w:val="2"/>
        </w:numPr>
        <w:spacing w:after="120" w:line="340"/>
      </w:pPr>
      <w:r>
        <w:rPr>
          <w:rFonts w:ascii="微軟正黑體" w:cs="微軟正黑體" w:eastAsia="微軟正黑體" w:hAnsi="微軟正黑體"/>
          <w:sz w:val="22"/>
          <w:szCs w:val="22"/>
        </w:rPr>
        <w:t xml:space="preserve">三、以Warwick五項原則說明合乎倫理之決策步驟</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【參考答案·標準版】（約1,100字）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行政裁量之倫理困境，源於主觀責任（稽查人員內心之專業良知與環保法規之信仰）與客觀責任（長官指示、組織忠誠）相互矛盾之情境。本案稽查人員須在依法裁罰與長官暗示從輕發落之間做出選擇，正是Cooper（2012）所稱倫理困境之典型呈現。</w:t>
      </w:r>
    </w:p>
    <w:p>
      <w:pPr>
        <w:spacing w:after="200" w:line="360"/>
        <w:ind w:firstLine="431"/>
        <w:jc w:val="both"/>
      </w:pPr>
      <w:r>
        <w:rPr>
          <w:rFonts w:ascii="微軟正黑體" w:cs="微軟正黑體" w:eastAsia="微軟正黑體" w:hAnsi="微軟正黑體"/>
          <w:sz w:val="22"/>
          <w:szCs w:val="22"/>
        </w:rPr>
        <w:t xml:space="preserve">二、Cooper三類型倫理衝突分析</w:t>
      </w:r>
    </w:p>
    <w:p>
      <w:pPr>
        <w:spacing w:after="200" w:line="360"/>
        <w:ind w:firstLine="431"/>
        <w:jc w:val="both"/>
      </w:pPr>
      <w:r>
        <w:rPr>
          <w:rFonts w:ascii="微軟正黑體" w:cs="微軟正黑體" w:eastAsia="微軟正黑體" w:hAnsi="微軟正黑體"/>
          <w:sz w:val="22"/>
          <w:szCs w:val="22"/>
        </w:rPr>
        <w:t xml:space="preserve">本案首先構成「權威衝突」（conflict of authority）：長官之指示（客觀命令）與稽查人員基於環保專業判斷、法規要求之內心信仰（主觀良知）直接衝突。其次，若稽查人員擔心從輕處理後續遭究責，或若企業與地方政治人物、甚或稽查人員本身有間接利益往來，則可能進一步衍生「利益衝突」（conflict of interests）之疑慮，須以迴避制度處理。此外，若稽查人員同時肩負「維護地方招商投資形象」與「執行環保法規」兩種組織內部角色期待，亦可能構成「角色衝突（內內）」，須妥慎權衡。</w:t>
      </w:r>
    </w:p>
    <w:p>
      <w:pPr>
        <w:spacing w:after="200" w:line="360"/>
        <w:ind w:firstLine="431"/>
        <w:jc w:val="both"/>
      </w:pPr>
      <w:r>
        <w:rPr>
          <w:rFonts w:ascii="微軟正黑體" w:cs="微軟正黑體" w:eastAsia="微軟正黑體" w:hAnsi="微軟正黑體"/>
          <w:sz w:val="22"/>
          <w:szCs w:val="22"/>
        </w:rPr>
        <w:t xml:space="preserve">三、Warwick五項原則之倫理決策步驟</w:t>
      </w:r>
    </w:p>
    <w:p>
      <w:pPr>
        <w:pStyle w:val="ListParagraph"/>
        <w:numPr>
          <w:ilvl w:val="0"/>
          <w:numId w:val="2"/>
        </w:numPr>
        <w:spacing w:after="120" w:line="340"/>
      </w:pPr>
      <w:r>
        <w:rPr>
          <w:rFonts w:ascii="微軟正黑體" w:cs="微軟正黑體" w:eastAsia="微軟正黑體" w:hAnsi="微軟正黑體"/>
          <w:sz w:val="22"/>
          <w:szCs w:val="22"/>
        </w:rPr>
        <w:t xml:space="preserve">（一）公共取向：稽查人員須認知，環境公益不可因該企業之投資利益或政治壓力而被犧牲或扭曲，應以全體居民之環境權益為依歸。</w:t>
      </w:r>
    </w:p>
    <w:p>
      <w:pPr>
        <w:pStyle w:val="ListParagraph"/>
        <w:numPr>
          <w:ilvl w:val="0"/>
          <w:numId w:val="2"/>
        </w:numPr>
        <w:spacing w:after="120" w:line="340"/>
      </w:pPr>
      <w:r>
        <w:rPr>
          <w:rFonts w:ascii="微軟正黑體" w:cs="微軟正黑體" w:eastAsia="微軟正黑體" w:hAnsi="微軟正黑體"/>
          <w:sz w:val="22"/>
          <w:szCs w:val="22"/>
        </w:rPr>
        <w:t xml:space="preserve">（二）反省性選擇：決策前應完成四重反省——理解違規排放之實際危害程度與脈絡、反思自身是否因人情壓力而產生偏見、審慎評估稽查數據與證據品質、檢視「從輕發落」之手段與「維護環境公益」之目的是否邏輯一致。</w:t>
      </w:r>
    </w:p>
    <w:p>
      <w:pPr>
        <w:pStyle w:val="ListParagraph"/>
        <w:numPr>
          <w:ilvl w:val="0"/>
          <w:numId w:val="2"/>
        </w:numPr>
        <w:spacing w:after="120" w:line="340"/>
      </w:pPr>
      <w:r>
        <w:rPr>
          <w:rFonts w:ascii="微軟正黑體" w:cs="微軟正黑體" w:eastAsia="微軟正黑體" w:hAnsi="微軟正黑體"/>
          <w:sz w:val="22"/>
          <w:szCs w:val="22"/>
        </w:rPr>
        <w:t xml:space="preserve">（三）真誠：如實記錄稽查發現與資料，不因長官暗示而竄改或淡化違規事實，誠實向上級與制度內管道報告真實情況。</w:t>
      </w:r>
    </w:p>
    <w:p>
      <w:pPr>
        <w:pStyle w:val="ListParagraph"/>
        <w:numPr>
          <w:ilvl w:val="0"/>
          <w:numId w:val="2"/>
        </w:numPr>
        <w:spacing w:after="120" w:line="340"/>
      </w:pPr>
      <w:r>
        <w:rPr>
          <w:rFonts w:ascii="微軟正黑體" w:cs="微軟正黑體" w:eastAsia="微軟正黑體" w:hAnsi="微軟正黑體"/>
          <w:sz w:val="22"/>
          <w:szCs w:val="22"/>
        </w:rPr>
        <w:t xml:space="preserve">（四）程序的尊重：依環保相關法規之裁罰標準與正當程序處理，不因長官非正式暗示而規避法定裁罰程序，亦不可為求「效率」了結案件而犧牲程序正義。</w:t>
      </w:r>
    </w:p>
    <w:p>
      <w:pPr>
        <w:pStyle w:val="ListParagraph"/>
        <w:numPr>
          <w:ilvl w:val="0"/>
          <w:numId w:val="2"/>
        </w:numPr>
        <w:spacing w:after="120" w:line="340"/>
      </w:pPr>
      <w:r>
        <w:rPr>
          <w:rFonts w:ascii="微軟正黑體" w:cs="微軟正黑體" w:eastAsia="微軟正黑體" w:hAnsi="微軟正黑體"/>
          <w:sz w:val="22"/>
          <w:szCs w:val="22"/>
        </w:rPr>
        <w:t xml:space="preserve">（五）手段的限制：即便考量地方經濟因素，處理手段仍須符合比例原則，可考慮輔導改善之緩衝措施，但不可完全免除法定裁罰或無限期拖延。</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本案稽查人員面對之權威衝突與潛在利益衝突，不應以「服從長官暗示」草率了結，而應運用Warwick五項原則，透過公共取向確立環境公益之優先性、反省性選擇釐清價值偏見、真誠如實記錄、程序尊重依法裁處、手段限制符合比例，在合法性與倫理性之間，做出經得起公共檢驗之決定；必要時亦可透過陳述意見義務或吹哨者保護機制，尋求制度內之申訴與支持管道。</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須明確辨識情境中涉及之Cooper倫理衝突類型（至少權威衝突須清楚點出），不可僅籠統稱「有倫理問題」。</w:t>
      </w:r>
    </w:p>
    <w:p>
      <w:pPr>
        <w:pStyle w:val="ListParagraph"/>
        <w:numPr>
          <w:ilvl w:val="0"/>
          <w:numId w:val="2"/>
        </w:numPr>
        <w:spacing w:after="120" w:line="340"/>
      </w:pPr>
      <w:r>
        <w:rPr>
          <w:rFonts w:ascii="微軟正黑體" w:cs="微軟正黑體" w:eastAsia="微軟正黑體" w:hAnsi="微軟正黑體"/>
          <w:sz w:val="22"/>
          <w:szCs w:val="22"/>
        </w:rPr>
        <w:t xml:space="preserve">Warwick五項原則須逐一具體應用於本案情境，不可只列出五個名詞而未展開情境化說明。</w:t>
      </w:r>
    </w:p>
    <w:p>
      <w:pPr>
        <w:pStyle w:val="ListParagraph"/>
        <w:numPr>
          <w:ilvl w:val="0"/>
          <w:numId w:val="2"/>
        </w:numPr>
        <w:spacing w:after="120" w:line="340"/>
      </w:pPr>
      <w:r>
        <w:rPr>
          <w:rFonts w:ascii="微軟正黑體" w:cs="微軟正黑體" w:eastAsia="微軟正黑體" w:hAnsi="微軟正黑體"/>
          <w:sz w:val="22"/>
          <w:szCs w:val="22"/>
        </w:rPr>
        <w:t xml:space="preserve">若能指出「陳述意見義務」或「吹哨者保護」作為制度性因應管道，可展現理論與制度之串接能力，是拉開分數差距之關鍵。</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只描述案例本身之是非對錯（企業不該排污、長官不該施壓），未套用Cooper或Warwick任何學理架構。</w:t>
      </w:r>
    </w:p>
    <w:p>
      <w:pPr>
        <w:pStyle w:val="ListParagraph"/>
        <w:numPr>
          <w:ilvl w:val="0"/>
          <w:numId w:val="2"/>
        </w:numPr>
        <w:spacing w:after="120" w:line="340"/>
      </w:pPr>
      <w:r>
        <w:rPr>
          <w:rFonts w:ascii="微軟正黑體" w:cs="微軟正黑體" w:eastAsia="微軟正黑體" w:hAnsi="微軟正黑體"/>
          <w:sz w:val="22"/>
          <w:szCs w:val="22"/>
        </w:rPr>
        <w:t xml:space="preserve">❌ Warwick五原則僅列出名詞，未結合本案情境具體說明稽查人員應如何實踐。</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可補充援引盧爾克（F. Rourke）「否決團體」概念，說明稽查人員雖無正式決策權，卻可透過堅持依法稽查、拒絕配合從輕發落之要求，實質行使基層官僚之否決能力，此為Cooper權威衝突分析可進一步深化之理論連結。</w:t>
      </w:r>
    </w:p>
    <w:p>
      <w:pPr>
        <w:pStyle w:val="ListParagraph"/>
        <w:numPr>
          <w:ilvl w:val="0"/>
          <w:numId w:val="2"/>
        </w:numPr>
        <w:spacing w:after="120" w:line="340"/>
      </w:pPr>
      <w:r>
        <w:rPr>
          <w:rFonts w:ascii="微軟正黑體" w:cs="微軟正黑體" w:eastAsia="微軟正黑體" w:hAnsi="微軟正黑體"/>
          <w:sz w:val="22"/>
          <w:szCs w:val="22"/>
        </w:rPr>
        <w:t xml:space="preserve">可補充批判視角：本案若稽查人員選擇服從長官暗示，看似化解了組織內部之短期衝突，實則是以「組織倫理問題」（團體忠誠置於個人良知之上）掩蓋公共利益之犧牲，此一批判視角可用以強化「反省性選擇」步驟中對手段—目的一致性之檢驗。</w:t>
      </w:r>
    </w:p>
    <w:p>
      <w:pPr>
        <w:pStyle w:val="ListParagraph"/>
        <w:numPr>
          <w:ilvl w:val="0"/>
          <w:numId w:val="2"/>
        </w:numPr>
        <w:spacing w:after="120" w:line="340"/>
      </w:pPr>
      <w:r>
        <w:rPr>
          <w:rFonts w:ascii="微軟正黑體" w:cs="微軟正黑體" w:eastAsia="微軟正黑體" w:hAnsi="微軟正黑體"/>
          <w:sz w:val="22"/>
          <w:szCs w:val="22"/>
        </w:rPr>
        <w:t xml:space="preserve">可補充臺灣實務：我國環保署（現環境部）近年推動之「環保稽查獨立通報機制」與公務人員保障法之申訴管道，即為稽查人員面對長官不當壓力時，可資運用之制度性因應資源，可作為結論中「制度內申訴管道」之具體例證。</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書AI治理內容自行設計之模擬命題。第六章母體教材「AI鑲嵌後的權力與結構變化」一節，已就「演算法課責」「AI倫理五支柱」「虛擬法官三層次」提出完整分析架構——本題即以此為基礎延伸設計。現階段公開歷屆試題（107-111年）中尚未查得與此完全對應之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若司法院擬將AI量刑輔助系統，由現行『輔助』層次，升級為系統可直接產出具拘束力之量刑建議、法官僅需形式簽章之『替代』層次。請運用本書『AI倫理五支柱』與『三可檢核』（可解釋、可追溯、可爭訟）架構，說明此一升級可能引發之倫理與課責問題，並論述國際治理實務對此設下何種紅線？」</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這是一題「政策情境評估＋國際比較題」，考生須運用AI倫理五支柱與三可檢核逐一檢視「替代」層次可能引發之問題，並具體說明EU AI Act等國際治理實務對虛擬法官設下之紅線——僅泛談「AI取代法官不妥」而未套用五支柱逐一分析，屬於論述空泛。</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虛擬法官三層次 ＋ AI倫理五支柱 ＋ 三可檢核 ＋ EU AI Act ＋ 人類保留紅線。</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一、前言：虛擬法官三層次與「替代」層次之特殊性</w:t>
      </w:r>
    </w:p>
    <w:p>
      <w:pPr>
        <w:pStyle w:val="ListParagraph"/>
        <w:numPr>
          <w:ilvl w:val="0"/>
          <w:numId w:val="2"/>
        </w:numPr>
        <w:spacing w:after="120" w:line="340"/>
      </w:pPr>
      <w:r>
        <w:rPr>
          <w:rFonts w:ascii="微軟正黑體" w:cs="微軟正黑體" w:eastAsia="微軟正黑體" w:hAnsi="微軟正黑體"/>
          <w:sz w:val="22"/>
          <w:szCs w:val="22"/>
        </w:rPr>
        <w:t xml:space="preserve">二、以AI倫理五支柱逐一檢視「替代」層次可能引發之倫理問題</w:t>
      </w:r>
    </w:p>
    <w:p>
      <w:pPr>
        <w:pStyle w:val="ListParagraph"/>
        <w:numPr>
          <w:ilvl w:val="0"/>
          <w:numId w:val="2"/>
        </w:numPr>
        <w:spacing w:after="120" w:line="340"/>
      </w:pPr>
      <w:r>
        <w:rPr>
          <w:rFonts w:ascii="微軟正黑體" w:cs="微軟正黑體" w:eastAsia="微軟正黑體" w:hAnsi="微軟正黑體"/>
          <w:sz w:val="22"/>
          <w:szCs w:val="22"/>
        </w:rPr>
        <w:t xml:space="preserve">三、以三可檢核架構分析「替代」層次之課責缺口</w:t>
      </w:r>
    </w:p>
    <w:p>
      <w:pPr>
        <w:pStyle w:val="ListParagraph"/>
        <w:numPr>
          <w:ilvl w:val="0"/>
          <w:numId w:val="2"/>
        </w:numPr>
        <w:spacing w:after="120" w:line="340"/>
      </w:pPr>
      <w:r>
        <w:rPr>
          <w:rFonts w:ascii="微軟正黑體" w:cs="微軟正黑體" w:eastAsia="微軟正黑體" w:hAnsi="微軟正黑體"/>
          <w:sz w:val="22"/>
          <w:szCs w:val="22"/>
        </w:rPr>
        <w:t xml:space="preserve">四、國際治理實務之紅線：EU AI Act之高風險分級與禁止規定</w:t>
      </w:r>
    </w:p>
    <w:p>
      <w:pPr>
        <w:pStyle w:val="ListParagraph"/>
        <w:numPr>
          <w:ilvl w:val="0"/>
          <w:numId w:val="2"/>
        </w:numPr>
        <w:spacing w:after="120" w:line="340"/>
      </w:pPr>
      <w:r>
        <w:rPr>
          <w:rFonts w:ascii="微軟正黑體" w:cs="微軟正黑體" w:eastAsia="微軟正黑體" w:hAnsi="微軟正黑體"/>
          <w:sz w:val="22"/>
          <w:szCs w:val="22"/>
        </w:rPr>
        <w:t xml:space="preserve">五、結論與建議</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虛擬法官在司法場域之角色，可區分為輔助（AI協助整理卷證、提供量刑參考數據，法官仍為決策主體）、替代（AI直接產出裁決建議，法官形式上覆核）與增強（AI與法官持續互動、相互修正）三個層次。若司法院將AI量刑輔助系統由「輔助」升級為「替代」，法官僅需形式簽章，將觸及本章倫理治理架構中最敏感之紅線。</w:t>
      </w:r>
    </w:p>
    <w:p>
      <w:pPr>
        <w:spacing w:after="200" w:line="360"/>
        <w:ind w:firstLine="431"/>
        <w:jc w:val="both"/>
      </w:pPr>
      <w:r>
        <w:rPr>
          <w:rFonts w:ascii="微軟正黑體" w:cs="微軟正黑體" w:eastAsia="微軟正黑體" w:hAnsi="微軟正黑體"/>
          <w:sz w:val="22"/>
          <w:szCs w:val="22"/>
        </w:rPr>
        <w:t xml:space="preserve">二、AI倫理五支柱之逐一檢視</w:t>
      </w:r>
    </w:p>
    <w:p>
      <w:pPr>
        <w:spacing w:after="200" w:line="360"/>
        <w:ind w:firstLine="431"/>
        <w:jc w:val="both"/>
      </w:pPr>
      <w:r>
        <w:rPr>
          <w:rFonts w:ascii="微軟正黑體" w:cs="微軟正黑體" w:eastAsia="微軟正黑體" w:hAnsi="微軟正黑體"/>
          <w:sz w:val="22"/>
          <w:szCs w:val="22"/>
        </w:rPr>
        <w:t xml:space="preserve">就公平性而言，量刑建議若由訓練資料中之歷史判決學習而來，可能複製既有之種族、階級或地域性偏見（如美國COMPAS再犯風險評估系統之爭議），使系統性歧視透過「客觀量刑建議」之外觀被合理化；就可解釋性而言，法官若僅形式簽章，實質上難以充分理解並向被告說明量刑理由之推導過程，牴觸GDPR與EU AI Act所賦予之解釋請求權；就可爭訟性而言，被告能否有效質疑、提供反證並要求重新審查AI之量刑建議，若僅有形式上訴管道而無實質覆核能力，可爭訟性形同虛設；就隱私與資料治理而言，量刑模型所仰賴之個人背景資料，須符合資料治理與最小侵害原則；就人類監督與尊嚴而言，「替代」層次已使法官之監督強度，從人在迴圈（HITL）滑落至接近人在迴圈之上（HOTL）甚至更低，形式簽章已不足以構成EU AI Act所要求之「實質介入、暫停或推翻能力」。</w:t>
      </w:r>
    </w:p>
    <w:p>
      <w:pPr>
        <w:spacing w:after="200" w:line="360"/>
        <w:ind w:firstLine="431"/>
        <w:jc w:val="both"/>
      </w:pPr>
      <w:r>
        <w:rPr>
          <w:rFonts w:ascii="微軟正黑體" w:cs="微軟正黑體" w:eastAsia="微軟正黑體" w:hAnsi="微軟正黑體"/>
          <w:sz w:val="22"/>
          <w:szCs w:val="22"/>
        </w:rPr>
        <w:t xml:space="preserve">三、三可檢核架構之課責缺口</w:t>
      </w:r>
    </w:p>
    <w:p>
      <w:pPr>
        <w:spacing w:after="200" w:line="360"/>
        <w:ind w:firstLine="431"/>
        <w:jc w:val="both"/>
      </w:pPr>
      <w:r>
        <w:rPr>
          <w:rFonts w:ascii="微軟正黑體" w:cs="微軟正黑體" w:eastAsia="微軟正黑體" w:hAnsi="微軟正黑體"/>
          <w:sz w:val="22"/>
          <w:szCs w:val="22"/>
        </w:rPr>
        <w:t xml:space="preserve">依「三可檢核」標準，任何政府AI系統上線前應同時滿足可解釋、可追溯、可爭訟三項要求，三者缺一即不應上線。「替代」層次之量刑系統，即便技術上具備可追溯性（可回溯資料來源與模型版本），若可解釋性與可爭訟性未能同步落實，仍構成本章所稱「無臉政府」之司法版本——被告可能面對一個自己無法理解、也無法有效質疑的量刑決定。</w:t>
      </w:r>
    </w:p>
    <w:p>
      <w:pPr>
        <w:spacing w:after="200" w:line="360"/>
        <w:ind w:firstLine="431"/>
        <w:jc w:val="both"/>
      </w:pPr>
      <w:r>
        <w:rPr>
          <w:rFonts w:ascii="微軟正黑體" w:cs="微軟正黑體" w:eastAsia="微軟正黑體" w:hAnsi="微軟正黑體"/>
          <w:sz w:val="22"/>
          <w:szCs w:val="22"/>
        </w:rPr>
        <w:t xml:space="preserve">四、國際治理實務之紅線</w:t>
      </w:r>
    </w:p>
    <w:p>
      <w:pPr>
        <w:spacing w:after="200" w:line="360"/>
        <w:ind w:firstLine="431"/>
        <w:jc w:val="both"/>
      </w:pPr>
      <w:r>
        <w:rPr>
          <w:rFonts w:ascii="微軟正黑體" w:cs="微軟正黑體" w:eastAsia="微軟正黑體" w:hAnsi="微軟正黑體"/>
          <w:sz w:val="22"/>
          <w:szCs w:val="22"/>
        </w:rPr>
        <w:t xml:space="preserve">歐盟《人工智慧法》已將司法用途AI列為附件三之高風險系統，須完成符合性評估、資料治理、人工監督與基本權利影響評估，並明確禁止完全自動化的司法判決——這條「人類保留」紅線，正是虛擬法官三層次中，唯一被國際治理實務明文禁止跨越之一層；「替代」層次若使法官淪為形式簽章之橡皮圖章，實質上已逼近甚至跨越此一紅線。</w:t>
      </w:r>
    </w:p>
    <w:p>
      <w:pPr>
        <w:spacing w:after="200" w:line="360"/>
        <w:ind w:firstLine="431"/>
        <w:jc w:val="both"/>
      </w:pPr>
      <w:r>
        <w:rPr>
          <w:rFonts w:ascii="微軟正黑體" w:cs="微軟正黑體" w:eastAsia="微軟正黑體" w:hAnsi="微軟正黑體"/>
          <w:sz w:val="22"/>
          <w:szCs w:val="22"/>
        </w:rPr>
        <w:t xml:space="preserve">五、結論與建議</w:t>
      </w:r>
    </w:p>
    <w:p>
      <w:pPr>
        <w:spacing w:after="200" w:line="360"/>
        <w:ind w:firstLine="431"/>
        <w:jc w:val="both"/>
      </w:pPr>
      <w:r>
        <w:rPr>
          <w:rFonts w:ascii="微軟正黑體" w:cs="微軟正黑體" w:eastAsia="微軟正黑體" w:hAnsi="微軟正黑體"/>
          <w:sz w:val="22"/>
          <w:szCs w:val="22"/>
        </w:rPr>
        <w:t xml:space="preserve">司法院AI量刑輔助系統若擬升級至「替代」層次，將同時觸及AI倫理五支柱之多重風險，並可能牴觸國際治理實務所劃定之「人類保留」紅線。建議司法院應維持現行「輔助」層次之定位，量刑建議僅作為參考數據，法官須負完整之實質審查與說理義務；若確有必要提升AI系統之介入程度，亦應優先朝向「增強」層次（人機持續互動修正）發展，而非逕行跳躍至「替代」層次，方能在提升審判效率之同時，守住司法課責與人性尊嚴之最後防線。</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須逐一套用AI倫理五支柱（公平性、可解釋性、可爭訟性、隱私與資料治理、人類監督與尊嚴）分析「替代」層次之風險，不可籠統合併討論。</w:t>
      </w:r>
    </w:p>
    <w:p>
      <w:pPr>
        <w:pStyle w:val="ListParagraph"/>
        <w:numPr>
          <w:ilvl w:val="0"/>
          <w:numId w:val="2"/>
        </w:numPr>
        <w:spacing w:after="120" w:line="340"/>
      </w:pPr>
      <w:r>
        <w:rPr>
          <w:rFonts w:ascii="微軟正黑體" w:cs="微軟正黑體" w:eastAsia="微軟正黑體" w:hAnsi="微軟正黑體"/>
          <w:sz w:val="22"/>
          <w:szCs w:val="22"/>
        </w:rPr>
        <w:t xml:space="preserve">須明確指出EU AI Act對司法用途AI之高風險分級與「人類保留」紅線，並具體說明「替代」層次為何逼近或跨越此一紅線。</w:t>
      </w:r>
    </w:p>
    <w:p>
      <w:pPr>
        <w:pStyle w:val="ListParagraph"/>
        <w:numPr>
          <w:ilvl w:val="0"/>
          <w:numId w:val="2"/>
        </w:numPr>
        <w:spacing w:after="120" w:line="340"/>
      </w:pPr>
      <w:r>
        <w:rPr>
          <w:rFonts w:ascii="微軟正黑體" w:cs="微軟正黑體" w:eastAsia="微軟正黑體" w:hAnsi="微軟正黑體"/>
          <w:sz w:val="22"/>
          <w:szCs w:val="22"/>
        </w:rPr>
        <w:t xml:space="preserve">結論應提出具體政策建議（維持輔助層次、或朝增強層次發展），而非僅表態反對，展現政策分析能力。</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只表達「AI不應取代法官」之立場，未套用AI倫理五支柱或三可檢核架構進行結構化分析。</w:t>
      </w:r>
    </w:p>
    <w:p>
      <w:pPr>
        <w:pStyle w:val="ListParagraph"/>
        <w:numPr>
          <w:ilvl w:val="0"/>
          <w:numId w:val="2"/>
        </w:numPr>
        <w:spacing w:after="120" w:line="340"/>
      </w:pPr>
      <w:r>
        <w:rPr>
          <w:rFonts w:ascii="微軟正黑體" w:cs="微軟正黑體" w:eastAsia="微軟正黑體" w:hAnsi="微軟正黑體"/>
          <w:sz w:val="22"/>
          <w:szCs w:val="22"/>
        </w:rPr>
        <w:t xml:space="preserve">❌ 未提及EU AI Act或國際治理實務對司法用途AI之具體規範，僅憑常識泛談風險。</w:t>
      </w:r>
    </w:p>
    <w:p>
      <w:pPr>
        <w:pStyle w:val="ListParagraph"/>
        <w:numPr>
          <w:ilvl w:val="0"/>
          <w:numId w:val="2"/>
        </w:numPr>
        <w:spacing w:after="120" w:line="340"/>
      </w:pPr>
      <w:r>
        <w:rPr>
          <w:rFonts w:ascii="微軟正黑體" w:cs="微軟正黑體" w:eastAsia="微軟正黑體" w:hAnsi="微軟正黑體"/>
          <w:sz w:val="22"/>
          <w:szCs w:val="22"/>
        </w:rPr>
        <w:t xml:space="preserve">❌ 結論未區分「輔助」「替代」「增強」三層次之差異，籠統建議「AI不要用於司法」而非精確定位問題所在。</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援引Alon-Barkat與Busuioc（2023）「選擇性服從」概念，說明即便量刑系統維持「輔助」層次之形式定位，法官仍可能選擇性採納與自身既有判斷相符之AI建議，而非對所有建議一視同仁地審視，此一機制性風險使「輔助」與「替代」之界線在實務上可能比制度設計者預期更模糊。</w:t>
      </w:r>
    </w:p>
    <w:p>
      <w:pPr>
        <w:pStyle w:val="ListParagraph"/>
        <w:numPr>
          <w:ilvl w:val="0"/>
          <w:numId w:val="2"/>
        </w:numPr>
        <w:spacing w:after="120" w:line="340"/>
      </w:pPr>
      <w:r>
        <w:rPr>
          <w:rFonts w:ascii="微軟正黑體" w:cs="微軟正黑體" w:eastAsia="微軟正黑體" w:hAnsi="微軟正黑體"/>
          <w:sz w:val="22"/>
          <w:szCs w:val="22"/>
        </w:rPr>
        <w:t xml:space="preserve">可補充比較視角：愛沙尼亞曾嘗試於小額爭議案件導入AI法官，但仍保留當事人上訴至人類法官之權利，此一「保留人類終審權」之設計，可與本題「替代」層次僅具形式簽章之方案對照，突顯保留實質人類介入管道方為國際治理實務之共同底線。</w:t>
      </w:r>
    </w:p>
    <w:p>
      <w:pPr>
        <w:pStyle w:val="ListParagraph"/>
        <w:numPr>
          <w:ilvl w:val="0"/>
          <w:numId w:val="2"/>
        </w:numPr>
        <w:spacing w:after="120" w:line="340"/>
      </w:pPr>
      <w:r>
        <w:rPr>
          <w:rFonts w:ascii="微軟正黑體" w:cs="微軟正黑體" w:eastAsia="微軟正黑體" w:hAnsi="微軟正黑體"/>
          <w:sz w:val="22"/>
          <w:szCs w:val="22"/>
        </w:rPr>
        <w:t xml:space="preserve">可補充臺灣實務：司法院現行AI量刑輔助系統僅提供參考數據且明定法官保留最終裁決權，符合本章「三可檢核」中之可追溯性與現行「輔助」層次定位；惟若確有升級需求，應優先強化裁判書之量刑理由說明義務（可解釋性）與被告聲請重新量刑之程序保障（可爭訟性），而非逕行放寬法官之實質審查義務。</w:t>
      </w:r>
    </w:p>
    <w:p>
      <w:pPr>
        <w:spacing w:after="26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以下彙整與本章主題相關之歷屆試題，來源為考選部官方公告試題（107-111年，行政學／行政學概要科目），依考選部「類科」欄位是否明列「一般行政」判斷是否為一般行政類科直接命題紀錄。本章語料庫中另查得一題（107年警察人員考試「市場治理模式與行政倫理」）因類科欄位未列一般行政，依本書體例不列入本章真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600"/>
        <w:gridCol w:w="1000"/>
        <w:gridCol w:w="2626"/>
        <w:gridCol w:w="1200"/>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1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111年公務人員特種考試身心障礙人員考試三等考試</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一般行政</w:t>
            </w:r>
          </w:p>
        </w:tc>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民主國家對行政運作之課責機制（即題目一）</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考選部官方公告試題，一般行政符合，等別對應三等／高考三級</w:t>
            </w:r>
          </w:p>
        </w:tc>
      </w:tr>
    </w:tbl>
    <w:p>
      <w:pPr>
        <w:spacing w:after="280" w:before="120"/>
        <w:jc w:val="center"/>
      </w:pPr>
      <w:r>
        <w:rPr>
          <w:rFonts w:ascii="微軟正黑體" w:cs="微軟正黑體" w:eastAsia="微軟正黑體" w:hAnsi="微軟正黑體"/>
          <w:i/>
          <w:iCs/>
          <w:color w:val="555555"/>
          <w:sz w:val="18"/>
          <w:szCs w:val="18"/>
        </w:rPr>
        <w:t xml:space="preserve">表6-L　本章相關歷屆試題彙整</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試題，共查得1題直接對應本章理論脈絡且完全符合一般行政類科之申論真題；Cooper倫理衝突三類型、Warwick五原則、Rawls正義論、行政中立新詮釋等經典考點，於本語料庫年度範圍內尚未查得直接對應之申論真題，惟屬國考行政學之基礎必考概念，仍應完整準備，並建議另行參閱112年以後之最新年度考古題補充。</w:t>
      </w:r>
    </w:p>
    <w:p>
      <w:pPr>
        <w:spacing w:after="26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行政倫理雙元架構與裁量困境</w:t>
            </w:r>
          </w:p>
          <w:p>
            <w:pPr>
              <w:spacing w:line="340"/>
              <w:jc w:val="both"/>
            </w:pPr>
            <w:r>
              <w:rPr>
                <w:rFonts w:ascii="微軟正黑體" w:cs="微軟正黑體" w:eastAsia="微軟正黑體" w:hAnsi="微軟正黑體"/>
                <w:sz w:val="21"/>
                <w:szCs w:val="21"/>
              </w:rPr>
              <w:t xml:space="preserve">防禦性（不可為）→促進性（應積極為）／三重結構性困境（公益誤導/機關獨大/組織倫理）／Cooper三衝突（權威/角色/利益）／Warwick五原則（公反真程手）</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Rawls正義論</w:t>
            </w:r>
          </w:p>
          <w:p>
            <w:pPr>
              <w:spacing w:line="340"/>
              <w:jc w:val="both"/>
            </w:pPr>
            <w:r>
              <w:rPr>
                <w:rFonts w:ascii="微軟正黑體" w:cs="微軟正黑體" w:eastAsia="微軟正黑體" w:hAnsi="微軟正黑體"/>
                <w:sz w:val="21"/>
                <w:szCs w:val="21"/>
              </w:rPr>
              <w:t xml:space="preserve">原初情境＋無知之幕（maximin策略）→正義兩原則（自由平等優先＋機會均等/差別原則）→演算法無知之幕（blind testing）</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行政中立與責任體系</w:t>
            </w:r>
          </w:p>
          <w:p>
            <w:pPr>
              <w:spacing w:line="340"/>
              <w:jc w:val="both"/>
            </w:pPr>
            <w:r>
              <w:rPr>
                <w:rFonts w:ascii="微軟正黑體" w:cs="微軟正黑體" w:eastAsia="微軟正黑體" w:hAnsi="微軟正黑體"/>
                <w:sz w:val="21"/>
                <w:szCs w:val="21"/>
              </w:rPr>
              <w:t xml:space="preserve">行政中立：去政治化→民主錨定（忠於憲法）／行政責任：Fesler &amp; Kettl二分、Starling六要素、Gilbert四宮格、三元責任論（政治/法律/專業）</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陽光四法</w:t>
            </w:r>
          </w:p>
          <w:p>
            <w:pPr>
              <w:spacing w:line="340"/>
              <w:jc w:val="both"/>
            </w:pPr>
            <w:r>
              <w:rPr>
                <w:rFonts w:ascii="微軟正黑體" w:cs="微軟正黑體" w:eastAsia="微軟正黑體" w:hAnsi="微軟正黑體"/>
                <w:sz w:val="21"/>
                <w:szCs w:val="21"/>
              </w:rPr>
              <w:t xml:space="preserve">旋轉門條款（離職後）→廉政倫理規範（餽贈門檻）→利益衝突迴避法（在職迴避）→財產申報法（定期揭露）＋政治獻金法＋弊端揭發者保護（我國尚無專法）</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AI世代演算法課責</w:t>
            </w:r>
          </w:p>
          <w:p>
            <w:pPr>
              <w:spacing w:line="340"/>
              <w:jc w:val="both"/>
            </w:pPr>
            <w:r>
              <w:rPr>
                <w:rFonts w:ascii="微軟正黑體" w:cs="微軟正黑體" w:eastAsia="微軟正黑體" w:hAnsi="微軟正黑體"/>
                <w:sz w:val="21"/>
                <w:szCs w:val="21"/>
              </w:rPr>
              <w:t xml:space="preserve">多手問題/無臉政府/自動化偏見三重危機 → 演算法課責四要素 → AI倫理五支柱（公解爭隱監） → 虛擬法官三層次（輔助/替代/增強，替代逼近人類保留紅線） → 三可檢核（可解釋/可追溯/可爭訟）</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行政倫理從來不是公務員個人良知的孤獨戰場，而是一整套從Cooper倫理衝突到陽光四法、再到演算法課責的制度性防線；當裁量權移向演算法，這道防線真正的考驗，不在AI能不能解釋自己，而在人類是否還保留著拒絕它的實質能力。</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2026-09-03T07:55:31.047Z</dcterms:created>
  <dcterms:modified xsi:type="dcterms:W3CDTF">2026-09-03T07:55:31.047Z</dcterms:modified>
</cp:coreProperties>
</file>

<file path=docProps/custom.xml><?xml version="1.0" encoding="utf-8"?>
<Properties xmlns="http://schemas.openxmlformats.org/officeDocument/2006/custom-properties" xmlns:vt="http://schemas.openxmlformats.org/officeDocument/2006/docPropsVTypes"/>
</file>