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D39" w:rsidRDefault="007B3343">
      <w:pPr>
        <w:spacing w:before="400" w:after="60"/>
        <w:jc w:val="center"/>
      </w:pPr>
      <w:r>
        <w:rPr>
          <w:b/>
          <w:bCs/>
          <w:sz w:val="40"/>
          <w:szCs w:val="40"/>
        </w:rPr>
        <w:t>國家考試行政學：從行政學</w:t>
      </w:r>
      <w:proofErr w:type="gramStart"/>
      <w:r>
        <w:rPr>
          <w:b/>
          <w:bCs/>
          <w:sz w:val="40"/>
          <w:szCs w:val="40"/>
        </w:rPr>
        <w:t>理論到申論</w:t>
      </w:r>
      <w:proofErr w:type="gramEnd"/>
      <w:r>
        <w:rPr>
          <w:b/>
          <w:bCs/>
          <w:sz w:val="40"/>
          <w:szCs w:val="40"/>
        </w:rPr>
        <w:t>實戰</w:t>
      </w:r>
    </w:p>
    <w:p w:rsidR="00574D39" w:rsidRDefault="007B3343">
      <w:pPr>
        <w:spacing w:after="60"/>
        <w:jc w:val="center"/>
      </w:pPr>
      <w:r>
        <w:rPr>
          <w:b/>
          <w:bCs/>
          <w:color w:val="444444"/>
          <w:sz w:val="28"/>
          <w:szCs w:val="28"/>
        </w:rPr>
        <w:t>第三章　行政學的研究：典範、途徑與分析層次</w:t>
      </w:r>
    </w:p>
    <w:p w:rsidR="00574D39" w:rsidRDefault="007B3343">
      <w:pPr>
        <w:spacing w:after="400"/>
        <w:jc w:val="center"/>
      </w:pPr>
      <w:r>
        <w:rPr>
          <w:i/>
          <w:iCs/>
          <w:color w:val="777777"/>
        </w:rPr>
        <w:t>適用：高考三級／普考　一般行政類科　行政學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F2F6FA"/>
              <w:left w:val="single" w:sz="24" w:space="0" w:color="555555"/>
              <w:bottom w:val="single" w:sz="2" w:space="0" w:color="F2F6FA"/>
              <w:right w:val="single" w:sz="2" w:space="0" w:color="F2F6FA"/>
            </w:tcBorders>
            <w:shd w:val="clear" w:color="auto" w:fill="F2F6FA"/>
            <w:tcMar>
              <w:top w:w="160" w:type="dxa"/>
              <w:left w:w="220" w:type="dxa"/>
              <w:bottom w:w="160" w:type="dxa"/>
              <w:right w:w="220" w:type="dxa"/>
            </w:tcMar>
          </w:tcPr>
          <w:p w:rsidR="00574D39" w:rsidRDefault="007B3343">
            <w:pPr>
              <w:spacing w:after="100"/>
            </w:pPr>
            <w:r>
              <w:rPr>
                <w:b/>
                <w:bCs/>
                <w:color w:val="555555"/>
              </w:rPr>
              <w:t>本章定位</w:t>
            </w:r>
          </w:p>
          <w:p w:rsidR="00574D39" w:rsidRDefault="007B3343">
            <w:pPr>
              <w:spacing w:line="340" w:lineRule="auto"/>
              <w:jc w:val="both"/>
            </w:pPr>
            <w:r>
              <w:rPr>
                <w:sz w:val="21"/>
                <w:szCs w:val="21"/>
              </w:rPr>
              <w:t>本章對應大學教科書《行政學》第三章「行政學的研究：典範、途徑與分析層次」，內容取材自該章之四節母體教材，</w:t>
            </w:r>
            <w:proofErr w:type="gramStart"/>
            <w:r>
              <w:rPr>
                <w:sz w:val="21"/>
                <w:szCs w:val="21"/>
              </w:rPr>
              <w:t>依國考</w:t>
            </w:r>
            <w:proofErr w:type="gramEnd"/>
            <w:r>
              <w:rPr>
                <w:sz w:val="21"/>
                <w:szCs w:val="21"/>
              </w:rPr>
              <w:t>「考點化、模組化、背誦＋應用」邏輯重新壓縮改寫為三節：第一節整合典範之意義與行政學典範演變（</w:t>
            </w:r>
            <w:r>
              <w:rPr>
                <w:sz w:val="21"/>
                <w:szCs w:val="21"/>
              </w:rPr>
              <w:t>Kuhn</w:t>
            </w:r>
            <w:r>
              <w:rPr>
                <w:sz w:val="21"/>
                <w:szCs w:val="21"/>
              </w:rPr>
              <w:t>、</w:t>
            </w:r>
            <w:r>
              <w:rPr>
                <w:sz w:val="21"/>
                <w:szCs w:val="21"/>
              </w:rPr>
              <w:t>Henry</w:t>
            </w:r>
            <w:r>
              <w:rPr>
                <w:sz w:val="21"/>
                <w:szCs w:val="21"/>
              </w:rPr>
              <w:t>、</w:t>
            </w:r>
            <w:r>
              <w:rPr>
                <w:sz w:val="21"/>
                <w:szCs w:val="21"/>
              </w:rPr>
              <w:t>Ostrom</w:t>
            </w:r>
            <w:r>
              <w:rPr>
                <w:sz w:val="21"/>
                <w:szCs w:val="21"/>
              </w:rPr>
              <w:t>、</w:t>
            </w:r>
            <w:r>
              <w:rPr>
                <w:sz w:val="21"/>
                <w:szCs w:val="21"/>
              </w:rPr>
              <w:t>Harmon</w:t>
            </w:r>
            <w:r>
              <w:rPr>
                <w:sz w:val="21"/>
                <w:szCs w:val="21"/>
              </w:rPr>
              <w:t>、</w:t>
            </w:r>
            <w:r>
              <w:rPr>
                <w:sz w:val="21"/>
                <w:szCs w:val="21"/>
              </w:rPr>
              <w:t>Denhardt</w:t>
            </w:r>
            <w:r>
              <w:rPr>
                <w:sz w:val="21"/>
                <w:szCs w:val="21"/>
              </w:rPr>
              <w:t>）；第二節整合新左派新右派系譜與研究途徑比較；第三節整合研究方法論與本書分析層次架構。本章語料庫查無直接</w:t>
            </w:r>
            <w:proofErr w:type="gramStart"/>
            <w:r>
              <w:rPr>
                <w:sz w:val="21"/>
                <w:szCs w:val="21"/>
              </w:rPr>
              <w:t>對應真題</w:t>
            </w:r>
            <w:proofErr w:type="gramEnd"/>
            <w:r>
              <w:rPr>
                <w:sz w:val="21"/>
                <w:szCs w:val="21"/>
              </w:rPr>
              <w:t>，屬</w:t>
            </w:r>
            <w:proofErr w:type="gramStart"/>
            <w:r>
              <w:rPr>
                <w:sz w:val="21"/>
                <w:szCs w:val="21"/>
              </w:rPr>
              <w:t>全書真題覆</w:t>
            </w:r>
            <w:proofErr w:type="gramEnd"/>
            <w:r>
              <w:rPr>
                <w:sz w:val="21"/>
                <w:szCs w:val="21"/>
              </w:rPr>
              <w:t>蓋率最低之章節，申論解題部分將全部使用</w:t>
            </w:r>
            <w:proofErr w:type="gramStart"/>
            <w:r>
              <w:rPr>
                <w:sz w:val="21"/>
                <w:szCs w:val="21"/>
              </w:rPr>
              <w:t>自設模擬</w:t>
            </w:r>
            <w:proofErr w:type="gramEnd"/>
            <w:r>
              <w:rPr>
                <w:sz w:val="21"/>
                <w:szCs w:val="21"/>
              </w:rPr>
              <w:t>題，並於「考題出處」欄位明確標示，避免與真實歷屆試題混淆。</w:t>
            </w:r>
          </w:p>
        </w:tc>
      </w:tr>
    </w:tbl>
    <w:p w:rsidR="00574D39" w:rsidRDefault="00574D39">
      <w:pPr>
        <w:spacing w:after="200"/>
      </w:pPr>
    </w:p>
    <w:p w:rsidR="00574D39" w:rsidRDefault="007B3343">
      <w:pPr>
        <w:spacing w:before="360" w:after="180"/>
      </w:pPr>
      <w:r>
        <w:rPr>
          <w:b/>
          <w:bCs/>
          <w:color w:val="1F4E79"/>
          <w:sz w:val="26"/>
          <w:szCs w:val="26"/>
        </w:rPr>
        <w:t xml:space="preserve">第一節　</w:t>
      </w:r>
      <w:r>
        <w:rPr>
          <w:b/>
          <w:bCs/>
          <w:color w:val="1F4E79"/>
          <w:sz w:val="26"/>
          <w:szCs w:val="26"/>
        </w:rPr>
        <w:t>典範的意義與行政學典範演變</w:t>
      </w:r>
    </w:p>
    <w:p w:rsidR="00574D39" w:rsidRDefault="007B3343">
      <w:pPr>
        <w:spacing w:before="260" w:after="140"/>
      </w:pPr>
      <w:r>
        <w:rPr>
          <w:b/>
          <w:bCs/>
          <w:color w:val="2E5C8A"/>
          <w:sz w:val="23"/>
          <w:szCs w:val="23"/>
        </w:rPr>
        <w:t>一、核心概念</w:t>
      </w:r>
    </w:p>
    <w:p w:rsidR="00574D39" w:rsidRDefault="007B3343">
      <w:pPr>
        <w:pStyle w:val="a4"/>
        <w:numPr>
          <w:ilvl w:val="0"/>
          <w:numId w:val="2"/>
        </w:numPr>
        <w:spacing w:after="120" w:line="340" w:lineRule="auto"/>
      </w:pPr>
      <w:r>
        <w:t>典範（</w:t>
      </w:r>
      <w:r>
        <w:t>paradigm</w:t>
      </w:r>
      <w:r>
        <w:t>）由</w:t>
      </w:r>
      <w:r>
        <w:t>Thomas Kuhn</w:t>
      </w:r>
      <w:r>
        <w:t>於</w:t>
      </w:r>
      <w:r>
        <w:t>1962</w:t>
      </w:r>
      <w:r>
        <w:t>年《科學革命的結構》提出，指一門學科中規範問題概念、假設、方法、理論與語言的基本共識；典範的形成循環為：前典範時期</w:t>
      </w:r>
      <w:r>
        <w:t>→</w:t>
      </w:r>
      <w:r>
        <w:t>常態</w:t>
      </w:r>
      <w:proofErr w:type="gramStart"/>
      <w:r>
        <w:t>科學</w:t>
      </w:r>
      <w:r>
        <w:t>→</w:t>
      </w:r>
      <w:proofErr w:type="gramEnd"/>
      <w:r>
        <w:t>危機（異例累積）</w:t>
      </w:r>
      <w:r>
        <w:t>→</w:t>
      </w:r>
      <w:r>
        <w:t>科學革命</w:t>
      </w:r>
      <w:r>
        <w:t>→</w:t>
      </w:r>
      <w:r>
        <w:t>新典範，新舊典範之間具有「不可</w:t>
      </w:r>
      <w:proofErr w:type="gramStart"/>
      <w:r>
        <w:t>共量</w:t>
      </w:r>
      <w:proofErr w:type="gramEnd"/>
      <w:r>
        <w:t>性」。</w:t>
      </w:r>
    </w:p>
    <w:p w:rsidR="00574D39" w:rsidRDefault="007B3343">
      <w:pPr>
        <w:pStyle w:val="a4"/>
        <w:numPr>
          <w:ilvl w:val="0"/>
          <w:numId w:val="2"/>
        </w:numPr>
        <w:spacing w:after="120" w:line="340" w:lineRule="auto"/>
      </w:pPr>
      <w:r>
        <w:t>行政學典範之演變，可從</w:t>
      </w:r>
      <w:r>
        <w:t>Henry</w:t>
      </w:r>
      <w:r>
        <w:t>之時期分類、</w:t>
      </w:r>
      <w:r>
        <w:t>Ostrom</w:t>
      </w:r>
      <w:r>
        <w:t>之民主行政典範、</w:t>
      </w:r>
      <w:r>
        <w:t>Harmon</w:t>
      </w:r>
      <w:r>
        <w:t>之行動與理性典範、</w:t>
      </w:r>
      <w:r>
        <w:t>Denhardt</w:t>
      </w:r>
      <w:r>
        <w:t>之辯證與四類型典範等不同角度理解，各角度切入點不同，但均指向同一核心觀察：政治行政二分之簡化假設，正持續受到多元價值與人性複雜性之挑戰。</w:t>
      </w:r>
    </w:p>
    <w:p w:rsidR="00574D39" w:rsidRDefault="007B3343">
      <w:pPr>
        <w:spacing w:before="260" w:after="140"/>
      </w:pPr>
      <w:r>
        <w:rPr>
          <w:b/>
          <w:bCs/>
          <w:color w:val="2E5C8A"/>
          <w:sz w:val="23"/>
          <w:szCs w:val="23"/>
        </w:rPr>
        <w:t>二、理論發展</w:t>
      </w:r>
    </w:p>
    <w:p w:rsidR="00574D39" w:rsidRDefault="007B3343">
      <w:pPr>
        <w:pStyle w:val="a4"/>
        <w:numPr>
          <w:ilvl w:val="0"/>
          <w:numId w:val="2"/>
        </w:numPr>
        <w:spacing w:after="120" w:line="340" w:lineRule="auto"/>
      </w:pPr>
      <w:r>
        <w:lastRenderedPageBreak/>
        <w:t>Vincent Ostrom</w:t>
      </w:r>
      <w:r>
        <w:t>主張行政學正由「</w:t>
      </w:r>
      <w:r>
        <w:t>Wilson</w:t>
      </w:r>
      <w:r>
        <w:t>典範」走向「民主行政典範」：前者致力於行政獨立於政治之外、追求內部生產者效率；後者主張分散權力、縮減規模、決策多元、組織分權重疊，行政本身帶有政治色彩。</w:t>
      </w:r>
    </w:p>
    <w:p w:rsidR="00574D39" w:rsidRDefault="007B3343">
      <w:pPr>
        <w:pStyle w:val="a4"/>
        <w:numPr>
          <w:ilvl w:val="0"/>
          <w:numId w:val="2"/>
        </w:numPr>
        <w:spacing w:after="120" w:line="340" w:lineRule="auto"/>
      </w:pPr>
      <w:r>
        <w:t>Michael Harmon</w:t>
      </w:r>
      <w:r>
        <w:t>（</w:t>
      </w:r>
      <w:proofErr w:type="gramStart"/>
      <w:r>
        <w:t>1</w:t>
      </w:r>
      <w:r>
        <w:t>980</w:t>
      </w:r>
      <w:proofErr w:type="gramEnd"/>
      <w:r>
        <w:t>年代）主張行政學應由「實證典範」走向「行動典範」：實證典範過度重視理性與科學；行動典範則以面對面情境為分析單元，關注交互主觀性與倫理關懷，人性假定為「積極</w:t>
      </w:r>
      <w:proofErr w:type="gramStart"/>
      <w:r>
        <w:t>—</w:t>
      </w:r>
      <w:proofErr w:type="gramEnd"/>
      <w:r>
        <w:t>社會性」。</w:t>
      </w:r>
    </w:p>
    <w:p w:rsidR="00574D39" w:rsidRDefault="007B3343">
      <w:pPr>
        <w:pStyle w:val="a4"/>
        <w:numPr>
          <w:ilvl w:val="0"/>
          <w:numId w:val="2"/>
        </w:numPr>
        <w:spacing w:after="120" w:line="340" w:lineRule="auto"/>
      </w:pPr>
      <w:r>
        <w:t>Denhardt</w:t>
      </w:r>
      <w:r>
        <w:t>（</w:t>
      </w:r>
      <w:r>
        <w:t>1990</w:t>
      </w:r>
      <w:r>
        <w:t>）引</w:t>
      </w:r>
      <w:r>
        <w:t>Habermas</w:t>
      </w:r>
      <w:r>
        <w:t>辯證三元論，指出典範轉移並非排他性替代而是重疊並存；</w:t>
      </w:r>
      <w:r>
        <w:t>Denhardt</w:t>
      </w:r>
      <w:r>
        <w:t>（</w:t>
      </w:r>
      <w:r>
        <w:t>1993</w:t>
      </w:r>
      <w:r>
        <w:t>）進一步以「</w:t>
      </w:r>
      <w:proofErr w:type="gramStart"/>
      <w:r>
        <w:t>主觀／客觀</w:t>
      </w:r>
      <w:proofErr w:type="gramEnd"/>
      <w:r>
        <w:t>」與「政治／組織」兩軸，劃分出行政控制、組織學習、政治教育、政治結構四種典範類型。</w:t>
      </w:r>
    </w:p>
    <w:p w:rsidR="00574D39" w:rsidRDefault="007B3343">
      <w:pPr>
        <w:spacing w:before="260" w:after="140"/>
      </w:pPr>
      <w:r>
        <w:rPr>
          <w:b/>
          <w:bCs/>
          <w:color w:val="2E5C8A"/>
          <w:sz w:val="23"/>
          <w:szCs w:val="23"/>
        </w:rPr>
        <w:t>三、主要學者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26"/>
      </w:tblGrid>
      <w:tr w:rsidR="00574D39">
        <w:tblPrEx>
          <w:tblCellMar>
            <w:top w:w="0" w:type="dxa"/>
            <w:bottom w:w="0" w:type="dxa"/>
          </w:tblCellMar>
        </w:tblPrEx>
        <w:trPr>
          <w:tblHeader/>
        </w:trPr>
        <w:tc>
          <w:tcPr>
            <w:tcW w:w="26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學者</w:t>
            </w:r>
          </w:p>
        </w:tc>
        <w:tc>
          <w:tcPr>
            <w:tcW w:w="6426"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核心主張</w:t>
            </w:r>
          </w:p>
        </w:tc>
      </w:tr>
      <w:tr w:rsidR="00574D39">
        <w:tblPrEx>
          <w:tblCellMar>
            <w:top w:w="0" w:type="dxa"/>
            <w:bottom w:w="0" w:type="dxa"/>
          </w:tblCellMar>
        </w:tblPrEx>
        <w:tc>
          <w:tcPr>
            <w:tcW w:w="26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Thomas Kuhn</w:t>
            </w:r>
            <w:r>
              <w:rPr>
                <w:sz w:val="18"/>
                <w:szCs w:val="18"/>
              </w:rPr>
              <w:t>（</w:t>
            </w:r>
            <w:r>
              <w:rPr>
                <w:sz w:val="18"/>
                <w:szCs w:val="18"/>
              </w:rPr>
              <w:t>1962</w:t>
            </w:r>
            <w:r>
              <w:rPr>
                <w:sz w:val="18"/>
                <w:szCs w:val="18"/>
              </w:rPr>
              <w:t>）</w:t>
            </w:r>
          </w:p>
        </w:tc>
        <w:tc>
          <w:tcPr>
            <w:tcW w:w="6426" w:type="dxa"/>
            <w:shd w:val="clear" w:color="auto" w:fill="FFFFFF"/>
            <w:tcMar>
              <w:top w:w="80" w:type="dxa"/>
              <w:left w:w="100" w:type="dxa"/>
              <w:bottom w:w="80" w:type="dxa"/>
              <w:right w:w="100" w:type="dxa"/>
            </w:tcMar>
            <w:vAlign w:val="center"/>
          </w:tcPr>
          <w:p w:rsidR="00574D39" w:rsidRDefault="007B3343">
            <w:pPr>
              <w:spacing w:after="40"/>
            </w:pPr>
            <w:r>
              <w:rPr>
                <w:sz w:val="18"/>
                <w:szCs w:val="18"/>
              </w:rPr>
              <w:t>典範概念與科學革命循環（前典範</w:t>
            </w:r>
            <w:r>
              <w:rPr>
                <w:sz w:val="18"/>
                <w:szCs w:val="18"/>
              </w:rPr>
              <w:t>→</w:t>
            </w:r>
            <w:r>
              <w:rPr>
                <w:sz w:val="18"/>
                <w:szCs w:val="18"/>
              </w:rPr>
              <w:t>常態科學</w:t>
            </w:r>
            <w:r>
              <w:rPr>
                <w:sz w:val="18"/>
                <w:szCs w:val="18"/>
              </w:rPr>
              <w:t>→</w:t>
            </w:r>
            <w:r>
              <w:rPr>
                <w:sz w:val="18"/>
                <w:szCs w:val="18"/>
              </w:rPr>
              <w:t>危機</w:t>
            </w:r>
            <w:r>
              <w:rPr>
                <w:sz w:val="18"/>
                <w:szCs w:val="18"/>
              </w:rPr>
              <w:t>→</w:t>
            </w:r>
            <w:r>
              <w:rPr>
                <w:sz w:val="18"/>
                <w:szCs w:val="18"/>
              </w:rPr>
              <w:t>革命</w:t>
            </w:r>
            <w:r>
              <w:rPr>
                <w:sz w:val="18"/>
                <w:szCs w:val="18"/>
              </w:rPr>
              <w:t>→</w:t>
            </w:r>
            <w:r>
              <w:rPr>
                <w:sz w:val="18"/>
                <w:szCs w:val="18"/>
              </w:rPr>
              <w:t>新典範）</w:t>
            </w:r>
          </w:p>
        </w:tc>
      </w:tr>
      <w:tr w:rsidR="00574D39">
        <w:tblPrEx>
          <w:tblCellMar>
            <w:top w:w="0" w:type="dxa"/>
            <w:bottom w:w="0" w:type="dxa"/>
          </w:tblCellMar>
        </w:tblPrEx>
        <w:tc>
          <w:tcPr>
            <w:tcW w:w="2600" w:type="dxa"/>
            <w:shd w:val="clear" w:color="auto" w:fill="F2F6FA"/>
            <w:tcMar>
              <w:top w:w="80" w:type="dxa"/>
              <w:left w:w="100" w:type="dxa"/>
              <w:bottom w:w="80" w:type="dxa"/>
              <w:right w:w="100" w:type="dxa"/>
            </w:tcMar>
            <w:vAlign w:val="center"/>
          </w:tcPr>
          <w:p w:rsidR="00574D39" w:rsidRDefault="007B3343">
            <w:pPr>
              <w:spacing w:after="40"/>
            </w:pPr>
            <w:r>
              <w:rPr>
                <w:sz w:val="18"/>
                <w:szCs w:val="18"/>
              </w:rPr>
              <w:t>Vincent Ostrom</w:t>
            </w:r>
          </w:p>
        </w:tc>
        <w:tc>
          <w:tcPr>
            <w:tcW w:w="6426" w:type="dxa"/>
            <w:shd w:val="clear" w:color="auto" w:fill="F2F6FA"/>
            <w:tcMar>
              <w:top w:w="80" w:type="dxa"/>
              <w:left w:w="100" w:type="dxa"/>
              <w:bottom w:w="80" w:type="dxa"/>
              <w:right w:w="100" w:type="dxa"/>
            </w:tcMar>
            <w:vAlign w:val="center"/>
          </w:tcPr>
          <w:p w:rsidR="00574D39" w:rsidRDefault="007B3343">
            <w:pPr>
              <w:spacing w:after="40"/>
            </w:pPr>
            <w:r>
              <w:rPr>
                <w:sz w:val="18"/>
                <w:szCs w:val="18"/>
              </w:rPr>
              <w:t>民主行政典範，主張分散權力、決策多元、組織分權重疊</w:t>
            </w:r>
          </w:p>
        </w:tc>
      </w:tr>
      <w:tr w:rsidR="00574D39">
        <w:tblPrEx>
          <w:tblCellMar>
            <w:top w:w="0" w:type="dxa"/>
            <w:bottom w:w="0" w:type="dxa"/>
          </w:tblCellMar>
        </w:tblPrEx>
        <w:tc>
          <w:tcPr>
            <w:tcW w:w="26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Michael Harmon</w:t>
            </w:r>
            <w:r>
              <w:rPr>
                <w:sz w:val="18"/>
                <w:szCs w:val="18"/>
              </w:rPr>
              <w:t>（</w:t>
            </w:r>
            <w:r>
              <w:rPr>
                <w:sz w:val="18"/>
                <w:szCs w:val="18"/>
              </w:rPr>
              <w:t>1980s</w:t>
            </w:r>
            <w:r>
              <w:rPr>
                <w:sz w:val="18"/>
                <w:szCs w:val="18"/>
              </w:rPr>
              <w:t>）</w:t>
            </w:r>
          </w:p>
        </w:tc>
        <w:tc>
          <w:tcPr>
            <w:tcW w:w="6426" w:type="dxa"/>
            <w:shd w:val="clear" w:color="auto" w:fill="FFFFFF"/>
            <w:tcMar>
              <w:top w:w="80" w:type="dxa"/>
              <w:left w:w="100" w:type="dxa"/>
              <w:bottom w:w="80" w:type="dxa"/>
              <w:right w:w="100" w:type="dxa"/>
            </w:tcMar>
            <w:vAlign w:val="center"/>
          </w:tcPr>
          <w:p w:rsidR="00574D39" w:rsidRDefault="007B3343">
            <w:pPr>
              <w:spacing w:after="40"/>
            </w:pPr>
            <w:r>
              <w:rPr>
                <w:sz w:val="18"/>
                <w:szCs w:val="18"/>
              </w:rPr>
              <w:t>行動典範</w:t>
            </w:r>
            <w:r>
              <w:rPr>
                <w:sz w:val="18"/>
                <w:szCs w:val="18"/>
              </w:rPr>
              <w:t>vs.</w:t>
            </w:r>
            <w:r>
              <w:rPr>
                <w:sz w:val="18"/>
                <w:szCs w:val="18"/>
              </w:rPr>
              <w:t>實證典範，行動典範關注交互主觀性與倫理</w:t>
            </w:r>
          </w:p>
        </w:tc>
      </w:tr>
      <w:tr w:rsidR="00574D39">
        <w:tblPrEx>
          <w:tblCellMar>
            <w:top w:w="0" w:type="dxa"/>
            <w:bottom w:w="0" w:type="dxa"/>
          </w:tblCellMar>
        </w:tblPrEx>
        <w:tc>
          <w:tcPr>
            <w:tcW w:w="2600" w:type="dxa"/>
            <w:shd w:val="clear" w:color="auto" w:fill="F2F6FA"/>
            <w:tcMar>
              <w:top w:w="80" w:type="dxa"/>
              <w:left w:w="100" w:type="dxa"/>
              <w:bottom w:w="80" w:type="dxa"/>
              <w:right w:w="100" w:type="dxa"/>
            </w:tcMar>
            <w:vAlign w:val="center"/>
          </w:tcPr>
          <w:p w:rsidR="00574D39" w:rsidRDefault="007B3343">
            <w:pPr>
              <w:spacing w:after="40"/>
            </w:pPr>
            <w:r>
              <w:rPr>
                <w:sz w:val="18"/>
                <w:szCs w:val="18"/>
              </w:rPr>
              <w:t>Robert Denhardt</w:t>
            </w:r>
            <w:r>
              <w:rPr>
                <w:sz w:val="18"/>
                <w:szCs w:val="18"/>
              </w:rPr>
              <w:t>（</w:t>
            </w:r>
            <w:r>
              <w:rPr>
                <w:sz w:val="18"/>
                <w:szCs w:val="18"/>
              </w:rPr>
              <w:t>1990, 1993</w:t>
            </w:r>
            <w:r>
              <w:rPr>
                <w:sz w:val="18"/>
                <w:szCs w:val="18"/>
              </w:rPr>
              <w:t>）</w:t>
            </w:r>
          </w:p>
        </w:tc>
        <w:tc>
          <w:tcPr>
            <w:tcW w:w="6426" w:type="dxa"/>
            <w:shd w:val="clear" w:color="auto" w:fill="F2F6FA"/>
            <w:tcMar>
              <w:top w:w="80" w:type="dxa"/>
              <w:left w:w="100" w:type="dxa"/>
              <w:bottom w:w="80" w:type="dxa"/>
              <w:right w:w="100" w:type="dxa"/>
            </w:tcMar>
            <w:vAlign w:val="center"/>
          </w:tcPr>
          <w:p w:rsidR="00574D39" w:rsidRDefault="007B3343">
            <w:pPr>
              <w:spacing w:after="40"/>
            </w:pPr>
            <w:r>
              <w:rPr>
                <w:sz w:val="18"/>
                <w:szCs w:val="18"/>
              </w:rPr>
              <w:t>典範轉移為重疊並存而非替代；四類型典範（行政控制／組織學習／政治教育／政治結構）</w:t>
            </w:r>
          </w:p>
        </w:tc>
      </w:tr>
    </w:tbl>
    <w:p w:rsidR="00574D39" w:rsidRDefault="007B3343">
      <w:pPr>
        <w:spacing w:before="120" w:after="280"/>
        <w:jc w:val="center"/>
      </w:pPr>
      <w:r>
        <w:rPr>
          <w:i/>
          <w:iCs/>
          <w:color w:val="555555"/>
          <w:sz w:val="18"/>
          <w:szCs w:val="18"/>
        </w:rPr>
        <w:t>表</w:t>
      </w:r>
      <w:r>
        <w:rPr>
          <w:i/>
          <w:iCs/>
          <w:color w:val="555555"/>
          <w:sz w:val="18"/>
          <w:szCs w:val="18"/>
        </w:rPr>
        <w:t>3-A</w:t>
      </w:r>
      <w:r>
        <w:rPr>
          <w:i/>
          <w:iCs/>
          <w:color w:val="555555"/>
          <w:sz w:val="18"/>
          <w:szCs w:val="18"/>
        </w:rPr>
        <w:t xml:space="preserve">　典範演變之主要學者與核心主張</w:t>
      </w:r>
    </w:p>
    <w:p w:rsidR="00574D39" w:rsidRDefault="007B3343">
      <w:pPr>
        <w:spacing w:before="260" w:after="140"/>
      </w:pPr>
      <w:r>
        <w:rPr>
          <w:b/>
          <w:bCs/>
          <w:color w:val="2E5C8A"/>
          <w:sz w:val="23"/>
          <w:szCs w:val="23"/>
        </w:rPr>
        <w:t>四、核心命題</w:t>
      </w:r>
    </w:p>
    <w:p w:rsidR="00574D39" w:rsidRDefault="007B3343">
      <w:pPr>
        <w:pStyle w:val="a4"/>
        <w:numPr>
          <w:ilvl w:val="0"/>
          <w:numId w:val="2"/>
        </w:numPr>
        <w:spacing w:after="120" w:line="340" w:lineRule="auto"/>
      </w:pPr>
      <w:r>
        <w:t>Harmon</w:t>
      </w:r>
      <w:r>
        <w:t>人性假定四類型（主動</w:t>
      </w:r>
      <w:proofErr w:type="gramStart"/>
      <w:r>
        <w:t>—</w:t>
      </w:r>
      <w:proofErr w:type="gramEnd"/>
      <w:r>
        <w:t>社會的自我／被動</w:t>
      </w:r>
      <w:r>
        <w:t>—</w:t>
      </w:r>
      <w:r>
        <w:t>社會的自我／主動</w:t>
      </w:r>
      <w:r>
        <w:t>—</w:t>
      </w:r>
      <w:r>
        <w:t>原子論的自我／被動</w:t>
      </w:r>
      <w:r>
        <w:t>—</w:t>
      </w:r>
      <w:r>
        <w:t>原子論的自我），分別對應</w:t>
      </w:r>
      <w:r>
        <w:t>Harmon</w:t>
      </w:r>
      <w:r>
        <w:t>行動理論、</w:t>
      </w:r>
      <w:r>
        <w:t>Weber</w:t>
      </w:r>
      <w:r>
        <w:t>官僚體制、公共選擇論、</w:t>
      </w:r>
      <w:r>
        <w:t>Skinner</w:t>
      </w:r>
      <w:r>
        <w:t>增強理論四種不同的行政理論淵源，是理解「人性假定如何決定理論取向」之關鍵分析工具。</w:t>
      </w:r>
    </w:p>
    <w:p w:rsidR="00574D39" w:rsidRDefault="007B3343">
      <w:pPr>
        <w:spacing w:before="260" w:after="140"/>
      </w:pPr>
      <w:r>
        <w:rPr>
          <w:b/>
          <w:bCs/>
          <w:color w:val="2E5C8A"/>
          <w:sz w:val="23"/>
          <w:szCs w:val="23"/>
        </w:rPr>
        <w:t>五、優點與限制</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613"/>
        <w:gridCol w:w="3613"/>
      </w:tblGrid>
      <w:tr w:rsidR="00574D39">
        <w:tblPrEx>
          <w:tblCellMar>
            <w:top w:w="0" w:type="dxa"/>
            <w:bottom w:w="0" w:type="dxa"/>
          </w:tblCellMar>
        </w:tblPrEx>
        <w:trPr>
          <w:tblHeader/>
        </w:trPr>
        <w:tc>
          <w:tcPr>
            <w:tcW w:w="18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lastRenderedPageBreak/>
              <w:t>面向</w:t>
            </w:r>
          </w:p>
        </w:tc>
        <w:tc>
          <w:tcPr>
            <w:tcW w:w="3613"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貢獻</w:t>
            </w:r>
          </w:p>
        </w:tc>
        <w:tc>
          <w:tcPr>
            <w:tcW w:w="3613"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限制</w:t>
            </w:r>
          </w:p>
        </w:tc>
      </w:tr>
      <w:tr w:rsidR="00574D39">
        <w:tblPrEx>
          <w:tblCellMar>
            <w:top w:w="0" w:type="dxa"/>
            <w:bottom w:w="0" w:type="dxa"/>
          </w:tblCellMar>
        </w:tblPrEx>
        <w:tc>
          <w:tcPr>
            <w:tcW w:w="18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Kuhn</w:t>
            </w:r>
            <w:r>
              <w:rPr>
                <w:sz w:val="18"/>
                <w:szCs w:val="18"/>
              </w:rPr>
              <w:t>典範理論</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提供理解學科發展的動態框架，說明理論轉移非線性累積而是革命性跳躍</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「不可</w:t>
            </w:r>
            <w:proofErr w:type="gramStart"/>
            <w:r>
              <w:rPr>
                <w:sz w:val="18"/>
                <w:szCs w:val="18"/>
              </w:rPr>
              <w:t>共量性</w:t>
            </w:r>
            <w:proofErr w:type="gramEnd"/>
            <w:r>
              <w:rPr>
                <w:sz w:val="18"/>
                <w:szCs w:val="18"/>
              </w:rPr>
              <w:t>」若被過度強調，可能使不同典範間之對話與整合變得困難</w:t>
            </w:r>
          </w:p>
        </w:tc>
      </w:tr>
      <w:tr w:rsidR="00574D39">
        <w:tblPrEx>
          <w:tblCellMar>
            <w:top w:w="0" w:type="dxa"/>
            <w:bottom w:w="0" w:type="dxa"/>
          </w:tblCellMar>
        </w:tblPrEx>
        <w:tc>
          <w:tcPr>
            <w:tcW w:w="1800" w:type="dxa"/>
            <w:shd w:val="clear" w:color="auto" w:fill="F2F6FA"/>
            <w:tcMar>
              <w:top w:w="80" w:type="dxa"/>
              <w:left w:w="100" w:type="dxa"/>
              <w:bottom w:w="80" w:type="dxa"/>
              <w:right w:w="100" w:type="dxa"/>
            </w:tcMar>
            <w:vAlign w:val="center"/>
          </w:tcPr>
          <w:p w:rsidR="00574D39" w:rsidRDefault="007B3343">
            <w:pPr>
              <w:spacing w:after="40"/>
            </w:pPr>
            <w:r>
              <w:rPr>
                <w:sz w:val="18"/>
                <w:szCs w:val="18"/>
              </w:rPr>
              <w:t>Harmon</w:t>
            </w:r>
            <w:r>
              <w:rPr>
                <w:sz w:val="18"/>
                <w:szCs w:val="18"/>
              </w:rPr>
              <w:t>行動典範</w:t>
            </w:r>
          </w:p>
        </w:tc>
        <w:tc>
          <w:tcPr>
            <w:tcW w:w="3613" w:type="dxa"/>
            <w:shd w:val="clear" w:color="auto" w:fill="F2F6FA"/>
            <w:tcMar>
              <w:top w:w="80" w:type="dxa"/>
              <w:left w:w="100" w:type="dxa"/>
              <w:bottom w:w="80" w:type="dxa"/>
              <w:right w:w="100" w:type="dxa"/>
            </w:tcMar>
            <w:vAlign w:val="center"/>
          </w:tcPr>
          <w:p w:rsidR="00574D39" w:rsidRDefault="007B3343">
            <w:pPr>
              <w:spacing w:after="40"/>
            </w:pPr>
            <w:r>
              <w:rPr>
                <w:sz w:val="18"/>
                <w:szCs w:val="18"/>
              </w:rPr>
              <w:t>補上實證典範忽略的交互主觀性與倫理關懷，貼近基層行政之真實情境</w:t>
            </w:r>
          </w:p>
        </w:tc>
        <w:tc>
          <w:tcPr>
            <w:tcW w:w="3613" w:type="dxa"/>
            <w:shd w:val="clear" w:color="auto" w:fill="F2F6FA"/>
            <w:tcMar>
              <w:top w:w="80" w:type="dxa"/>
              <w:left w:w="100" w:type="dxa"/>
              <w:bottom w:w="80" w:type="dxa"/>
              <w:right w:w="100" w:type="dxa"/>
            </w:tcMar>
            <w:vAlign w:val="center"/>
          </w:tcPr>
          <w:p w:rsidR="00574D39" w:rsidRDefault="007B3343">
            <w:pPr>
              <w:spacing w:after="40"/>
            </w:pPr>
            <w:r>
              <w:rPr>
                <w:sz w:val="18"/>
                <w:szCs w:val="18"/>
              </w:rPr>
              <w:t>以面對面情境為分析單元，較難處理跨組織、跨國界之巨觀行政現象</w:t>
            </w:r>
          </w:p>
        </w:tc>
      </w:tr>
    </w:tbl>
    <w:p w:rsidR="00574D39" w:rsidRDefault="007B3343">
      <w:pPr>
        <w:spacing w:before="120" w:after="280"/>
        <w:jc w:val="center"/>
      </w:pPr>
      <w:r>
        <w:rPr>
          <w:i/>
          <w:iCs/>
          <w:color w:val="555555"/>
          <w:sz w:val="18"/>
          <w:szCs w:val="18"/>
        </w:rPr>
        <w:t>表</w:t>
      </w:r>
      <w:r>
        <w:rPr>
          <w:i/>
          <w:iCs/>
          <w:color w:val="555555"/>
          <w:sz w:val="18"/>
          <w:szCs w:val="18"/>
        </w:rPr>
        <w:t>3-B</w:t>
      </w:r>
      <w:r>
        <w:rPr>
          <w:i/>
          <w:iCs/>
          <w:color w:val="555555"/>
          <w:sz w:val="18"/>
          <w:szCs w:val="18"/>
        </w:rPr>
        <w:t xml:space="preserve">　典範理論之貢獻與限制</w:t>
      </w:r>
    </w:p>
    <w:p w:rsidR="00574D39" w:rsidRDefault="007B3343">
      <w:pPr>
        <w:spacing w:before="260" w:after="140"/>
      </w:pPr>
      <w:r>
        <w:rPr>
          <w:b/>
          <w:bCs/>
          <w:color w:val="2E5C8A"/>
          <w:sz w:val="23"/>
          <w:szCs w:val="23"/>
        </w:rPr>
        <w:t>六、當代發展</w:t>
      </w:r>
    </w:p>
    <w:p w:rsidR="00574D39" w:rsidRDefault="007B3343">
      <w:pPr>
        <w:pStyle w:val="a4"/>
        <w:numPr>
          <w:ilvl w:val="0"/>
          <w:numId w:val="2"/>
        </w:numPr>
        <w:spacing w:after="120" w:line="340" w:lineRule="auto"/>
      </w:pPr>
      <w:r>
        <w:t>AI</w:t>
      </w:r>
      <w:r>
        <w:t>輔助決策系統之興起，可視為對既有典範之新一輪挑戰：演算法治理既非純粹實證典範（其黑箱特性違背可驗證性），亦非純粹行動典範（其決策仍高度依賴量化模型），這正是本章第三節「</w:t>
      </w:r>
      <w:r>
        <w:t>25-3-3-4-7</w:t>
      </w:r>
      <w:r>
        <w:t>」架構被提出的方法論背景。</w:t>
      </w:r>
    </w:p>
    <w:p w:rsidR="00574D39" w:rsidRDefault="007B3343">
      <w:pPr>
        <w:spacing w:before="260" w:after="140"/>
      </w:pPr>
      <w:r>
        <w:rPr>
          <w:b/>
          <w:bCs/>
          <w:color w:val="2E5C8A"/>
          <w:sz w:val="23"/>
          <w:szCs w:val="23"/>
        </w:rPr>
        <w:t>七、臺灣行政實務</w:t>
      </w:r>
    </w:p>
    <w:p w:rsidR="00574D39" w:rsidRDefault="007B3343">
      <w:pPr>
        <w:pStyle w:val="a4"/>
        <w:numPr>
          <w:ilvl w:val="0"/>
          <w:numId w:val="2"/>
        </w:numPr>
        <w:spacing w:after="120" w:line="340" w:lineRule="auto"/>
      </w:pPr>
      <w:r>
        <w:t>我國近年行政學研究從</w:t>
      </w:r>
      <w:proofErr w:type="gramStart"/>
      <w:r>
        <w:t>單純繼</w:t>
      </w:r>
      <w:proofErr w:type="gramEnd"/>
      <w:r>
        <w:t>受歐美理論，逐漸轉向本土化建構（如本書「</w:t>
      </w:r>
      <w:r>
        <w:t>25-3-3-4-7</w:t>
      </w:r>
      <w:r>
        <w:t>」架構），呼應</w:t>
      </w:r>
      <w:r>
        <w:t>Denhardt</w:t>
      </w:r>
      <w:r>
        <w:t>「典範重疊並存」之觀點</w:t>
      </w:r>
      <w:r>
        <w:t>——</w:t>
      </w:r>
      <w:r>
        <w:t>傳統官僚體制、新公共管理績效指標與治理網絡協力，同時並存於我國各級政府之實務運作中。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574D39" w:rsidRDefault="007B3343">
            <w:pPr>
              <w:spacing w:after="100"/>
            </w:pPr>
            <w:r>
              <w:rPr>
                <w:b/>
                <w:bCs/>
                <w:color w:val="1F4E79"/>
              </w:rPr>
              <w:t>【國考考點】</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①Kuhn</w:t>
            </w:r>
            <w:r>
              <w:rPr>
                <w:sz w:val="21"/>
                <w:szCs w:val="21"/>
              </w:rPr>
              <w:t>典範定義與典範轉移五階段循環（前典範</w:t>
            </w:r>
            <w:r>
              <w:rPr>
                <w:sz w:val="21"/>
                <w:szCs w:val="21"/>
              </w:rPr>
              <w:t>→</w:t>
            </w:r>
            <w:r>
              <w:rPr>
                <w:sz w:val="21"/>
                <w:szCs w:val="21"/>
              </w:rPr>
              <w:t>常態科學</w:t>
            </w:r>
            <w:r>
              <w:rPr>
                <w:sz w:val="21"/>
                <w:szCs w:val="21"/>
              </w:rPr>
              <w:t>→</w:t>
            </w:r>
            <w:r>
              <w:rPr>
                <w:sz w:val="21"/>
                <w:szCs w:val="21"/>
              </w:rPr>
              <w:t>危機</w:t>
            </w:r>
            <w:r>
              <w:rPr>
                <w:sz w:val="21"/>
                <w:szCs w:val="21"/>
              </w:rPr>
              <w:t>→</w:t>
            </w:r>
            <w:r>
              <w:rPr>
                <w:sz w:val="21"/>
                <w:szCs w:val="21"/>
              </w:rPr>
              <w:t>革命</w:t>
            </w:r>
            <w:r>
              <w:rPr>
                <w:sz w:val="21"/>
                <w:szCs w:val="21"/>
              </w:rPr>
              <w:t>→</w:t>
            </w:r>
            <w:r>
              <w:rPr>
                <w:sz w:val="21"/>
                <w:szCs w:val="21"/>
              </w:rPr>
              <w:t>新典範）</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②Ostrom</w:t>
            </w:r>
            <w:r>
              <w:rPr>
                <w:sz w:val="21"/>
                <w:szCs w:val="21"/>
              </w:rPr>
              <w:t>民主行政典範</w:t>
            </w:r>
            <w:r>
              <w:rPr>
                <w:sz w:val="21"/>
                <w:szCs w:val="21"/>
              </w:rPr>
              <w:t xml:space="preserve"> vs. Wilson</w:t>
            </w:r>
            <w:r>
              <w:rPr>
                <w:sz w:val="21"/>
                <w:szCs w:val="21"/>
              </w:rPr>
              <w:t>典範之對比</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③Harmon</w:t>
            </w:r>
            <w:r>
              <w:rPr>
                <w:sz w:val="21"/>
                <w:szCs w:val="21"/>
              </w:rPr>
              <w:t>行動典範</w:t>
            </w:r>
            <w:r>
              <w:rPr>
                <w:sz w:val="21"/>
                <w:szCs w:val="21"/>
              </w:rPr>
              <w:t xml:space="preserve"> vs. </w:t>
            </w:r>
            <w:r>
              <w:rPr>
                <w:sz w:val="21"/>
                <w:szCs w:val="21"/>
              </w:rPr>
              <w:t>實證典範，及其人性假定四類型</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④Denhardt</w:t>
            </w:r>
            <w:r>
              <w:rPr>
                <w:sz w:val="21"/>
                <w:szCs w:val="21"/>
              </w:rPr>
              <w:t>典範轉移「重疊並存而非替代」之核心命題</w:t>
            </w:r>
          </w:p>
          <w:p w:rsidR="00574D39" w:rsidRDefault="007B3343">
            <w:pPr>
              <w:spacing w:line="320" w:lineRule="auto"/>
            </w:pPr>
            <w:proofErr w:type="gramStart"/>
            <w:r>
              <w:rPr>
                <w:sz w:val="21"/>
                <w:szCs w:val="21"/>
              </w:rPr>
              <w:t>•</w:t>
            </w:r>
            <w:proofErr w:type="gramEnd"/>
            <w:r>
              <w:rPr>
                <w:sz w:val="21"/>
                <w:szCs w:val="21"/>
              </w:rPr>
              <w:t xml:space="preserve">　</w:t>
            </w:r>
            <w:r>
              <w:rPr>
                <w:sz w:val="21"/>
                <w:szCs w:val="21"/>
              </w:rPr>
              <w:t>⑤Denhardt</w:t>
            </w:r>
            <w:r>
              <w:rPr>
                <w:sz w:val="21"/>
                <w:szCs w:val="21"/>
              </w:rPr>
              <w:t>四類型典範（行政控制／組織學習／政治教育／政治結構）之兩軸劃分邏輯</w:t>
            </w:r>
          </w:p>
        </w:tc>
      </w:tr>
    </w:tbl>
    <w:p w:rsidR="00574D39" w:rsidRDefault="00574D39">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574D39" w:rsidRDefault="007B3343">
            <w:pPr>
              <w:spacing w:after="100"/>
            </w:pPr>
            <w:r>
              <w:rPr>
                <w:b/>
                <w:bCs/>
                <w:color w:val="2E7D32"/>
              </w:rPr>
              <w:t>【一分鐘記憶】</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Kuhn</w:t>
            </w:r>
            <w:r>
              <w:rPr>
                <w:sz w:val="21"/>
                <w:szCs w:val="21"/>
              </w:rPr>
              <w:t>典範循環口訣：前典範</w:t>
            </w:r>
            <w:r>
              <w:rPr>
                <w:sz w:val="21"/>
                <w:szCs w:val="21"/>
              </w:rPr>
              <w:t>→</w:t>
            </w:r>
            <w:r>
              <w:rPr>
                <w:sz w:val="21"/>
                <w:szCs w:val="21"/>
              </w:rPr>
              <w:t>常態</w:t>
            </w:r>
            <w:r>
              <w:rPr>
                <w:sz w:val="21"/>
                <w:szCs w:val="21"/>
              </w:rPr>
              <w:t>→</w:t>
            </w:r>
            <w:r>
              <w:rPr>
                <w:sz w:val="21"/>
                <w:szCs w:val="21"/>
              </w:rPr>
              <w:t>危機</w:t>
            </w:r>
            <w:r>
              <w:rPr>
                <w:sz w:val="21"/>
                <w:szCs w:val="21"/>
              </w:rPr>
              <w:t>→</w:t>
            </w:r>
            <w:r>
              <w:rPr>
                <w:sz w:val="21"/>
                <w:szCs w:val="21"/>
              </w:rPr>
              <w:t>革命</w:t>
            </w:r>
            <w:r>
              <w:rPr>
                <w:sz w:val="21"/>
                <w:szCs w:val="21"/>
              </w:rPr>
              <w:t>→</w:t>
            </w:r>
            <w:r>
              <w:rPr>
                <w:sz w:val="21"/>
                <w:szCs w:val="21"/>
              </w:rPr>
              <w:t>新典範（五階段像「醞釀、穩定、出包、翻盤、重來」）</w:t>
            </w:r>
          </w:p>
          <w:p w:rsidR="00574D39" w:rsidRDefault="007B3343">
            <w:pPr>
              <w:spacing w:after="80" w:line="320" w:lineRule="auto"/>
            </w:pPr>
            <w:proofErr w:type="gramStart"/>
            <w:r>
              <w:rPr>
                <w:sz w:val="21"/>
                <w:szCs w:val="21"/>
              </w:rPr>
              <w:lastRenderedPageBreak/>
              <w:t>•</w:t>
            </w:r>
            <w:proofErr w:type="gramEnd"/>
            <w:r>
              <w:rPr>
                <w:sz w:val="21"/>
                <w:szCs w:val="21"/>
              </w:rPr>
              <w:t xml:space="preserve">　</w:t>
            </w:r>
            <w:r>
              <w:rPr>
                <w:sz w:val="21"/>
                <w:szCs w:val="21"/>
              </w:rPr>
              <w:t>Harmon</w:t>
            </w:r>
            <w:r>
              <w:rPr>
                <w:sz w:val="21"/>
                <w:szCs w:val="21"/>
              </w:rPr>
              <w:t>人性假定四類型記憶：主動</w:t>
            </w:r>
            <w:r>
              <w:rPr>
                <w:sz w:val="21"/>
                <w:szCs w:val="21"/>
              </w:rPr>
              <w:t>/</w:t>
            </w:r>
            <w:r>
              <w:rPr>
                <w:sz w:val="21"/>
                <w:szCs w:val="21"/>
              </w:rPr>
              <w:t>被動</w:t>
            </w:r>
            <w:r>
              <w:rPr>
                <w:sz w:val="21"/>
                <w:szCs w:val="21"/>
              </w:rPr>
              <w:t xml:space="preserve"> × </w:t>
            </w:r>
            <w:r>
              <w:rPr>
                <w:sz w:val="21"/>
                <w:szCs w:val="21"/>
              </w:rPr>
              <w:t>社會</w:t>
            </w:r>
            <w:r>
              <w:rPr>
                <w:sz w:val="21"/>
                <w:szCs w:val="21"/>
              </w:rPr>
              <w:t>/</w:t>
            </w:r>
            <w:r>
              <w:rPr>
                <w:sz w:val="21"/>
                <w:szCs w:val="21"/>
              </w:rPr>
              <w:t>原子論</w:t>
            </w:r>
            <w:proofErr w:type="gramStart"/>
            <w:r>
              <w:rPr>
                <w:sz w:val="21"/>
                <w:szCs w:val="21"/>
              </w:rPr>
              <w:t>—</w:t>
            </w:r>
            <w:proofErr w:type="gramEnd"/>
            <w:r>
              <w:rPr>
                <w:sz w:val="21"/>
                <w:szCs w:val="21"/>
              </w:rPr>
              <w:t>—</w:t>
            </w:r>
            <w:r>
              <w:rPr>
                <w:sz w:val="21"/>
                <w:szCs w:val="21"/>
              </w:rPr>
              <w:t>社會的偏群體、原子論的偏個人；主動的偏自主、被動</w:t>
            </w:r>
            <w:proofErr w:type="gramStart"/>
            <w:r>
              <w:rPr>
                <w:sz w:val="21"/>
                <w:szCs w:val="21"/>
              </w:rPr>
              <w:t>的偏受控</w:t>
            </w:r>
            <w:proofErr w:type="gramEnd"/>
          </w:p>
          <w:p w:rsidR="00574D39" w:rsidRDefault="007B3343">
            <w:pPr>
              <w:spacing w:line="320" w:lineRule="auto"/>
            </w:pPr>
            <w:proofErr w:type="gramStart"/>
            <w:r>
              <w:rPr>
                <w:sz w:val="21"/>
                <w:szCs w:val="21"/>
              </w:rPr>
              <w:t>•</w:t>
            </w:r>
            <w:proofErr w:type="gramEnd"/>
            <w:r>
              <w:rPr>
                <w:sz w:val="21"/>
                <w:szCs w:val="21"/>
              </w:rPr>
              <w:t xml:space="preserve">　典範轉移不是「取代」是「重疊並存」</w:t>
            </w:r>
            <w:r>
              <w:rPr>
                <w:sz w:val="21"/>
                <w:szCs w:val="21"/>
              </w:rPr>
              <w:t>——</w:t>
            </w:r>
            <w:r>
              <w:rPr>
                <w:sz w:val="21"/>
                <w:szCs w:val="21"/>
              </w:rPr>
              <w:t>這句話幾乎每個典範</w:t>
            </w:r>
            <w:proofErr w:type="gramStart"/>
            <w:r>
              <w:rPr>
                <w:sz w:val="21"/>
                <w:szCs w:val="21"/>
              </w:rPr>
              <w:t>理論考點</w:t>
            </w:r>
            <w:proofErr w:type="gramEnd"/>
            <w:r>
              <w:rPr>
                <w:sz w:val="21"/>
                <w:szCs w:val="21"/>
              </w:rPr>
              <w:t>都可以用得上</w:t>
            </w:r>
          </w:p>
        </w:tc>
      </w:tr>
    </w:tbl>
    <w:p w:rsidR="00574D39" w:rsidRDefault="00574D39">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FDECEA"/>
              <w:left w:val="single" w:sz="24" w:space="0" w:color="C0392B"/>
              <w:bottom w:val="single" w:sz="2" w:space="0" w:color="FDECEA"/>
              <w:right w:val="single" w:sz="2" w:space="0" w:color="FDECEA"/>
            </w:tcBorders>
            <w:shd w:val="clear" w:color="auto" w:fill="FDECEA"/>
            <w:tcMar>
              <w:top w:w="160" w:type="dxa"/>
              <w:left w:w="220" w:type="dxa"/>
              <w:bottom w:w="160" w:type="dxa"/>
              <w:right w:w="220" w:type="dxa"/>
            </w:tcMar>
          </w:tcPr>
          <w:p w:rsidR="00574D39" w:rsidRDefault="007B3343">
            <w:pPr>
              <w:spacing w:after="100"/>
            </w:pPr>
            <w:r>
              <w:rPr>
                <w:b/>
                <w:bCs/>
                <w:color w:val="C0392B"/>
              </w:rPr>
              <w:t>【容易混淆】</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Ostrom</w:t>
            </w:r>
            <w:r>
              <w:rPr>
                <w:sz w:val="21"/>
                <w:szCs w:val="21"/>
              </w:rPr>
              <w:t>的「民主行政典範」與新公共行政（</w:t>
            </w:r>
            <w:r>
              <w:rPr>
                <w:sz w:val="21"/>
                <w:szCs w:val="21"/>
              </w:rPr>
              <w:t>NPA</w:t>
            </w:r>
            <w:r>
              <w:rPr>
                <w:sz w:val="21"/>
                <w:szCs w:val="21"/>
              </w:rPr>
              <w:t>）不是同一件事</w:t>
            </w:r>
            <w:r>
              <w:rPr>
                <w:sz w:val="21"/>
                <w:szCs w:val="21"/>
              </w:rPr>
              <w:t>——</w:t>
            </w:r>
            <w:r>
              <w:rPr>
                <w:sz w:val="21"/>
                <w:szCs w:val="21"/>
              </w:rPr>
              <w:t>前者聚焦於分權化的制度設計主張（多元組織、重疊管轄），後者聚焦於社會公平之價值訴求，兩者常被籠統混用。</w:t>
            </w:r>
          </w:p>
          <w:p w:rsidR="00574D39" w:rsidRDefault="007B3343">
            <w:pPr>
              <w:spacing w:line="320" w:lineRule="auto"/>
            </w:pPr>
            <w:proofErr w:type="gramStart"/>
            <w:r>
              <w:rPr>
                <w:sz w:val="21"/>
                <w:szCs w:val="21"/>
              </w:rPr>
              <w:t>•</w:t>
            </w:r>
            <w:proofErr w:type="gramEnd"/>
            <w:r>
              <w:rPr>
                <w:sz w:val="21"/>
                <w:szCs w:val="21"/>
              </w:rPr>
              <w:t xml:space="preserve">　</w:t>
            </w:r>
            <w:r>
              <w:rPr>
                <w:sz w:val="21"/>
                <w:szCs w:val="21"/>
              </w:rPr>
              <w:t>Harmon</w:t>
            </w:r>
            <w:r>
              <w:rPr>
                <w:sz w:val="21"/>
                <w:szCs w:val="21"/>
              </w:rPr>
              <w:t>的「行動典範」（</w:t>
            </w:r>
            <w:r>
              <w:rPr>
                <w:sz w:val="21"/>
                <w:szCs w:val="21"/>
              </w:rPr>
              <w:t>action theory</w:t>
            </w:r>
            <w:r>
              <w:rPr>
                <w:sz w:val="21"/>
                <w:szCs w:val="21"/>
              </w:rPr>
              <w:t>）與</w:t>
            </w:r>
            <w:r>
              <w:rPr>
                <w:sz w:val="21"/>
                <w:szCs w:val="21"/>
              </w:rPr>
              <w:t>Ansell &amp; Gash</w:t>
            </w:r>
            <w:r>
              <w:rPr>
                <w:sz w:val="21"/>
                <w:szCs w:val="21"/>
              </w:rPr>
              <w:t>的「協同治理」都強調參與，但層次不同</w:t>
            </w:r>
            <w:r>
              <w:rPr>
                <w:sz w:val="21"/>
                <w:szCs w:val="21"/>
              </w:rPr>
              <w:t>——</w:t>
            </w:r>
            <w:r>
              <w:rPr>
                <w:sz w:val="21"/>
                <w:szCs w:val="21"/>
              </w:rPr>
              <w:t>行動典範是方法論／人性假定層次的典範主張，協同治理是具體的治理機制設計，答題時不可互相替代。</w:t>
            </w:r>
          </w:p>
        </w:tc>
      </w:tr>
    </w:tbl>
    <w:p w:rsidR="00574D39" w:rsidRDefault="00574D39">
      <w:pPr>
        <w:spacing w:after="220"/>
      </w:pPr>
    </w:p>
    <w:p w:rsidR="00574D39" w:rsidRDefault="007B3343">
      <w:pPr>
        <w:spacing w:before="360" w:after="180"/>
      </w:pPr>
      <w:r>
        <w:rPr>
          <w:b/>
          <w:bCs/>
          <w:color w:val="1F4E79"/>
          <w:sz w:val="26"/>
          <w:szCs w:val="26"/>
        </w:rPr>
        <w:t>第二節　新左派與新右派系譜、五種研究途徑比較</w:t>
      </w:r>
    </w:p>
    <w:p w:rsidR="00574D39" w:rsidRDefault="007B3343">
      <w:pPr>
        <w:spacing w:before="260" w:after="140"/>
      </w:pPr>
      <w:r>
        <w:rPr>
          <w:b/>
          <w:bCs/>
          <w:color w:val="2E5C8A"/>
          <w:sz w:val="23"/>
          <w:szCs w:val="23"/>
        </w:rPr>
        <w:t>一、核心概念</w:t>
      </w:r>
    </w:p>
    <w:p w:rsidR="00574D39" w:rsidRDefault="007B3343">
      <w:pPr>
        <w:pStyle w:val="a4"/>
        <w:numPr>
          <w:ilvl w:val="0"/>
          <w:numId w:val="2"/>
        </w:numPr>
        <w:spacing w:after="120" w:line="340" w:lineRule="auto"/>
      </w:pPr>
      <w:r>
        <w:t>行政理論自</w:t>
      </w:r>
      <w:proofErr w:type="gramStart"/>
      <w:r>
        <w:t>1970</w:t>
      </w:r>
      <w:proofErr w:type="gramEnd"/>
      <w:r>
        <w:t>年代起分歧為新左派（以新公共行政</w:t>
      </w:r>
      <w:r>
        <w:t>NPA</w:t>
      </w:r>
      <w:r>
        <w:t>為核心）與新右派（以新公共管理</w:t>
      </w:r>
      <w:r>
        <w:t>NPM</w:t>
      </w:r>
      <w:r>
        <w:t>為核心）兩條路線，兩者在價值、</w:t>
      </w:r>
      <w:proofErr w:type="gramStart"/>
      <w:r>
        <w:t>課</w:t>
      </w:r>
      <w:proofErr w:type="gramEnd"/>
      <w:r>
        <w:t>責、公共利益與人民定位上呈現系統性對照，是</w:t>
      </w:r>
      <w:proofErr w:type="gramStart"/>
      <w:r>
        <w:t>國考</w:t>
      </w:r>
      <w:proofErr w:type="gramEnd"/>
      <w:r>
        <w:t>申論最常直接命題之比較架構。</w:t>
      </w:r>
    </w:p>
    <w:p w:rsidR="00574D39" w:rsidRDefault="007B3343">
      <w:pPr>
        <w:spacing w:before="260" w:after="140"/>
      </w:pPr>
      <w:r>
        <w:rPr>
          <w:b/>
          <w:bCs/>
          <w:color w:val="2E5C8A"/>
          <w:sz w:val="23"/>
          <w:szCs w:val="23"/>
        </w:rPr>
        <w:t>二、理論發展</w:t>
      </w:r>
    </w:p>
    <w:p w:rsidR="00574D39" w:rsidRDefault="007B3343">
      <w:pPr>
        <w:pStyle w:val="a4"/>
        <w:numPr>
          <w:ilvl w:val="0"/>
          <w:numId w:val="2"/>
        </w:numPr>
        <w:spacing w:after="120" w:line="340" w:lineRule="auto"/>
      </w:pPr>
      <w:r>
        <w:t>新左派系譜：</w:t>
      </w:r>
      <w:r>
        <w:t>1968</w:t>
      </w:r>
      <w:r>
        <w:t>年新公共行政運動（第一次明諾布魯克會議）</w:t>
      </w:r>
      <w:r>
        <w:t>→1983</w:t>
      </w:r>
      <w:r>
        <w:t>年黑堡宣言</w:t>
      </w:r>
      <w:r>
        <w:t>→1988</w:t>
      </w:r>
      <w:r>
        <w:t>年第二</w:t>
      </w:r>
      <w:proofErr w:type="gramStart"/>
      <w:r>
        <w:t>次明諾</w:t>
      </w:r>
      <w:proofErr w:type="gramEnd"/>
      <w:r>
        <w:t>布魯克會議（聚焦代表性官僚）</w:t>
      </w:r>
      <w:r>
        <w:t>→2008</w:t>
      </w:r>
      <w:r>
        <w:t>年第三</w:t>
      </w:r>
      <w:proofErr w:type="gramStart"/>
      <w:r>
        <w:t>次明</w:t>
      </w:r>
      <w:proofErr w:type="gramEnd"/>
      <w:r>
        <w:t>諾布魯克會議（回應全球化與治理網絡）</w:t>
      </w:r>
      <w:r>
        <w:t>→</w:t>
      </w:r>
      <w:r>
        <w:t>匯流至</w:t>
      </w:r>
      <w:r>
        <w:t>2000</w:t>
      </w:r>
      <w:r>
        <w:t>年</w:t>
      </w:r>
      <w:r>
        <w:t>Denhardt</w:t>
      </w:r>
      <w:r>
        <w:t>夫婦之新公共服務。</w:t>
      </w:r>
    </w:p>
    <w:p w:rsidR="00574D39" w:rsidRDefault="007B3343">
      <w:pPr>
        <w:pStyle w:val="a4"/>
        <w:numPr>
          <w:ilvl w:val="0"/>
          <w:numId w:val="2"/>
        </w:numPr>
        <w:spacing w:after="120" w:line="340" w:lineRule="auto"/>
      </w:pPr>
      <w:r>
        <w:t>新右派系譜：思想淵源有二</w:t>
      </w:r>
      <w:proofErr w:type="gramStart"/>
      <w:r>
        <w:t>—</w:t>
      </w:r>
      <w:proofErr w:type="gramEnd"/>
      <w:r>
        <w:t>—</w:t>
      </w:r>
      <w:r>
        <w:t>政治思潮（保守主義、新自由主義</w:t>
      </w:r>
      <w:r>
        <w:t>）與經濟思潮（新古典經濟學、公共選擇論、新制度經濟學），匯流後強調市場機制與「師法企業」之治理方式，</w:t>
      </w:r>
      <w:proofErr w:type="gramStart"/>
      <w:r>
        <w:t>198</w:t>
      </w:r>
      <w:proofErr w:type="gramEnd"/>
      <w:r>
        <w:t>0</w:t>
      </w:r>
      <w:r>
        <w:t>年代形成新公共管理。</w:t>
      </w:r>
    </w:p>
    <w:p w:rsidR="00574D39" w:rsidRDefault="007B3343">
      <w:pPr>
        <w:pStyle w:val="a4"/>
        <w:numPr>
          <w:ilvl w:val="0"/>
          <w:numId w:val="2"/>
        </w:numPr>
        <w:spacing w:after="120" w:line="340" w:lineRule="auto"/>
      </w:pPr>
      <w:r>
        <w:lastRenderedPageBreak/>
        <w:t>五種研究途徑（傳統行政</w:t>
      </w:r>
      <w:r>
        <w:t>OPA</w:t>
      </w:r>
      <w:r>
        <w:t>、新公共管理</w:t>
      </w:r>
      <w:r>
        <w:t>NPM</w:t>
      </w:r>
      <w:r>
        <w:t>、新公共服務</w:t>
      </w:r>
      <w:r>
        <w:t>NPS</w:t>
      </w:r>
      <w:r>
        <w:t>、政治途徑、法律途徑）可進一步收斂於</w:t>
      </w:r>
      <w:r>
        <w:t>Rosenbloom</w:t>
      </w:r>
      <w:r>
        <w:t>三元論（管理、政治、法律），構成公共行政理論之整體圖像；當代治理典範另循</w:t>
      </w:r>
      <w:r>
        <w:t>NPM→PVM</w:t>
      </w:r>
      <w:r>
        <w:t>（公共價值管理）</w:t>
      </w:r>
      <w:r>
        <w:t>→NG</w:t>
      </w:r>
      <w:r>
        <w:t>（新治理）之路徑演進。</w:t>
      </w:r>
    </w:p>
    <w:p w:rsidR="00574D39" w:rsidRDefault="007B3343">
      <w:pPr>
        <w:spacing w:before="260" w:after="140"/>
      </w:pPr>
      <w:r>
        <w:rPr>
          <w:b/>
          <w:bCs/>
          <w:color w:val="2E5C8A"/>
          <w:sz w:val="23"/>
          <w:szCs w:val="23"/>
        </w:rPr>
        <w:t>三、主要學者</w:t>
      </w:r>
    </w:p>
    <w:p w:rsidR="00574D39" w:rsidRDefault="007B3343">
      <w:pPr>
        <w:pStyle w:val="a4"/>
        <w:numPr>
          <w:ilvl w:val="0"/>
          <w:numId w:val="2"/>
        </w:numPr>
        <w:spacing w:after="120" w:line="340" w:lineRule="auto"/>
      </w:pPr>
      <w:proofErr w:type="spellStart"/>
      <w:r>
        <w:t>Wamsley</w:t>
      </w:r>
      <w:proofErr w:type="spellEnd"/>
      <w:r>
        <w:t>等維吉尼亞理工學者（</w:t>
      </w:r>
      <w:r>
        <w:t>1983</w:t>
      </w:r>
      <w:r>
        <w:t>）</w:t>
      </w:r>
      <w:proofErr w:type="gramStart"/>
      <w:r>
        <w:t>—</w:t>
      </w:r>
      <w:proofErr w:type="gramEnd"/>
      <w:r>
        <w:t>—</w:t>
      </w:r>
      <w:r>
        <w:t>發表黑堡宣言，主張行政人員應成為「治理夥伴」而非單純政策執行工具。</w:t>
      </w:r>
    </w:p>
    <w:p w:rsidR="00574D39" w:rsidRDefault="007B3343">
      <w:pPr>
        <w:pStyle w:val="a4"/>
        <w:numPr>
          <w:ilvl w:val="0"/>
          <w:numId w:val="2"/>
        </w:numPr>
        <w:spacing w:after="120" w:line="340" w:lineRule="auto"/>
      </w:pPr>
      <w:r>
        <w:t>James Buchanan</w:t>
      </w:r>
      <w:r>
        <w:t>、</w:t>
      </w:r>
      <w:r>
        <w:t xml:space="preserve">William </w:t>
      </w:r>
      <w:proofErr w:type="spellStart"/>
      <w:r>
        <w:t>Niskanen</w:t>
      </w:r>
      <w:proofErr w:type="spellEnd"/>
      <w:proofErr w:type="gramStart"/>
      <w:r>
        <w:t>—</w:t>
      </w:r>
      <w:proofErr w:type="gramEnd"/>
      <w:r>
        <w:t>—</w:t>
      </w:r>
      <w:r>
        <w:t>公共選擇論代表學者，以經濟分析理解官僚與政治行為，是新右派經濟思潮之核心來源。</w:t>
      </w:r>
    </w:p>
    <w:p w:rsidR="00574D39" w:rsidRDefault="007B3343">
      <w:pPr>
        <w:pStyle w:val="a4"/>
        <w:numPr>
          <w:ilvl w:val="0"/>
          <w:numId w:val="2"/>
        </w:numPr>
        <w:spacing w:after="120" w:line="340" w:lineRule="auto"/>
      </w:pPr>
      <w:r>
        <w:t>Denhardt</w:t>
      </w:r>
      <w:r>
        <w:t>夫婦</w:t>
      </w:r>
      <w:proofErr w:type="gramStart"/>
      <w:r>
        <w:t>—</w:t>
      </w:r>
      <w:proofErr w:type="gramEnd"/>
      <w:r>
        <w:t>—</w:t>
      </w:r>
      <w:r>
        <w:t>新左派系譜最終匯流至新公共服務。</w:t>
      </w:r>
    </w:p>
    <w:p w:rsidR="00574D39" w:rsidRDefault="007B3343">
      <w:pPr>
        <w:spacing w:before="260" w:after="140"/>
      </w:pPr>
      <w:r>
        <w:rPr>
          <w:b/>
          <w:bCs/>
          <w:color w:val="2E5C8A"/>
          <w:sz w:val="23"/>
          <w:szCs w:val="23"/>
        </w:rPr>
        <w:t>四、核心命題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613"/>
        <w:gridCol w:w="3613"/>
      </w:tblGrid>
      <w:tr w:rsidR="00574D39">
        <w:tblPrEx>
          <w:tblCellMar>
            <w:top w:w="0" w:type="dxa"/>
            <w:bottom w:w="0" w:type="dxa"/>
          </w:tblCellMar>
        </w:tblPrEx>
        <w:trPr>
          <w:tblHeader/>
        </w:trPr>
        <w:tc>
          <w:tcPr>
            <w:tcW w:w="18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面向</w:t>
            </w:r>
          </w:p>
        </w:tc>
        <w:tc>
          <w:tcPr>
            <w:tcW w:w="3613"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新左派（新公共行政</w:t>
            </w:r>
            <w:r>
              <w:rPr>
                <w:b/>
                <w:bCs/>
                <w:color w:val="FFFFFF"/>
                <w:sz w:val="19"/>
                <w:szCs w:val="19"/>
              </w:rPr>
              <w:t>NPA</w:t>
            </w:r>
            <w:r>
              <w:rPr>
                <w:b/>
                <w:bCs/>
                <w:color w:val="FFFFFF"/>
                <w:sz w:val="19"/>
                <w:szCs w:val="19"/>
              </w:rPr>
              <w:t>）</w:t>
            </w:r>
          </w:p>
        </w:tc>
        <w:tc>
          <w:tcPr>
            <w:tcW w:w="3613"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新右派（新公共管理</w:t>
            </w:r>
            <w:r>
              <w:rPr>
                <w:b/>
                <w:bCs/>
                <w:color w:val="FFFFFF"/>
                <w:sz w:val="19"/>
                <w:szCs w:val="19"/>
              </w:rPr>
              <w:t>NPM</w:t>
            </w:r>
            <w:r>
              <w:rPr>
                <w:b/>
                <w:bCs/>
                <w:color w:val="FFFFFF"/>
                <w:sz w:val="19"/>
                <w:szCs w:val="19"/>
              </w:rPr>
              <w:t>）</w:t>
            </w:r>
          </w:p>
        </w:tc>
      </w:tr>
      <w:tr w:rsidR="00574D39">
        <w:tblPrEx>
          <w:tblCellMar>
            <w:top w:w="0" w:type="dxa"/>
            <w:bottom w:w="0" w:type="dxa"/>
          </w:tblCellMar>
        </w:tblPrEx>
        <w:tc>
          <w:tcPr>
            <w:tcW w:w="18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核心價值</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集體價值、社群機制</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個人價值、市場機制</w:t>
            </w:r>
          </w:p>
        </w:tc>
      </w:tr>
      <w:tr w:rsidR="00574D39">
        <w:tblPrEx>
          <w:tblCellMar>
            <w:top w:w="0" w:type="dxa"/>
            <w:bottom w:w="0" w:type="dxa"/>
          </w:tblCellMar>
        </w:tblPrEx>
        <w:tc>
          <w:tcPr>
            <w:tcW w:w="1800" w:type="dxa"/>
            <w:shd w:val="clear" w:color="auto" w:fill="F2F6FA"/>
            <w:tcMar>
              <w:top w:w="80" w:type="dxa"/>
              <w:left w:w="100" w:type="dxa"/>
              <w:bottom w:w="80" w:type="dxa"/>
              <w:right w:w="100" w:type="dxa"/>
            </w:tcMar>
            <w:vAlign w:val="center"/>
          </w:tcPr>
          <w:p w:rsidR="00574D39" w:rsidRDefault="007B3343">
            <w:pPr>
              <w:spacing w:after="40"/>
            </w:pPr>
            <w:proofErr w:type="gramStart"/>
            <w:r>
              <w:rPr>
                <w:sz w:val="18"/>
                <w:szCs w:val="18"/>
              </w:rPr>
              <w:t>課責重點</w:t>
            </w:r>
            <w:proofErr w:type="gramEnd"/>
          </w:p>
        </w:tc>
        <w:tc>
          <w:tcPr>
            <w:tcW w:w="3613" w:type="dxa"/>
            <w:shd w:val="clear" w:color="auto" w:fill="F2F6FA"/>
            <w:tcMar>
              <w:top w:w="80" w:type="dxa"/>
              <w:left w:w="100" w:type="dxa"/>
              <w:bottom w:w="80" w:type="dxa"/>
              <w:right w:w="100" w:type="dxa"/>
            </w:tcMar>
            <w:vAlign w:val="center"/>
          </w:tcPr>
          <w:p w:rsidR="00574D39" w:rsidRDefault="007B3343">
            <w:pPr>
              <w:spacing w:after="40"/>
            </w:pPr>
            <w:r>
              <w:rPr>
                <w:sz w:val="18"/>
                <w:szCs w:val="18"/>
              </w:rPr>
              <w:t>行政倫理與責任</w:t>
            </w:r>
          </w:p>
        </w:tc>
        <w:tc>
          <w:tcPr>
            <w:tcW w:w="3613" w:type="dxa"/>
            <w:shd w:val="clear" w:color="auto" w:fill="F2F6FA"/>
            <w:tcMar>
              <w:top w:w="80" w:type="dxa"/>
              <w:left w:w="100" w:type="dxa"/>
              <w:bottom w:w="80" w:type="dxa"/>
              <w:right w:w="100" w:type="dxa"/>
            </w:tcMar>
            <w:vAlign w:val="center"/>
          </w:tcPr>
          <w:p w:rsidR="00574D39" w:rsidRDefault="007B3343">
            <w:pPr>
              <w:spacing w:after="40"/>
            </w:pPr>
            <w:r>
              <w:rPr>
                <w:sz w:val="18"/>
                <w:szCs w:val="18"/>
              </w:rPr>
              <w:t>行政績效</w:t>
            </w:r>
          </w:p>
        </w:tc>
      </w:tr>
      <w:tr w:rsidR="00574D39">
        <w:tblPrEx>
          <w:tblCellMar>
            <w:top w:w="0" w:type="dxa"/>
            <w:bottom w:w="0" w:type="dxa"/>
          </w:tblCellMar>
        </w:tblPrEx>
        <w:tc>
          <w:tcPr>
            <w:tcW w:w="18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公共利益</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公平正義</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消費者利益</w:t>
            </w:r>
          </w:p>
        </w:tc>
      </w:tr>
      <w:tr w:rsidR="00574D39">
        <w:tblPrEx>
          <w:tblCellMar>
            <w:top w:w="0" w:type="dxa"/>
            <w:bottom w:w="0" w:type="dxa"/>
          </w:tblCellMar>
        </w:tblPrEx>
        <w:tc>
          <w:tcPr>
            <w:tcW w:w="1800" w:type="dxa"/>
            <w:shd w:val="clear" w:color="auto" w:fill="F2F6FA"/>
            <w:tcMar>
              <w:top w:w="80" w:type="dxa"/>
              <w:left w:w="100" w:type="dxa"/>
              <w:bottom w:w="80" w:type="dxa"/>
              <w:right w:w="100" w:type="dxa"/>
            </w:tcMar>
            <w:vAlign w:val="center"/>
          </w:tcPr>
          <w:p w:rsidR="00574D39" w:rsidRDefault="007B3343">
            <w:pPr>
              <w:spacing w:after="40"/>
            </w:pPr>
            <w:r>
              <w:rPr>
                <w:sz w:val="18"/>
                <w:szCs w:val="18"/>
              </w:rPr>
              <w:t>人民定位</w:t>
            </w:r>
          </w:p>
        </w:tc>
        <w:tc>
          <w:tcPr>
            <w:tcW w:w="3613" w:type="dxa"/>
            <w:shd w:val="clear" w:color="auto" w:fill="F2F6FA"/>
            <w:tcMar>
              <w:top w:w="80" w:type="dxa"/>
              <w:left w:w="100" w:type="dxa"/>
              <w:bottom w:w="80" w:type="dxa"/>
              <w:right w:w="100" w:type="dxa"/>
            </w:tcMar>
            <w:vAlign w:val="center"/>
          </w:tcPr>
          <w:p w:rsidR="00574D39" w:rsidRDefault="007B3343">
            <w:pPr>
              <w:spacing w:after="40"/>
            </w:pPr>
            <w:r>
              <w:rPr>
                <w:sz w:val="18"/>
                <w:szCs w:val="18"/>
              </w:rPr>
              <w:t>公民，有參與權責</w:t>
            </w:r>
          </w:p>
        </w:tc>
        <w:tc>
          <w:tcPr>
            <w:tcW w:w="3613" w:type="dxa"/>
            <w:shd w:val="clear" w:color="auto" w:fill="F2F6FA"/>
            <w:tcMar>
              <w:top w:w="80" w:type="dxa"/>
              <w:left w:w="100" w:type="dxa"/>
              <w:bottom w:w="80" w:type="dxa"/>
              <w:right w:w="100" w:type="dxa"/>
            </w:tcMar>
            <w:vAlign w:val="center"/>
          </w:tcPr>
          <w:p w:rsidR="00574D39" w:rsidRDefault="007B3343">
            <w:pPr>
              <w:spacing w:after="40"/>
            </w:pPr>
            <w:r>
              <w:rPr>
                <w:sz w:val="18"/>
                <w:szCs w:val="18"/>
              </w:rPr>
              <w:t>消費者，使用者付費並要求品質</w:t>
            </w:r>
          </w:p>
        </w:tc>
      </w:tr>
      <w:tr w:rsidR="00574D39">
        <w:tblPrEx>
          <w:tblCellMar>
            <w:top w:w="0" w:type="dxa"/>
            <w:bottom w:w="0" w:type="dxa"/>
          </w:tblCellMar>
        </w:tblPrEx>
        <w:tc>
          <w:tcPr>
            <w:tcW w:w="18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政府定位</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主權受託者，負有提供公共財之義務</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生產者，提升績效以滿足顧客</w:t>
            </w:r>
          </w:p>
        </w:tc>
      </w:tr>
    </w:tbl>
    <w:p w:rsidR="00574D39" w:rsidRDefault="007B3343">
      <w:pPr>
        <w:spacing w:before="120" w:after="280"/>
        <w:jc w:val="center"/>
      </w:pPr>
      <w:r>
        <w:rPr>
          <w:i/>
          <w:iCs/>
          <w:color w:val="555555"/>
          <w:sz w:val="18"/>
          <w:szCs w:val="18"/>
        </w:rPr>
        <w:t>表</w:t>
      </w:r>
      <w:r>
        <w:rPr>
          <w:i/>
          <w:iCs/>
          <w:color w:val="555555"/>
          <w:sz w:val="18"/>
          <w:szCs w:val="18"/>
        </w:rPr>
        <w:t>3-C</w:t>
      </w:r>
      <w:r>
        <w:rPr>
          <w:i/>
          <w:iCs/>
          <w:color w:val="555555"/>
          <w:sz w:val="18"/>
          <w:szCs w:val="18"/>
        </w:rPr>
        <w:t xml:space="preserve">　新左派（</w:t>
      </w:r>
      <w:r>
        <w:rPr>
          <w:i/>
          <w:iCs/>
          <w:color w:val="555555"/>
          <w:sz w:val="18"/>
          <w:szCs w:val="18"/>
        </w:rPr>
        <w:t>NPA</w:t>
      </w:r>
      <w:r>
        <w:rPr>
          <w:i/>
          <w:iCs/>
          <w:color w:val="555555"/>
          <w:sz w:val="18"/>
          <w:szCs w:val="18"/>
        </w:rPr>
        <w:t>）與新右派（</w:t>
      </w:r>
      <w:r>
        <w:rPr>
          <w:i/>
          <w:iCs/>
          <w:color w:val="555555"/>
          <w:sz w:val="18"/>
          <w:szCs w:val="18"/>
        </w:rPr>
        <w:t>NPM</w:t>
      </w:r>
      <w:r>
        <w:rPr>
          <w:i/>
          <w:iCs/>
          <w:color w:val="555555"/>
          <w:sz w:val="18"/>
          <w:szCs w:val="18"/>
        </w:rPr>
        <w:t>）對照</w:t>
      </w:r>
    </w:p>
    <w:p w:rsidR="00574D39" w:rsidRDefault="007B3343">
      <w:pPr>
        <w:spacing w:before="260" w:after="140"/>
      </w:pPr>
      <w:r>
        <w:rPr>
          <w:b/>
          <w:bCs/>
          <w:color w:val="2E5C8A"/>
          <w:sz w:val="23"/>
          <w:szCs w:val="23"/>
        </w:rPr>
        <w:t>五、優點與限制</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613"/>
        <w:gridCol w:w="3613"/>
      </w:tblGrid>
      <w:tr w:rsidR="00574D39">
        <w:tblPrEx>
          <w:tblCellMar>
            <w:top w:w="0" w:type="dxa"/>
            <w:bottom w:w="0" w:type="dxa"/>
          </w:tblCellMar>
        </w:tblPrEx>
        <w:trPr>
          <w:tblHeader/>
        </w:trPr>
        <w:tc>
          <w:tcPr>
            <w:tcW w:w="18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途徑</w:t>
            </w:r>
          </w:p>
        </w:tc>
        <w:tc>
          <w:tcPr>
            <w:tcW w:w="3613"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貢獻</w:t>
            </w:r>
          </w:p>
        </w:tc>
        <w:tc>
          <w:tcPr>
            <w:tcW w:w="3613"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限制</w:t>
            </w:r>
          </w:p>
        </w:tc>
      </w:tr>
      <w:tr w:rsidR="00574D39">
        <w:tblPrEx>
          <w:tblCellMar>
            <w:top w:w="0" w:type="dxa"/>
            <w:bottom w:w="0" w:type="dxa"/>
          </w:tblCellMar>
        </w:tblPrEx>
        <w:tc>
          <w:tcPr>
            <w:tcW w:w="18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新公共行政（</w:t>
            </w:r>
            <w:r>
              <w:rPr>
                <w:sz w:val="18"/>
                <w:szCs w:val="18"/>
              </w:rPr>
              <w:t>NPA</w:t>
            </w:r>
            <w:r>
              <w:rPr>
                <w:sz w:val="18"/>
                <w:szCs w:val="18"/>
              </w:rPr>
              <w:t>）</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重新引入公平正義價值，補上政治行政二分忽略之社會關懷</w:t>
            </w:r>
          </w:p>
        </w:tc>
        <w:tc>
          <w:tcPr>
            <w:tcW w:w="3613" w:type="dxa"/>
            <w:shd w:val="clear" w:color="auto" w:fill="FFFFFF"/>
            <w:tcMar>
              <w:top w:w="80" w:type="dxa"/>
              <w:left w:w="100" w:type="dxa"/>
              <w:bottom w:w="80" w:type="dxa"/>
              <w:right w:w="100" w:type="dxa"/>
            </w:tcMar>
            <w:vAlign w:val="center"/>
          </w:tcPr>
          <w:p w:rsidR="00574D39" w:rsidRDefault="007B3343">
            <w:pPr>
              <w:spacing w:after="40"/>
            </w:pPr>
            <w:r>
              <w:rPr>
                <w:sz w:val="18"/>
                <w:szCs w:val="18"/>
              </w:rPr>
              <w:t>「社會公平」定義較抽象，實務操作性與績效衡量</w:t>
            </w:r>
            <w:proofErr w:type="gramStart"/>
            <w:r>
              <w:rPr>
                <w:sz w:val="18"/>
                <w:szCs w:val="18"/>
              </w:rPr>
              <w:t>不</w:t>
            </w:r>
            <w:proofErr w:type="gramEnd"/>
            <w:r>
              <w:rPr>
                <w:sz w:val="18"/>
                <w:szCs w:val="18"/>
              </w:rPr>
              <w:t>若</w:t>
            </w:r>
            <w:r>
              <w:rPr>
                <w:sz w:val="18"/>
                <w:szCs w:val="18"/>
              </w:rPr>
              <w:t>NPM</w:t>
            </w:r>
            <w:r>
              <w:rPr>
                <w:sz w:val="18"/>
                <w:szCs w:val="18"/>
              </w:rPr>
              <w:t>明確</w:t>
            </w:r>
          </w:p>
        </w:tc>
      </w:tr>
      <w:tr w:rsidR="00574D39">
        <w:tblPrEx>
          <w:tblCellMar>
            <w:top w:w="0" w:type="dxa"/>
            <w:bottom w:w="0" w:type="dxa"/>
          </w:tblCellMar>
        </w:tblPrEx>
        <w:tc>
          <w:tcPr>
            <w:tcW w:w="1800" w:type="dxa"/>
            <w:shd w:val="clear" w:color="auto" w:fill="F2F6FA"/>
            <w:tcMar>
              <w:top w:w="80" w:type="dxa"/>
              <w:left w:w="100" w:type="dxa"/>
              <w:bottom w:w="80" w:type="dxa"/>
              <w:right w:w="100" w:type="dxa"/>
            </w:tcMar>
            <w:vAlign w:val="center"/>
          </w:tcPr>
          <w:p w:rsidR="00574D39" w:rsidRDefault="007B3343">
            <w:pPr>
              <w:spacing w:after="40"/>
            </w:pPr>
            <w:r>
              <w:rPr>
                <w:sz w:val="18"/>
                <w:szCs w:val="18"/>
              </w:rPr>
              <w:t>新公共管理（</w:t>
            </w:r>
            <w:r>
              <w:rPr>
                <w:sz w:val="18"/>
                <w:szCs w:val="18"/>
              </w:rPr>
              <w:t>NPM</w:t>
            </w:r>
            <w:r>
              <w:rPr>
                <w:sz w:val="18"/>
                <w:szCs w:val="18"/>
              </w:rPr>
              <w:t>）</w:t>
            </w:r>
          </w:p>
        </w:tc>
        <w:tc>
          <w:tcPr>
            <w:tcW w:w="3613" w:type="dxa"/>
            <w:shd w:val="clear" w:color="auto" w:fill="F2F6FA"/>
            <w:tcMar>
              <w:top w:w="80" w:type="dxa"/>
              <w:left w:w="100" w:type="dxa"/>
              <w:bottom w:w="80" w:type="dxa"/>
              <w:right w:w="100" w:type="dxa"/>
            </w:tcMar>
            <w:vAlign w:val="center"/>
          </w:tcPr>
          <w:p w:rsidR="00574D39" w:rsidRDefault="007B3343">
            <w:pPr>
              <w:spacing w:after="40"/>
            </w:pPr>
            <w:r>
              <w:rPr>
                <w:sz w:val="18"/>
                <w:szCs w:val="18"/>
              </w:rPr>
              <w:t>引入市場機制與績效契約，提升政府效率</w:t>
            </w:r>
            <w:proofErr w:type="gramStart"/>
            <w:r>
              <w:rPr>
                <w:sz w:val="18"/>
                <w:szCs w:val="18"/>
              </w:rPr>
              <w:t>與課責</w:t>
            </w:r>
            <w:proofErr w:type="gramEnd"/>
            <w:r>
              <w:rPr>
                <w:sz w:val="18"/>
                <w:szCs w:val="18"/>
              </w:rPr>
              <w:t>意識</w:t>
            </w:r>
          </w:p>
        </w:tc>
        <w:tc>
          <w:tcPr>
            <w:tcW w:w="3613" w:type="dxa"/>
            <w:shd w:val="clear" w:color="auto" w:fill="F2F6FA"/>
            <w:tcMar>
              <w:top w:w="80" w:type="dxa"/>
              <w:left w:w="100" w:type="dxa"/>
              <w:bottom w:w="80" w:type="dxa"/>
              <w:right w:w="100" w:type="dxa"/>
            </w:tcMar>
            <w:vAlign w:val="center"/>
          </w:tcPr>
          <w:p w:rsidR="00574D39" w:rsidRDefault="007B3343">
            <w:pPr>
              <w:spacing w:after="40"/>
            </w:pPr>
            <w:r>
              <w:rPr>
                <w:sz w:val="18"/>
                <w:szCs w:val="18"/>
              </w:rPr>
              <w:t>過度</w:t>
            </w:r>
            <w:proofErr w:type="gramStart"/>
            <w:r>
              <w:rPr>
                <w:sz w:val="18"/>
                <w:szCs w:val="18"/>
              </w:rPr>
              <w:t>市場化易導致</w:t>
            </w:r>
            <w:proofErr w:type="gramEnd"/>
            <w:r>
              <w:rPr>
                <w:sz w:val="18"/>
                <w:szCs w:val="18"/>
              </w:rPr>
              <w:t>公共服務碎片化，忽略集體價值與公平正義</w:t>
            </w:r>
          </w:p>
        </w:tc>
      </w:tr>
    </w:tbl>
    <w:p w:rsidR="00574D39" w:rsidRDefault="007B3343">
      <w:pPr>
        <w:spacing w:before="120" w:after="280"/>
        <w:jc w:val="center"/>
      </w:pPr>
      <w:r>
        <w:rPr>
          <w:i/>
          <w:iCs/>
          <w:color w:val="555555"/>
          <w:sz w:val="18"/>
          <w:szCs w:val="18"/>
        </w:rPr>
        <w:t>表</w:t>
      </w:r>
      <w:r>
        <w:rPr>
          <w:i/>
          <w:iCs/>
          <w:color w:val="555555"/>
          <w:sz w:val="18"/>
          <w:szCs w:val="18"/>
        </w:rPr>
        <w:t>3-D</w:t>
      </w:r>
      <w:r>
        <w:rPr>
          <w:i/>
          <w:iCs/>
          <w:color w:val="555555"/>
          <w:sz w:val="18"/>
          <w:szCs w:val="18"/>
        </w:rPr>
        <w:t xml:space="preserve">　新公共行政與新公共管理之貢獻與限制</w:t>
      </w:r>
    </w:p>
    <w:p w:rsidR="00574D39" w:rsidRDefault="007B3343">
      <w:pPr>
        <w:spacing w:before="260" w:after="140"/>
      </w:pPr>
      <w:r>
        <w:rPr>
          <w:b/>
          <w:bCs/>
          <w:color w:val="2E5C8A"/>
          <w:sz w:val="23"/>
          <w:szCs w:val="23"/>
        </w:rPr>
        <w:lastRenderedPageBreak/>
        <w:t>六、當代發展</w:t>
      </w:r>
    </w:p>
    <w:p w:rsidR="00574D39" w:rsidRDefault="007B3343">
      <w:pPr>
        <w:pStyle w:val="a4"/>
        <w:numPr>
          <w:ilvl w:val="0"/>
          <w:numId w:val="2"/>
        </w:numPr>
        <w:spacing w:after="120" w:line="340" w:lineRule="auto"/>
      </w:pPr>
      <w:r>
        <w:t>NPM→PVM→NG</w:t>
      </w:r>
      <w:r>
        <w:t>之演進顯示：治理焦點由「結果」（</w:t>
      </w:r>
      <w:r>
        <w:t>NPM</w:t>
      </w:r>
      <w:r>
        <w:t>）轉向「關係」（</w:t>
      </w:r>
      <w:r>
        <w:t>PVM</w:t>
      </w:r>
      <w:r>
        <w:t>）再轉向「流程、政策與後果」（</w:t>
      </w:r>
      <w:r>
        <w:t>NG</w:t>
      </w:r>
      <w:r>
        <w:t>）；</w:t>
      </w:r>
      <w:proofErr w:type="gramStart"/>
      <w:r>
        <w:t>課責機制</w:t>
      </w:r>
      <w:proofErr w:type="gramEnd"/>
      <w:r>
        <w:t>則由「向上績效、市場</w:t>
      </w:r>
      <w:proofErr w:type="gramStart"/>
      <w:r>
        <w:t>外部課</w:t>
      </w:r>
      <w:proofErr w:type="gramEnd"/>
      <w:r>
        <w:t>責」逐步演變為「</w:t>
      </w:r>
      <w:proofErr w:type="gramStart"/>
      <w:r>
        <w:t>多重課</w:t>
      </w:r>
      <w:proofErr w:type="gramEnd"/>
      <w:r>
        <w:t>責」乃至「責任稀釋與透明弱化」之新治理階段</w:t>
      </w:r>
      <w:proofErr w:type="gramStart"/>
      <w:r>
        <w:t>課責困境</w:t>
      </w:r>
      <w:r>
        <w:t>—</w:t>
      </w:r>
      <w:proofErr w:type="gramEnd"/>
      <w:r>
        <w:t>—</w:t>
      </w:r>
      <w:proofErr w:type="gramStart"/>
      <w:r>
        <w:t>此一課責困</w:t>
      </w:r>
      <w:proofErr w:type="gramEnd"/>
      <w:r>
        <w:t>境在</w:t>
      </w:r>
      <w:r>
        <w:t>AI</w:t>
      </w:r>
      <w:r>
        <w:t>輔助治理時代更形尖銳。</w:t>
      </w:r>
    </w:p>
    <w:p w:rsidR="00574D39" w:rsidRDefault="007B3343">
      <w:pPr>
        <w:spacing w:before="260" w:after="140"/>
      </w:pPr>
      <w:r>
        <w:rPr>
          <w:b/>
          <w:bCs/>
          <w:color w:val="2E5C8A"/>
          <w:sz w:val="23"/>
          <w:szCs w:val="23"/>
        </w:rPr>
        <w:t>七、臺灣行政實務</w:t>
      </w:r>
    </w:p>
    <w:p w:rsidR="00574D39" w:rsidRDefault="007B3343">
      <w:pPr>
        <w:pStyle w:val="a4"/>
        <w:numPr>
          <w:ilvl w:val="0"/>
          <w:numId w:val="2"/>
        </w:numPr>
        <w:spacing w:after="120" w:line="340" w:lineRule="auto"/>
      </w:pPr>
      <w:r>
        <w:t>我國政府改造歷程可見新左派與新右派系譜之交替影響：</w:t>
      </w:r>
      <w:proofErr w:type="gramStart"/>
      <w:r>
        <w:t>1990</w:t>
      </w:r>
      <w:proofErr w:type="gramEnd"/>
      <w:r>
        <w:t>年代末之政府再造運動偏重新公共管理式績效指標與委外精簡，</w:t>
      </w:r>
      <w:proofErr w:type="gramStart"/>
      <w:r>
        <w:t>200</w:t>
      </w:r>
      <w:proofErr w:type="gramEnd"/>
      <w:r>
        <w:t>0</w:t>
      </w:r>
      <w:r>
        <w:t>年代後之社會住宅、長期照顧等政策則逐漸納入新公共行政與新公共服務之公平參與精神，反映兩條系譜在我國實務</w:t>
      </w:r>
      <w:r>
        <w:t>中並存競合之現實。</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574D39" w:rsidRDefault="007B3343">
            <w:pPr>
              <w:spacing w:after="100"/>
            </w:pPr>
            <w:r>
              <w:rPr>
                <w:b/>
                <w:bCs/>
                <w:color w:val="1F4E79"/>
              </w:rPr>
              <w:t>【國考考點】</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①</w:t>
            </w:r>
            <w:r>
              <w:rPr>
                <w:sz w:val="21"/>
                <w:szCs w:val="21"/>
              </w:rPr>
              <w:t>新左派系譜四個歷史節點：新公共行政運動</w:t>
            </w:r>
            <w:r>
              <w:rPr>
                <w:sz w:val="21"/>
                <w:szCs w:val="21"/>
              </w:rPr>
              <w:t>(1968)→</w:t>
            </w:r>
            <w:r>
              <w:rPr>
                <w:sz w:val="21"/>
                <w:szCs w:val="21"/>
              </w:rPr>
              <w:t>黑堡宣言</w:t>
            </w:r>
            <w:r>
              <w:rPr>
                <w:sz w:val="21"/>
                <w:szCs w:val="21"/>
              </w:rPr>
              <w:t>(1983)→</w:t>
            </w:r>
            <w:r>
              <w:rPr>
                <w:sz w:val="21"/>
                <w:szCs w:val="21"/>
              </w:rPr>
              <w:t>第二</w:t>
            </w:r>
            <w:proofErr w:type="gramStart"/>
            <w:r>
              <w:rPr>
                <w:sz w:val="21"/>
                <w:szCs w:val="21"/>
              </w:rPr>
              <w:t>次明諾</w:t>
            </w:r>
            <w:proofErr w:type="gramEnd"/>
            <w:r>
              <w:rPr>
                <w:sz w:val="21"/>
                <w:szCs w:val="21"/>
              </w:rPr>
              <w:t>布魯克</w:t>
            </w:r>
            <w:r>
              <w:rPr>
                <w:sz w:val="21"/>
                <w:szCs w:val="21"/>
              </w:rPr>
              <w:t>(1988)→</w:t>
            </w:r>
            <w:r>
              <w:rPr>
                <w:sz w:val="21"/>
                <w:szCs w:val="21"/>
              </w:rPr>
              <w:t>第三</w:t>
            </w:r>
            <w:proofErr w:type="gramStart"/>
            <w:r>
              <w:rPr>
                <w:sz w:val="21"/>
                <w:szCs w:val="21"/>
              </w:rPr>
              <w:t>次明</w:t>
            </w:r>
            <w:proofErr w:type="gramEnd"/>
            <w:r>
              <w:rPr>
                <w:sz w:val="21"/>
                <w:szCs w:val="21"/>
              </w:rPr>
              <w:t>諾布魯克</w:t>
            </w:r>
            <w:r>
              <w:rPr>
                <w:sz w:val="21"/>
                <w:szCs w:val="21"/>
              </w:rPr>
              <w:t>(2008)</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②</w:t>
            </w:r>
            <w:r>
              <w:rPr>
                <w:sz w:val="21"/>
                <w:szCs w:val="21"/>
              </w:rPr>
              <w:t>新右派系譜兩大思想淵源（政治思潮：保守主義</w:t>
            </w:r>
            <w:r>
              <w:rPr>
                <w:sz w:val="21"/>
                <w:szCs w:val="21"/>
              </w:rPr>
              <w:t>+</w:t>
            </w:r>
            <w:r>
              <w:rPr>
                <w:sz w:val="21"/>
                <w:szCs w:val="21"/>
              </w:rPr>
              <w:t>新自由主義；經濟思潮：新古典經濟學</w:t>
            </w:r>
            <w:r>
              <w:rPr>
                <w:sz w:val="21"/>
                <w:szCs w:val="21"/>
              </w:rPr>
              <w:t>+</w:t>
            </w:r>
            <w:r>
              <w:rPr>
                <w:sz w:val="21"/>
                <w:szCs w:val="21"/>
              </w:rPr>
              <w:t>公共選擇論</w:t>
            </w:r>
            <w:r>
              <w:rPr>
                <w:sz w:val="21"/>
                <w:szCs w:val="21"/>
              </w:rPr>
              <w:t>+</w:t>
            </w:r>
            <w:r>
              <w:rPr>
                <w:sz w:val="21"/>
                <w:szCs w:val="21"/>
              </w:rPr>
              <w:t>新制度經濟學</w:t>
            </w:r>
            <w:proofErr w:type="gramStart"/>
            <w:r>
              <w:rPr>
                <w:sz w:val="21"/>
                <w:szCs w:val="21"/>
              </w:rPr>
              <w:t>）</w:t>
            </w:r>
            <w:proofErr w:type="gramEnd"/>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③</w:t>
            </w:r>
            <w:r>
              <w:rPr>
                <w:sz w:val="21"/>
                <w:szCs w:val="21"/>
              </w:rPr>
              <w:t>新左派（</w:t>
            </w:r>
            <w:r>
              <w:rPr>
                <w:sz w:val="21"/>
                <w:szCs w:val="21"/>
              </w:rPr>
              <w:t>NPA</w:t>
            </w:r>
            <w:r>
              <w:rPr>
                <w:sz w:val="21"/>
                <w:szCs w:val="21"/>
              </w:rPr>
              <w:t>）與新右派（</w:t>
            </w:r>
            <w:r>
              <w:rPr>
                <w:sz w:val="21"/>
                <w:szCs w:val="21"/>
              </w:rPr>
              <w:t>NPM</w:t>
            </w:r>
            <w:r>
              <w:rPr>
                <w:sz w:val="21"/>
                <w:szCs w:val="21"/>
              </w:rPr>
              <w:t>）對照表：價值／</w:t>
            </w:r>
            <w:proofErr w:type="gramStart"/>
            <w:r>
              <w:rPr>
                <w:sz w:val="21"/>
                <w:szCs w:val="21"/>
              </w:rPr>
              <w:t>課責</w:t>
            </w:r>
            <w:proofErr w:type="gramEnd"/>
            <w:r>
              <w:rPr>
                <w:sz w:val="21"/>
                <w:szCs w:val="21"/>
              </w:rPr>
              <w:t>／公共利益／人民定位／政府定位（表</w:t>
            </w:r>
            <w:r>
              <w:rPr>
                <w:sz w:val="21"/>
                <w:szCs w:val="21"/>
              </w:rPr>
              <w:t>3-C</w:t>
            </w:r>
            <w:r>
              <w:rPr>
                <w:sz w:val="21"/>
                <w:szCs w:val="21"/>
              </w:rPr>
              <w:t>，國考申論最常直接命題）</w:t>
            </w:r>
          </w:p>
          <w:p w:rsidR="00574D39" w:rsidRDefault="007B3343">
            <w:pPr>
              <w:spacing w:line="320" w:lineRule="auto"/>
            </w:pPr>
            <w:proofErr w:type="gramStart"/>
            <w:r>
              <w:rPr>
                <w:sz w:val="21"/>
                <w:szCs w:val="21"/>
              </w:rPr>
              <w:t>•</w:t>
            </w:r>
            <w:proofErr w:type="gramEnd"/>
            <w:r>
              <w:rPr>
                <w:sz w:val="21"/>
                <w:szCs w:val="21"/>
              </w:rPr>
              <w:t xml:space="preserve">　</w:t>
            </w:r>
            <w:r>
              <w:rPr>
                <w:sz w:val="21"/>
                <w:szCs w:val="21"/>
              </w:rPr>
              <w:t>④NPM→PVM→NG</w:t>
            </w:r>
            <w:r>
              <w:rPr>
                <w:sz w:val="21"/>
                <w:szCs w:val="21"/>
              </w:rPr>
              <w:t>之演進：焦點由結果轉向關係再轉向流程政策後果</w:t>
            </w:r>
          </w:p>
        </w:tc>
      </w:tr>
    </w:tbl>
    <w:p w:rsidR="00574D39" w:rsidRDefault="00574D39">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574D39" w:rsidRDefault="007B3343">
            <w:pPr>
              <w:spacing w:after="100"/>
            </w:pPr>
            <w:r>
              <w:rPr>
                <w:b/>
                <w:bCs/>
                <w:color w:val="2E7D32"/>
              </w:rPr>
              <w:t>【一分鐘記憶】</w:t>
            </w:r>
          </w:p>
          <w:p w:rsidR="00574D39" w:rsidRDefault="007B3343">
            <w:pPr>
              <w:spacing w:after="80" w:line="320" w:lineRule="auto"/>
            </w:pPr>
            <w:proofErr w:type="gramStart"/>
            <w:r>
              <w:rPr>
                <w:sz w:val="21"/>
                <w:szCs w:val="21"/>
              </w:rPr>
              <w:t>•</w:t>
            </w:r>
            <w:proofErr w:type="gramEnd"/>
            <w:r>
              <w:rPr>
                <w:sz w:val="21"/>
                <w:szCs w:val="21"/>
              </w:rPr>
              <w:t xml:space="preserve">　新左派新右派口訣：左派重公平愛集體像公民，右派重效率愛市場像顧客</w:t>
            </w:r>
          </w:p>
          <w:p w:rsidR="00574D39" w:rsidRDefault="007B3343">
            <w:pPr>
              <w:spacing w:after="80" w:line="320" w:lineRule="auto"/>
            </w:pPr>
            <w:proofErr w:type="gramStart"/>
            <w:r>
              <w:rPr>
                <w:sz w:val="21"/>
                <w:szCs w:val="21"/>
              </w:rPr>
              <w:t>•</w:t>
            </w:r>
            <w:proofErr w:type="gramEnd"/>
            <w:r>
              <w:rPr>
                <w:sz w:val="21"/>
                <w:szCs w:val="21"/>
              </w:rPr>
              <w:t xml:space="preserve">　黑堡宣言年份記憶：</w:t>
            </w:r>
            <w:r>
              <w:rPr>
                <w:sz w:val="21"/>
                <w:szCs w:val="21"/>
              </w:rPr>
              <w:t>1983</w:t>
            </w:r>
            <w:r>
              <w:rPr>
                <w:sz w:val="21"/>
                <w:szCs w:val="21"/>
              </w:rPr>
              <w:t>年，「治理夥伴」不是「執行工具」</w:t>
            </w:r>
          </w:p>
          <w:p w:rsidR="00574D39" w:rsidRDefault="007B3343">
            <w:pPr>
              <w:spacing w:line="320" w:lineRule="auto"/>
            </w:pPr>
            <w:proofErr w:type="gramStart"/>
            <w:r>
              <w:rPr>
                <w:sz w:val="21"/>
                <w:szCs w:val="21"/>
              </w:rPr>
              <w:t>•</w:t>
            </w:r>
            <w:proofErr w:type="gramEnd"/>
            <w:r>
              <w:rPr>
                <w:sz w:val="21"/>
                <w:szCs w:val="21"/>
              </w:rPr>
              <w:t xml:space="preserve">　</w:t>
            </w:r>
            <w:r>
              <w:rPr>
                <w:sz w:val="21"/>
                <w:szCs w:val="21"/>
              </w:rPr>
              <w:t>NPM→PVM→NG</w:t>
            </w:r>
            <w:r>
              <w:rPr>
                <w:sz w:val="21"/>
                <w:szCs w:val="21"/>
              </w:rPr>
              <w:t>口訣：結果</w:t>
            </w:r>
            <w:r>
              <w:rPr>
                <w:sz w:val="21"/>
                <w:szCs w:val="21"/>
              </w:rPr>
              <w:t xml:space="preserve">(NPM) → </w:t>
            </w:r>
            <w:r>
              <w:rPr>
                <w:sz w:val="21"/>
                <w:szCs w:val="21"/>
              </w:rPr>
              <w:t>關係</w:t>
            </w:r>
            <w:r>
              <w:rPr>
                <w:sz w:val="21"/>
                <w:szCs w:val="21"/>
              </w:rPr>
              <w:t xml:space="preserve">(PVM) → </w:t>
            </w:r>
            <w:r>
              <w:rPr>
                <w:sz w:val="21"/>
                <w:szCs w:val="21"/>
              </w:rPr>
              <w:t>流程政策後果</w:t>
            </w:r>
            <w:r>
              <w:rPr>
                <w:sz w:val="21"/>
                <w:szCs w:val="21"/>
              </w:rPr>
              <w:t>(NG)</w:t>
            </w:r>
            <w:r>
              <w:rPr>
                <w:sz w:val="21"/>
                <w:szCs w:val="21"/>
              </w:rPr>
              <w:t>，愈後面愈複雜、愈</w:t>
            </w:r>
            <w:proofErr w:type="gramStart"/>
            <w:r>
              <w:rPr>
                <w:sz w:val="21"/>
                <w:szCs w:val="21"/>
              </w:rPr>
              <w:t>難課責</w:t>
            </w:r>
            <w:proofErr w:type="gramEnd"/>
          </w:p>
        </w:tc>
      </w:tr>
    </w:tbl>
    <w:p w:rsidR="00574D39" w:rsidRDefault="00574D39">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FDECEA"/>
              <w:left w:val="single" w:sz="24" w:space="0" w:color="C0392B"/>
              <w:bottom w:val="single" w:sz="2" w:space="0" w:color="FDECEA"/>
              <w:right w:val="single" w:sz="2" w:space="0" w:color="FDECEA"/>
            </w:tcBorders>
            <w:shd w:val="clear" w:color="auto" w:fill="FDECEA"/>
            <w:tcMar>
              <w:top w:w="160" w:type="dxa"/>
              <w:left w:w="220" w:type="dxa"/>
              <w:bottom w:w="160" w:type="dxa"/>
              <w:right w:w="220" w:type="dxa"/>
            </w:tcMar>
          </w:tcPr>
          <w:p w:rsidR="00574D39" w:rsidRDefault="007B3343">
            <w:pPr>
              <w:spacing w:after="100"/>
            </w:pPr>
            <w:r>
              <w:rPr>
                <w:b/>
                <w:bCs/>
                <w:color w:val="C0392B"/>
              </w:rPr>
              <w:t>【容易混淆】</w:t>
            </w:r>
          </w:p>
          <w:p w:rsidR="00574D39" w:rsidRDefault="007B3343">
            <w:pPr>
              <w:spacing w:after="80" w:line="320" w:lineRule="auto"/>
            </w:pPr>
            <w:proofErr w:type="gramStart"/>
            <w:r>
              <w:rPr>
                <w:sz w:val="21"/>
                <w:szCs w:val="21"/>
              </w:rPr>
              <w:t>•</w:t>
            </w:r>
            <w:proofErr w:type="gramEnd"/>
            <w:r>
              <w:rPr>
                <w:sz w:val="21"/>
                <w:szCs w:val="21"/>
              </w:rPr>
              <w:t xml:space="preserve">　新公共行政（</w:t>
            </w:r>
            <w:r>
              <w:rPr>
                <w:sz w:val="21"/>
                <w:szCs w:val="21"/>
              </w:rPr>
              <w:t>NPA, 1968</w:t>
            </w:r>
            <w:r>
              <w:rPr>
                <w:sz w:val="21"/>
                <w:szCs w:val="21"/>
              </w:rPr>
              <w:t>新左派）與新公共服務（</w:t>
            </w:r>
            <w:r>
              <w:rPr>
                <w:sz w:val="21"/>
                <w:szCs w:val="21"/>
              </w:rPr>
              <w:t>NPS, 2000</w:t>
            </w:r>
            <w:r>
              <w:rPr>
                <w:sz w:val="21"/>
                <w:szCs w:val="21"/>
              </w:rPr>
              <w:t>年後）雖同屬新左派系譜之一部分，但</w:t>
            </w:r>
            <w:r>
              <w:rPr>
                <w:sz w:val="21"/>
                <w:szCs w:val="21"/>
              </w:rPr>
              <w:t>NPA</w:t>
            </w:r>
            <w:r>
              <w:rPr>
                <w:sz w:val="21"/>
                <w:szCs w:val="21"/>
              </w:rPr>
              <w:t>是系譜的「起點」，</w:t>
            </w:r>
            <w:r>
              <w:rPr>
                <w:sz w:val="21"/>
                <w:szCs w:val="21"/>
              </w:rPr>
              <w:t>NPS</w:t>
            </w:r>
            <w:r>
              <w:rPr>
                <w:sz w:val="21"/>
                <w:szCs w:val="21"/>
              </w:rPr>
              <w:t>是系譜的「匯流終點」，</w:t>
            </w:r>
            <w:proofErr w:type="gramStart"/>
            <w:r>
              <w:rPr>
                <w:sz w:val="21"/>
                <w:szCs w:val="21"/>
              </w:rPr>
              <w:t>兩者相隔超</w:t>
            </w:r>
            <w:proofErr w:type="gramEnd"/>
            <w:r>
              <w:rPr>
                <w:sz w:val="21"/>
                <w:szCs w:val="21"/>
              </w:rPr>
              <w:t>過</w:t>
            </w:r>
            <w:r>
              <w:rPr>
                <w:sz w:val="21"/>
                <w:szCs w:val="21"/>
              </w:rPr>
              <w:t>30</w:t>
            </w:r>
            <w:r>
              <w:rPr>
                <w:sz w:val="21"/>
                <w:szCs w:val="21"/>
              </w:rPr>
              <w:t>年且各有不同的當代脈絡，考生常誤把兩者視為同一時期理論。</w:t>
            </w:r>
          </w:p>
          <w:p w:rsidR="00574D39" w:rsidRDefault="007B3343">
            <w:pPr>
              <w:spacing w:line="320" w:lineRule="auto"/>
            </w:pPr>
            <w:proofErr w:type="gramStart"/>
            <w:r>
              <w:rPr>
                <w:sz w:val="21"/>
                <w:szCs w:val="21"/>
              </w:rPr>
              <w:t>•</w:t>
            </w:r>
            <w:proofErr w:type="gramEnd"/>
            <w:r>
              <w:rPr>
                <w:sz w:val="21"/>
                <w:szCs w:val="21"/>
              </w:rPr>
              <w:t xml:space="preserve">　「新治理（</w:t>
            </w:r>
            <w:r>
              <w:rPr>
                <w:sz w:val="21"/>
                <w:szCs w:val="21"/>
              </w:rPr>
              <w:t>NG</w:t>
            </w:r>
            <w:r>
              <w:rPr>
                <w:sz w:val="21"/>
                <w:szCs w:val="21"/>
              </w:rPr>
              <w:t>）」與「新公共治理（</w:t>
            </w:r>
            <w:r>
              <w:rPr>
                <w:sz w:val="21"/>
                <w:szCs w:val="21"/>
              </w:rPr>
              <w:t>NPG</w:t>
            </w:r>
            <w:r>
              <w:rPr>
                <w:sz w:val="21"/>
                <w:szCs w:val="21"/>
              </w:rPr>
              <w:t>，見第二章）」名稱高度相似，但</w:t>
            </w:r>
            <w:r>
              <w:rPr>
                <w:sz w:val="21"/>
                <w:szCs w:val="21"/>
              </w:rPr>
              <w:t>NG</w:t>
            </w:r>
            <w:r>
              <w:rPr>
                <w:sz w:val="21"/>
                <w:szCs w:val="21"/>
              </w:rPr>
              <w:t>是</w:t>
            </w:r>
            <w:proofErr w:type="gramStart"/>
            <w:r>
              <w:rPr>
                <w:sz w:val="21"/>
                <w:szCs w:val="21"/>
              </w:rPr>
              <w:t>本章</w:t>
            </w:r>
            <w:proofErr w:type="gramEnd"/>
            <w:r>
              <w:rPr>
                <w:sz w:val="21"/>
                <w:szCs w:val="21"/>
              </w:rPr>
              <w:t>表</w:t>
            </w:r>
            <w:r>
              <w:rPr>
                <w:sz w:val="21"/>
                <w:szCs w:val="21"/>
              </w:rPr>
              <w:t>3-7</w:t>
            </w:r>
            <w:r>
              <w:rPr>
                <w:sz w:val="21"/>
                <w:szCs w:val="21"/>
              </w:rPr>
              <w:t>中</w:t>
            </w:r>
            <w:r>
              <w:rPr>
                <w:sz w:val="21"/>
                <w:szCs w:val="21"/>
              </w:rPr>
              <w:t>NPM→PVM→NG</w:t>
            </w:r>
            <w:r>
              <w:rPr>
                <w:sz w:val="21"/>
                <w:szCs w:val="21"/>
              </w:rPr>
              <w:t>演進脈絡下之概念，</w:t>
            </w:r>
            <w:r>
              <w:rPr>
                <w:sz w:val="21"/>
                <w:szCs w:val="21"/>
              </w:rPr>
              <w:t>NPG</w:t>
            </w:r>
            <w:r>
              <w:rPr>
                <w:sz w:val="21"/>
                <w:szCs w:val="21"/>
              </w:rPr>
              <w:t>是</w:t>
            </w:r>
            <w:r>
              <w:rPr>
                <w:sz w:val="21"/>
                <w:szCs w:val="21"/>
              </w:rPr>
              <w:t>Osborne</w:t>
            </w:r>
            <w:r>
              <w:rPr>
                <w:sz w:val="21"/>
                <w:szCs w:val="21"/>
              </w:rPr>
              <w:t>（</w:t>
            </w:r>
            <w:r>
              <w:rPr>
                <w:sz w:val="21"/>
                <w:szCs w:val="21"/>
              </w:rPr>
              <w:t>2006</w:t>
            </w:r>
            <w:r>
              <w:rPr>
                <w:sz w:val="21"/>
                <w:szCs w:val="21"/>
              </w:rPr>
              <w:t>）提出的獨立典範，兩者雖有重疊但學術脈絡與命名系統不同，答題時應留意題目所指涉的具體來源。</w:t>
            </w:r>
          </w:p>
        </w:tc>
      </w:tr>
    </w:tbl>
    <w:p w:rsidR="00574D39" w:rsidRDefault="00574D39">
      <w:pPr>
        <w:spacing w:after="220"/>
      </w:pPr>
    </w:p>
    <w:p w:rsidR="00574D39" w:rsidRDefault="007B3343">
      <w:pPr>
        <w:spacing w:before="360" w:after="180"/>
      </w:pPr>
      <w:r>
        <w:rPr>
          <w:b/>
          <w:bCs/>
          <w:color w:val="1F4E79"/>
          <w:sz w:val="26"/>
          <w:szCs w:val="26"/>
        </w:rPr>
        <w:t>第三節　研究方法論與本書分析層次架構</w:t>
      </w:r>
    </w:p>
    <w:p w:rsidR="00574D39" w:rsidRDefault="007B3343">
      <w:pPr>
        <w:spacing w:before="260" w:after="140"/>
      </w:pPr>
      <w:r>
        <w:rPr>
          <w:b/>
          <w:bCs/>
          <w:color w:val="2E5C8A"/>
          <w:sz w:val="23"/>
          <w:szCs w:val="23"/>
        </w:rPr>
        <w:t>一、核心概念</w:t>
      </w:r>
    </w:p>
    <w:p w:rsidR="00574D39" w:rsidRDefault="007B3343">
      <w:pPr>
        <w:pStyle w:val="a4"/>
        <w:numPr>
          <w:ilvl w:val="0"/>
          <w:numId w:val="2"/>
        </w:numPr>
        <w:spacing w:after="120" w:line="340" w:lineRule="auto"/>
      </w:pPr>
      <w:r>
        <w:t>公共行政研究途徑（方法論觀點）至少包括歷史的、描述的、發展的、個案與田野、相關性、因果</w:t>
      </w:r>
      <w:proofErr w:type="gramStart"/>
      <w:r>
        <w:t>—</w:t>
      </w:r>
      <w:proofErr w:type="gramEnd"/>
      <w:r>
        <w:t>比較、真正實驗、準實驗、行動／詮釋九種，各有不同之研究目的與適用情境。</w:t>
      </w:r>
    </w:p>
    <w:p w:rsidR="00574D39" w:rsidRDefault="007B3343">
      <w:pPr>
        <w:pStyle w:val="a4"/>
        <w:numPr>
          <w:ilvl w:val="0"/>
          <w:numId w:val="2"/>
        </w:numPr>
        <w:spacing w:after="120" w:line="340" w:lineRule="auto"/>
      </w:pPr>
      <w:r>
        <w:t>Merton</w:t>
      </w:r>
      <w:r>
        <w:t>中程理論之精神</w:t>
      </w:r>
      <w:proofErr w:type="gramStart"/>
      <w:r>
        <w:t>—</w:t>
      </w:r>
      <w:proofErr w:type="gramEnd"/>
      <w:r>
        <w:t>—</w:t>
      </w:r>
      <w:r>
        <w:t>實踐經驗性、範圍有限且開放、聯繫性</w:t>
      </w:r>
      <w:r>
        <w:t>——</w:t>
      </w:r>
      <w:r>
        <w:t>是本書務實建構「</w:t>
      </w:r>
      <w:r>
        <w:t>25-3-3-4-7</w:t>
      </w:r>
      <w:r>
        <w:t>」立體架構之哲學基礎。</w:t>
      </w:r>
    </w:p>
    <w:p w:rsidR="00574D39" w:rsidRDefault="007B3343">
      <w:pPr>
        <w:spacing w:before="260" w:after="140"/>
      </w:pPr>
      <w:r>
        <w:rPr>
          <w:b/>
          <w:bCs/>
          <w:color w:val="2E5C8A"/>
          <w:sz w:val="23"/>
          <w:szCs w:val="23"/>
        </w:rPr>
        <w:t>二、理論發展</w:t>
      </w:r>
    </w:p>
    <w:p w:rsidR="00574D39" w:rsidRDefault="007B3343">
      <w:pPr>
        <w:pStyle w:val="a4"/>
        <w:numPr>
          <w:ilvl w:val="0"/>
          <w:numId w:val="2"/>
        </w:numPr>
        <w:spacing w:after="120" w:line="340" w:lineRule="auto"/>
      </w:pPr>
      <w:r>
        <w:t>行為科學途徑（以霍桑實驗為代表）受到四點批判：研究成果支離破碎、過度偏重組織內部人員行為而忽略結構與法令、一味追求客觀性反而違背社會研究宗旨、僅以組織內部為對象而忽略外在環境。</w:t>
      </w:r>
    </w:p>
    <w:p w:rsidR="00574D39" w:rsidRDefault="007B3343">
      <w:pPr>
        <w:pStyle w:val="a4"/>
        <w:numPr>
          <w:ilvl w:val="0"/>
          <w:numId w:val="2"/>
        </w:numPr>
        <w:spacing w:after="120" w:line="340" w:lineRule="auto"/>
      </w:pPr>
      <w:r>
        <w:t>Jun</w:t>
      </w:r>
      <w:r>
        <w:t>（</w:t>
      </w:r>
      <w:r>
        <w:t>1986</w:t>
      </w:r>
      <w:r>
        <w:t>）提出五個水平分析單位（個人、團體、組織、組織間、制度／社會），如同賣場平面陳設，缺乏高低層次與目的</w:t>
      </w:r>
      <w:proofErr w:type="gramStart"/>
      <w:r>
        <w:t>—</w:t>
      </w:r>
      <w:proofErr w:type="gramEnd"/>
      <w:r>
        <w:t>手段連帶關係；盧建旭（</w:t>
      </w:r>
      <w:r>
        <w:t>1995</w:t>
      </w:r>
      <w:r>
        <w:t>）進一步建構五個垂直分析層次（哲學價值、典範</w:t>
      </w:r>
      <w:r>
        <w:t>理論、制度結構、管理過程、操作技術），由宏觀到微觀連續排列，每一層次是下一層次之「目的」、上一層次之「手段」。</w:t>
      </w:r>
    </w:p>
    <w:p w:rsidR="00574D39" w:rsidRDefault="007B3343">
      <w:pPr>
        <w:pStyle w:val="a4"/>
        <w:numPr>
          <w:ilvl w:val="0"/>
          <w:numId w:val="2"/>
        </w:numPr>
        <w:spacing w:after="120" w:line="340" w:lineRule="auto"/>
      </w:pPr>
      <w:r>
        <w:lastRenderedPageBreak/>
        <w:t>Jun</w:t>
      </w:r>
      <w:r>
        <w:t>五分析單位</w:t>
      </w:r>
      <w:r>
        <w:t>×</w:t>
      </w:r>
      <w:r>
        <w:t>盧建旭五分析層次交織，形成</w:t>
      </w:r>
      <w:r>
        <w:t>5×5</w:t>
      </w:r>
      <w:r>
        <w:t>＝</w:t>
      </w:r>
      <w:r>
        <w:t>25</w:t>
      </w:r>
      <w:r>
        <w:t>個分類，是本教科書立體架構之舊版設計；盧建旭（</w:t>
      </w:r>
      <w:r>
        <w:t>2026</w:t>
      </w:r>
      <w:r>
        <w:t>）〈重新概念化人工智慧治理〉一文，進一步將此系譜統一為「</w:t>
      </w:r>
      <w:r>
        <w:t>25-3-3-4-7</w:t>
      </w:r>
      <w:r>
        <w:t>」共同母架構：</w:t>
      </w:r>
      <w:r>
        <w:t>25</w:t>
      </w:r>
      <w:r>
        <w:t>個治理座標、</w:t>
      </w:r>
      <w:r>
        <w:t>3</w:t>
      </w:r>
      <w:r>
        <w:t>種行政權力功能性移轉、</w:t>
      </w:r>
      <w:r>
        <w:t>3</w:t>
      </w:r>
      <w:r>
        <w:t>項結構性效應、</w:t>
      </w:r>
      <w:r>
        <w:t>4</w:t>
      </w:r>
      <w:r>
        <w:t>條治理鏈、</w:t>
      </w:r>
      <w:r>
        <w:t>7</w:t>
      </w:r>
      <w:r>
        <w:t>項治理審計。</w:t>
      </w:r>
    </w:p>
    <w:p w:rsidR="00574D39" w:rsidRDefault="007B3343">
      <w:pPr>
        <w:spacing w:before="260" w:after="140"/>
      </w:pPr>
      <w:r>
        <w:rPr>
          <w:b/>
          <w:bCs/>
          <w:color w:val="2E5C8A"/>
          <w:sz w:val="23"/>
          <w:szCs w:val="23"/>
        </w:rPr>
        <w:t>三、主要學者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26"/>
      </w:tblGrid>
      <w:tr w:rsidR="00574D39">
        <w:tblPrEx>
          <w:tblCellMar>
            <w:top w:w="0" w:type="dxa"/>
            <w:bottom w:w="0" w:type="dxa"/>
          </w:tblCellMar>
        </w:tblPrEx>
        <w:trPr>
          <w:tblHeader/>
        </w:trPr>
        <w:tc>
          <w:tcPr>
            <w:tcW w:w="26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學者</w:t>
            </w:r>
          </w:p>
        </w:tc>
        <w:tc>
          <w:tcPr>
            <w:tcW w:w="6426"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核心貢獻</w:t>
            </w:r>
          </w:p>
        </w:tc>
      </w:tr>
      <w:tr w:rsidR="00574D39">
        <w:tblPrEx>
          <w:tblCellMar>
            <w:top w:w="0" w:type="dxa"/>
            <w:bottom w:w="0" w:type="dxa"/>
          </w:tblCellMar>
        </w:tblPrEx>
        <w:tc>
          <w:tcPr>
            <w:tcW w:w="26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Robert Merton</w:t>
            </w:r>
            <w:r>
              <w:rPr>
                <w:sz w:val="18"/>
                <w:szCs w:val="18"/>
              </w:rPr>
              <w:t>（</w:t>
            </w:r>
            <w:r>
              <w:rPr>
                <w:sz w:val="18"/>
                <w:szCs w:val="18"/>
              </w:rPr>
              <w:t>1968</w:t>
            </w:r>
            <w:r>
              <w:rPr>
                <w:sz w:val="18"/>
                <w:szCs w:val="18"/>
              </w:rPr>
              <w:t>）</w:t>
            </w:r>
          </w:p>
        </w:tc>
        <w:tc>
          <w:tcPr>
            <w:tcW w:w="6426" w:type="dxa"/>
            <w:shd w:val="clear" w:color="auto" w:fill="FFFFFF"/>
            <w:tcMar>
              <w:top w:w="80" w:type="dxa"/>
              <w:left w:w="100" w:type="dxa"/>
              <w:bottom w:w="80" w:type="dxa"/>
              <w:right w:w="100" w:type="dxa"/>
            </w:tcMar>
            <w:vAlign w:val="center"/>
          </w:tcPr>
          <w:p w:rsidR="00574D39" w:rsidRDefault="007B3343">
            <w:pPr>
              <w:spacing w:after="40"/>
            </w:pPr>
            <w:r>
              <w:rPr>
                <w:sz w:val="18"/>
                <w:szCs w:val="18"/>
              </w:rPr>
              <w:t>中程理論三項特點：實踐經驗性、範圍有限且開放、聯繫性</w:t>
            </w:r>
          </w:p>
        </w:tc>
      </w:tr>
      <w:tr w:rsidR="00574D39">
        <w:tblPrEx>
          <w:tblCellMar>
            <w:top w:w="0" w:type="dxa"/>
            <w:bottom w:w="0" w:type="dxa"/>
          </w:tblCellMar>
        </w:tblPrEx>
        <w:tc>
          <w:tcPr>
            <w:tcW w:w="2600" w:type="dxa"/>
            <w:shd w:val="clear" w:color="auto" w:fill="F2F6FA"/>
            <w:tcMar>
              <w:top w:w="80" w:type="dxa"/>
              <w:left w:w="100" w:type="dxa"/>
              <w:bottom w:w="80" w:type="dxa"/>
              <w:right w:w="100" w:type="dxa"/>
            </w:tcMar>
            <w:vAlign w:val="center"/>
          </w:tcPr>
          <w:p w:rsidR="00574D39" w:rsidRDefault="007B3343">
            <w:pPr>
              <w:spacing w:after="40"/>
            </w:pPr>
            <w:r>
              <w:rPr>
                <w:sz w:val="18"/>
                <w:szCs w:val="18"/>
              </w:rPr>
              <w:t>Jun</w:t>
            </w:r>
            <w:r>
              <w:rPr>
                <w:sz w:val="18"/>
                <w:szCs w:val="18"/>
              </w:rPr>
              <w:t>（</w:t>
            </w:r>
            <w:r>
              <w:rPr>
                <w:sz w:val="18"/>
                <w:szCs w:val="18"/>
              </w:rPr>
              <w:t>1986</w:t>
            </w:r>
            <w:r>
              <w:rPr>
                <w:sz w:val="18"/>
                <w:szCs w:val="18"/>
              </w:rPr>
              <w:t>）</w:t>
            </w:r>
          </w:p>
        </w:tc>
        <w:tc>
          <w:tcPr>
            <w:tcW w:w="6426" w:type="dxa"/>
            <w:shd w:val="clear" w:color="auto" w:fill="F2F6FA"/>
            <w:tcMar>
              <w:top w:w="80" w:type="dxa"/>
              <w:left w:w="100" w:type="dxa"/>
              <w:bottom w:w="80" w:type="dxa"/>
              <w:right w:w="100" w:type="dxa"/>
            </w:tcMar>
            <w:vAlign w:val="center"/>
          </w:tcPr>
          <w:p w:rsidR="00574D39" w:rsidRDefault="007B3343">
            <w:pPr>
              <w:spacing w:after="40"/>
            </w:pPr>
            <w:r>
              <w:rPr>
                <w:sz w:val="18"/>
                <w:szCs w:val="18"/>
              </w:rPr>
              <w:t>五個水平分析單位：個人、團體、組織、組織間、制度／社會</w:t>
            </w:r>
          </w:p>
        </w:tc>
      </w:tr>
      <w:tr w:rsidR="00574D39">
        <w:tblPrEx>
          <w:tblCellMar>
            <w:top w:w="0" w:type="dxa"/>
            <w:bottom w:w="0" w:type="dxa"/>
          </w:tblCellMar>
        </w:tblPrEx>
        <w:tc>
          <w:tcPr>
            <w:tcW w:w="26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盧建旭（</w:t>
            </w:r>
            <w:r>
              <w:rPr>
                <w:sz w:val="18"/>
                <w:szCs w:val="18"/>
              </w:rPr>
              <w:t>1995</w:t>
            </w:r>
            <w:r>
              <w:rPr>
                <w:sz w:val="18"/>
                <w:szCs w:val="18"/>
              </w:rPr>
              <w:t>）</w:t>
            </w:r>
          </w:p>
        </w:tc>
        <w:tc>
          <w:tcPr>
            <w:tcW w:w="6426" w:type="dxa"/>
            <w:shd w:val="clear" w:color="auto" w:fill="FFFFFF"/>
            <w:tcMar>
              <w:top w:w="80" w:type="dxa"/>
              <w:left w:w="100" w:type="dxa"/>
              <w:bottom w:w="80" w:type="dxa"/>
              <w:right w:w="100" w:type="dxa"/>
            </w:tcMar>
            <w:vAlign w:val="center"/>
          </w:tcPr>
          <w:p w:rsidR="00574D39" w:rsidRDefault="007B3343">
            <w:pPr>
              <w:spacing w:after="40"/>
            </w:pPr>
            <w:r>
              <w:rPr>
                <w:sz w:val="18"/>
                <w:szCs w:val="18"/>
              </w:rPr>
              <w:t>五個垂直分析層次：哲學價值、典範理論、制度結構、管理過程、操作技術</w:t>
            </w:r>
          </w:p>
        </w:tc>
      </w:tr>
      <w:tr w:rsidR="00574D39">
        <w:tblPrEx>
          <w:tblCellMar>
            <w:top w:w="0" w:type="dxa"/>
            <w:bottom w:w="0" w:type="dxa"/>
          </w:tblCellMar>
        </w:tblPrEx>
        <w:tc>
          <w:tcPr>
            <w:tcW w:w="2600" w:type="dxa"/>
            <w:shd w:val="clear" w:color="auto" w:fill="F2F6FA"/>
            <w:tcMar>
              <w:top w:w="80" w:type="dxa"/>
              <w:left w:w="100" w:type="dxa"/>
              <w:bottom w:w="80" w:type="dxa"/>
              <w:right w:w="100" w:type="dxa"/>
            </w:tcMar>
            <w:vAlign w:val="center"/>
          </w:tcPr>
          <w:p w:rsidR="00574D39" w:rsidRDefault="007B3343">
            <w:pPr>
              <w:spacing w:after="40"/>
            </w:pPr>
            <w:r>
              <w:rPr>
                <w:sz w:val="18"/>
                <w:szCs w:val="18"/>
              </w:rPr>
              <w:t>盧建旭（</w:t>
            </w:r>
            <w:r>
              <w:rPr>
                <w:sz w:val="18"/>
                <w:szCs w:val="18"/>
              </w:rPr>
              <w:t>2026</w:t>
            </w:r>
            <w:r>
              <w:rPr>
                <w:sz w:val="18"/>
                <w:szCs w:val="18"/>
              </w:rPr>
              <w:t>）</w:t>
            </w:r>
          </w:p>
        </w:tc>
        <w:tc>
          <w:tcPr>
            <w:tcW w:w="6426" w:type="dxa"/>
            <w:shd w:val="clear" w:color="auto" w:fill="F2F6FA"/>
            <w:tcMar>
              <w:top w:w="80" w:type="dxa"/>
              <w:left w:w="100" w:type="dxa"/>
              <w:bottom w:w="80" w:type="dxa"/>
              <w:right w:w="100" w:type="dxa"/>
            </w:tcMar>
            <w:vAlign w:val="center"/>
          </w:tcPr>
          <w:p w:rsidR="00574D39" w:rsidRDefault="007B3343">
            <w:pPr>
              <w:spacing w:after="40"/>
            </w:pPr>
            <w:r>
              <w:rPr>
                <w:sz w:val="18"/>
                <w:szCs w:val="18"/>
              </w:rPr>
              <w:t>重新概念化為「</w:t>
            </w:r>
            <w:r>
              <w:rPr>
                <w:sz w:val="18"/>
                <w:szCs w:val="18"/>
              </w:rPr>
              <w:t>25-3-3-4-7</w:t>
            </w:r>
            <w:r>
              <w:rPr>
                <w:sz w:val="18"/>
                <w:szCs w:val="18"/>
              </w:rPr>
              <w:t>」共同母架構，取代舊版</w:t>
            </w:r>
            <w:r>
              <w:rPr>
                <w:sz w:val="18"/>
                <w:szCs w:val="18"/>
              </w:rPr>
              <w:t>25</w:t>
            </w:r>
            <w:r>
              <w:rPr>
                <w:sz w:val="18"/>
                <w:szCs w:val="18"/>
              </w:rPr>
              <w:t>分類矩陣</w:t>
            </w:r>
          </w:p>
        </w:tc>
      </w:tr>
    </w:tbl>
    <w:p w:rsidR="00574D39" w:rsidRDefault="007B3343">
      <w:pPr>
        <w:spacing w:before="120" w:after="280"/>
        <w:jc w:val="center"/>
      </w:pPr>
      <w:r>
        <w:rPr>
          <w:i/>
          <w:iCs/>
          <w:color w:val="555555"/>
          <w:sz w:val="18"/>
          <w:szCs w:val="18"/>
        </w:rPr>
        <w:t>表</w:t>
      </w:r>
      <w:r>
        <w:rPr>
          <w:i/>
          <w:iCs/>
          <w:color w:val="555555"/>
          <w:sz w:val="18"/>
          <w:szCs w:val="18"/>
        </w:rPr>
        <w:t>3-E</w:t>
      </w:r>
      <w:r>
        <w:rPr>
          <w:i/>
          <w:iCs/>
          <w:color w:val="555555"/>
          <w:sz w:val="18"/>
          <w:szCs w:val="18"/>
        </w:rPr>
        <w:t xml:space="preserve">　研究方法論與分析層次之主要學者</w:t>
      </w:r>
    </w:p>
    <w:p w:rsidR="00574D39" w:rsidRDefault="007B3343">
      <w:pPr>
        <w:spacing w:before="260" w:after="140"/>
      </w:pPr>
      <w:r>
        <w:rPr>
          <w:b/>
          <w:bCs/>
          <w:color w:val="2E5C8A"/>
          <w:sz w:val="23"/>
          <w:szCs w:val="23"/>
        </w:rPr>
        <w:t>四、核心命題</w:t>
      </w:r>
    </w:p>
    <w:p w:rsidR="00574D39" w:rsidRDefault="007B3343">
      <w:pPr>
        <w:pStyle w:val="a4"/>
        <w:numPr>
          <w:ilvl w:val="0"/>
          <w:numId w:val="2"/>
        </w:numPr>
        <w:spacing w:after="120" w:line="340" w:lineRule="auto"/>
      </w:pPr>
      <w:r>
        <w:t>2026</w:t>
      </w:r>
      <w:r>
        <w:t>年版架構將水平分析單位由「個人、團體、組織、組織間、制度／社會」修正為「個人、群體、組織、社會、國際」（以「國際」取代「組織間」），垂直層次則由「典範理論時間縱深」改為「政府職能抽象至具體排序」（哲學與價值</w:t>
      </w:r>
      <w:r>
        <w:t>→</w:t>
      </w:r>
      <w:r>
        <w:t>制度分工</w:t>
      </w:r>
      <w:r>
        <w:t>→</w:t>
      </w:r>
      <w:r>
        <w:t>政策體系</w:t>
      </w:r>
      <w:r>
        <w:t>→</w:t>
      </w:r>
      <w:r>
        <w:t>組織設計</w:t>
      </w:r>
      <w:r>
        <w:t>→</w:t>
      </w:r>
      <w:r>
        <w:t>管理運作）；</w:t>
      </w:r>
      <w:r>
        <w:t>25</w:t>
      </w:r>
      <w:r>
        <w:t>座標本質是「定位系統」，用以標定</w:t>
      </w:r>
      <w:r>
        <w:t>AI</w:t>
      </w:r>
      <w:r>
        <w:t>介入公共行政的起始與延伸格位，本身不計分、不直接構成風險分數。</w:t>
      </w:r>
    </w:p>
    <w:p w:rsidR="00574D39" w:rsidRDefault="007B3343">
      <w:pPr>
        <w:spacing w:before="260" w:after="140"/>
      </w:pPr>
      <w:r>
        <w:rPr>
          <w:b/>
          <w:bCs/>
          <w:color w:val="2E5C8A"/>
          <w:sz w:val="23"/>
          <w:szCs w:val="23"/>
        </w:rPr>
        <w:t>五、優點與限制</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226"/>
      </w:tblGrid>
      <w:tr w:rsidR="00574D39">
        <w:tblPrEx>
          <w:tblCellMar>
            <w:top w:w="0" w:type="dxa"/>
            <w:bottom w:w="0" w:type="dxa"/>
          </w:tblCellMar>
        </w:tblPrEx>
        <w:trPr>
          <w:tblHeader/>
        </w:trPr>
        <w:tc>
          <w:tcPr>
            <w:tcW w:w="18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面向</w:t>
            </w:r>
          </w:p>
        </w:tc>
        <w:tc>
          <w:tcPr>
            <w:tcW w:w="7226"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內容</w:t>
            </w:r>
          </w:p>
        </w:tc>
      </w:tr>
      <w:tr w:rsidR="00574D39">
        <w:tblPrEx>
          <w:tblCellMar>
            <w:top w:w="0" w:type="dxa"/>
            <w:bottom w:w="0" w:type="dxa"/>
          </w:tblCellMar>
        </w:tblPrEx>
        <w:tc>
          <w:tcPr>
            <w:tcW w:w="1800" w:type="dxa"/>
            <w:shd w:val="clear" w:color="auto" w:fill="FFFFFF"/>
            <w:tcMar>
              <w:top w:w="80" w:type="dxa"/>
              <w:left w:w="100" w:type="dxa"/>
              <w:bottom w:w="80" w:type="dxa"/>
              <w:right w:w="100" w:type="dxa"/>
            </w:tcMar>
            <w:vAlign w:val="center"/>
          </w:tcPr>
          <w:p w:rsidR="00574D39" w:rsidRDefault="007B3343">
            <w:pPr>
              <w:spacing w:after="40"/>
            </w:pPr>
            <w:r>
              <w:rPr>
                <w:sz w:val="18"/>
                <w:szCs w:val="18"/>
              </w:rPr>
              <w:t>貢獻</w:t>
            </w:r>
          </w:p>
        </w:tc>
        <w:tc>
          <w:tcPr>
            <w:tcW w:w="7226" w:type="dxa"/>
            <w:shd w:val="clear" w:color="auto" w:fill="FFFFFF"/>
            <w:tcMar>
              <w:top w:w="80" w:type="dxa"/>
              <w:left w:w="100" w:type="dxa"/>
              <w:bottom w:w="80" w:type="dxa"/>
              <w:right w:w="100" w:type="dxa"/>
            </w:tcMar>
            <w:vAlign w:val="center"/>
          </w:tcPr>
          <w:p w:rsidR="00574D39" w:rsidRDefault="007B3343">
            <w:pPr>
              <w:spacing w:after="40"/>
            </w:pPr>
            <w:r>
              <w:rPr>
                <w:sz w:val="18"/>
                <w:szCs w:val="18"/>
              </w:rPr>
              <w:t>九種研究途徑提供完整的方法論工具箱，使公共行政研究得以依問題性質選擇適當方法；</w:t>
            </w:r>
            <w:r>
              <w:rPr>
                <w:sz w:val="18"/>
                <w:szCs w:val="18"/>
              </w:rPr>
              <w:t>25-3-3-4-7</w:t>
            </w:r>
            <w:r>
              <w:rPr>
                <w:sz w:val="18"/>
                <w:szCs w:val="18"/>
              </w:rPr>
              <w:t>架構則提供跨章節</w:t>
            </w:r>
            <w:r>
              <w:rPr>
                <w:sz w:val="18"/>
                <w:szCs w:val="18"/>
              </w:rPr>
              <w:t>共用之分析語言，避免行政學龐雜主題流於平面羅列</w:t>
            </w:r>
          </w:p>
        </w:tc>
      </w:tr>
      <w:tr w:rsidR="00574D39">
        <w:tblPrEx>
          <w:tblCellMar>
            <w:top w:w="0" w:type="dxa"/>
            <w:bottom w:w="0" w:type="dxa"/>
          </w:tblCellMar>
        </w:tblPrEx>
        <w:tc>
          <w:tcPr>
            <w:tcW w:w="1800" w:type="dxa"/>
            <w:shd w:val="clear" w:color="auto" w:fill="F2F6FA"/>
            <w:tcMar>
              <w:top w:w="80" w:type="dxa"/>
              <w:left w:w="100" w:type="dxa"/>
              <w:bottom w:w="80" w:type="dxa"/>
              <w:right w:w="100" w:type="dxa"/>
            </w:tcMar>
            <w:vAlign w:val="center"/>
          </w:tcPr>
          <w:p w:rsidR="00574D39" w:rsidRDefault="007B3343">
            <w:pPr>
              <w:spacing w:after="40"/>
            </w:pPr>
            <w:r>
              <w:rPr>
                <w:sz w:val="18"/>
                <w:szCs w:val="18"/>
              </w:rPr>
              <w:t>限制</w:t>
            </w:r>
          </w:p>
        </w:tc>
        <w:tc>
          <w:tcPr>
            <w:tcW w:w="7226" w:type="dxa"/>
            <w:shd w:val="clear" w:color="auto" w:fill="F2F6FA"/>
            <w:tcMar>
              <w:top w:w="80" w:type="dxa"/>
              <w:left w:w="100" w:type="dxa"/>
              <w:bottom w:w="80" w:type="dxa"/>
              <w:right w:w="100" w:type="dxa"/>
            </w:tcMar>
            <w:vAlign w:val="center"/>
          </w:tcPr>
          <w:p w:rsidR="00574D39" w:rsidRDefault="007B3343">
            <w:pPr>
              <w:spacing w:after="40"/>
            </w:pPr>
            <w:r>
              <w:rPr>
                <w:sz w:val="18"/>
                <w:szCs w:val="18"/>
              </w:rPr>
              <w:t>行為科學途徑（如霍桑實驗）過度偏重組織內部行為，忽略結構與外在環境；</w:t>
            </w:r>
            <w:r>
              <w:rPr>
                <w:sz w:val="18"/>
                <w:szCs w:val="18"/>
              </w:rPr>
              <w:t>25</w:t>
            </w:r>
            <w:r>
              <w:rPr>
                <w:sz w:val="18"/>
                <w:szCs w:val="18"/>
              </w:rPr>
              <w:t>座標本身僅是定位工具，仍須搭配四條治理鏈與七項治理審計方能形成完整的風險判斷</w:t>
            </w:r>
          </w:p>
        </w:tc>
      </w:tr>
    </w:tbl>
    <w:p w:rsidR="00574D39" w:rsidRDefault="007B3343">
      <w:pPr>
        <w:spacing w:before="120" w:after="280"/>
        <w:jc w:val="center"/>
      </w:pPr>
      <w:r>
        <w:rPr>
          <w:i/>
          <w:iCs/>
          <w:color w:val="555555"/>
          <w:sz w:val="18"/>
          <w:szCs w:val="18"/>
        </w:rPr>
        <w:t>表</w:t>
      </w:r>
      <w:r>
        <w:rPr>
          <w:i/>
          <w:iCs/>
          <w:color w:val="555555"/>
          <w:sz w:val="18"/>
          <w:szCs w:val="18"/>
        </w:rPr>
        <w:t>3-F</w:t>
      </w:r>
      <w:r>
        <w:rPr>
          <w:i/>
          <w:iCs/>
          <w:color w:val="555555"/>
          <w:sz w:val="18"/>
          <w:szCs w:val="18"/>
        </w:rPr>
        <w:t xml:space="preserve">　研究方法論與分析層次架構之貢獻與限制</w:t>
      </w:r>
    </w:p>
    <w:p w:rsidR="00574D39" w:rsidRDefault="007B3343">
      <w:pPr>
        <w:spacing w:before="260" w:after="140"/>
      </w:pPr>
      <w:r>
        <w:rPr>
          <w:b/>
          <w:bCs/>
          <w:color w:val="2E5C8A"/>
          <w:sz w:val="23"/>
          <w:szCs w:val="23"/>
        </w:rPr>
        <w:t>六、當代發展</w:t>
      </w:r>
    </w:p>
    <w:p w:rsidR="00574D39" w:rsidRDefault="007B3343">
      <w:pPr>
        <w:pStyle w:val="a4"/>
        <w:numPr>
          <w:ilvl w:val="0"/>
          <w:numId w:val="2"/>
        </w:numPr>
        <w:spacing w:after="120" w:line="340" w:lineRule="auto"/>
      </w:pPr>
      <w:r>
        <w:lastRenderedPageBreak/>
        <w:t>AI</w:t>
      </w:r>
      <w:r>
        <w:t>治理研究本身，正在測試既有九種研究途徑之適用性</w:t>
      </w:r>
      <w:proofErr w:type="gramStart"/>
      <w:r>
        <w:t>—</w:t>
      </w:r>
      <w:proofErr w:type="gramEnd"/>
      <w:r>
        <w:t>—</w:t>
      </w:r>
      <w:r>
        <w:t>演算法系統之因果關係往往難以用傳統「相關性」或「因果</w:t>
      </w:r>
      <w:r>
        <w:t>—</w:t>
      </w:r>
      <w:r>
        <w:t>比較」途徑完整捕捉，這也是「</w:t>
      </w:r>
      <w:r>
        <w:t>25-3-3-4-7</w:t>
      </w:r>
      <w:r>
        <w:t>」架構被提出、以四條治理鏈追蹤責任歸屬的方法論背景。</w:t>
      </w:r>
    </w:p>
    <w:p w:rsidR="00574D39" w:rsidRDefault="007B3343">
      <w:pPr>
        <w:spacing w:before="260" w:after="140"/>
      </w:pPr>
      <w:r>
        <w:rPr>
          <w:b/>
          <w:bCs/>
          <w:color w:val="2E5C8A"/>
          <w:sz w:val="23"/>
          <w:szCs w:val="23"/>
        </w:rPr>
        <w:t>七、臺灣行政實務</w:t>
      </w:r>
    </w:p>
    <w:p w:rsidR="00574D39" w:rsidRDefault="007B3343">
      <w:pPr>
        <w:pStyle w:val="a4"/>
        <w:numPr>
          <w:ilvl w:val="0"/>
          <w:numId w:val="2"/>
        </w:numPr>
        <w:spacing w:after="120" w:line="340" w:lineRule="auto"/>
      </w:pPr>
      <w:r>
        <w:t>我國政府近年推動之「實證為本政策制定」（</w:t>
      </w:r>
      <w:r>
        <w:t>evidence-based policy making</w:t>
      </w:r>
      <w:r>
        <w:t>），即是研究途徑中「相關性」與「因果</w:t>
      </w:r>
      <w:proofErr w:type="gramStart"/>
      <w:r>
        <w:t>—</w:t>
      </w:r>
      <w:proofErr w:type="gramEnd"/>
      <w:r>
        <w:t>比較」途徑在政策實務中之具體應用；而數位發展部推動之政策資料庫建置，則呼應本節「操作技術層次」（第五層）之精神。</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574D39" w:rsidRDefault="007B3343">
            <w:pPr>
              <w:spacing w:after="100"/>
            </w:pPr>
            <w:r>
              <w:rPr>
                <w:b/>
                <w:bCs/>
                <w:color w:val="1F4E79"/>
              </w:rPr>
              <w:t>【國考考點】</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①</w:t>
            </w:r>
            <w:r>
              <w:rPr>
                <w:sz w:val="21"/>
                <w:szCs w:val="21"/>
              </w:rPr>
              <w:t>九種研究途徑之名稱與目的（歷史的／描述的／發展的／個案田野／相關性／因果比較／真正實驗／準實驗／行動詮釋）</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②</w:t>
            </w:r>
            <w:r>
              <w:rPr>
                <w:sz w:val="21"/>
                <w:szCs w:val="21"/>
              </w:rPr>
              <w:t>行為科學途徑（霍桑實驗）之四點批判</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③Merton</w:t>
            </w:r>
            <w:r>
              <w:rPr>
                <w:sz w:val="21"/>
                <w:szCs w:val="21"/>
              </w:rPr>
              <w:t>中程理論三項特點</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④Jun</w:t>
            </w:r>
            <w:r>
              <w:rPr>
                <w:sz w:val="21"/>
                <w:szCs w:val="21"/>
              </w:rPr>
              <w:t>五分析單位（水平）與盧建旭五分析層次（垂直）之交織邏輯（</w:t>
            </w:r>
            <w:r>
              <w:rPr>
                <w:sz w:val="21"/>
                <w:szCs w:val="21"/>
              </w:rPr>
              <w:t>25</w:t>
            </w:r>
            <w:r>
              <w:rPr>
                <w:sz w:val="21"/>
                <w:szCs w:val="21"/>
              </w:rPr>
              <w:t>分類矩陣）</w:t>
            </w:r>
          </w:p>
          <w:p w:rsidR="00574D39" w:rsidRDefault="007B3343">
            <w:pPr>
              <w:spacing w:line="320" w:lineRule="auto"/>
            </w:pPr>
            <w:proofErr w:type="gramStart"/>
            <w:r>
              <w:rPr>
                <w:sz w:val="21"/>
                <w:szCs w:val="21"/>
              </w:rPr>
              <w:t>•</w:t>
            </w:r>
            <w:proofErr w:type="gramEnd"/>
            <w:r>
              <w:rPr>
                <w:sz w:val="21"/>
                <w:szCs w:val="21"/>
              </w:rPr>
              <w:t xml:space="preserve">　</w:t>
            </w:r>
            <w:r>
              <w:rPr>
                <w:sz w:val="21"/>
                <w:szCs w:val="21"/>
              </w:rPr>
              <w:t>⑤2026</w:t>
            </w:r>
            <w:r>
              <w:rPr>
                <w:sz w:val="21"/>
                <w:szCs w:val="21"/>
              </w:rPr>
              <w:t>年版「</w:t>
            </w:r>
            <w:r>
              <w:rPr>
                <w:sz w:val="21"/>
                <w:szCs w:val="21"/>
              </w:rPr>
              <w:t>25-3-3-4-7</w:t>
            </w:r>
            <w:r>
              <w:rPr>
                <w:sz w:val="21"/>
                <w:szCs w:val="21"/>
              </w:rPr>
              <w:t>」架構之五個組成要素（</w:t>
            </w:r>
            <w:r>
              <w:rPr>
                <w:sz w:val="21"/>
                <w:szCs w:val="21"/>
              </w:rPr>
              <w:t>25</w:t>
            </w:r>
            <w:r>
              <w:rPr>
                <w:sz w:val="21"/>
                <w:szCs w:val="21"/>
              </w:rPr>
              <w:t>座標／</w:t>
            </w:r>
            <w:r>
              <w:rPr>
                <w:sz w:val="21"/>
                <w:szCs w:val="21"/>
              </w:rPr>
              <w:t>3</w:t>
            </w:r>
            <w:r>
              <w:rPr>
                <w:sz w:val="21"/>
                <w:szCs w:val="21"/>
              </w:rPr>
              <w:t>種權力移轉／</w:t>
            </w:r>
            <w:r>
              <w:rPr>
                <w:sz w:val="21"/>
                <w:szCs w:val="21"/>
              </w:rPr>
              <w:t>3</w:t>
            </w:r>
            <w:r>
              <w:rPr>
                <w:sz w:val="21"/>
                <w:szCs w:val="21"/>
              </w:rPr>
              <w:t>項結構性效應／</w:t>
            </w:r>
            <w:r>
              <w:rPr>
                <w:sz w:val="21"/>
                <w:szCs w:val="21"/>
              </w:rPr>
              <w:t>4</w:t>
            </w:r>
            <w:r>
              <w:rPr>
                <w:sz w:val="21"/>
                <w:szCs w:val="21"/>
              </w:rPr>
              <w:t>條治理鏈／</w:t>
            </w:r>
            <w:r>
              <w:rPr>
                <w:sz w:val="21"/>
                <w:szCs w:val="21"/>
              </w:rPr>
              <w:t>7</w:t>
            </w:r>
            <w:r>
              <w:rPr>
                <w:sz w:val="21"/>
                <w:szCs w:val="21"/>
              </w:rPr>
              <w:t>項治理審計）</w:t>
            </w:r>
          </w:p>
        </w:tc>
      </w:tr>
    </w:tbl>
    <w:p w:rsidR="00574D39" w:rsidRDefault="00574D39">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574D39" w:rsidRDefault="007B3343">
            <w:pPr>
              <w:spacing w:after="100"/>
            </w:pPr>
            <w:r>
              <w:rPr>
                <w:b/>
                <w:bCs/>
                <w:color w:val="2E7D32"/>
              </w:rPr>
              <w:t>【一分鐘記憶】</w:t>
            </w:r>
          </w:p>
          <w:p w:rsidR="00574D39" w:rsidRDefault="007B3343">
            <w:pPr>
              <w:spacing w:after="80" w:line="320" w:lineRule="auto"/>
            </w:pPr>
            <w:proofErr w:type="gramStart"/>
            <w:r>
              <w:rPr>
                <w:sz w:val="21"/>
                <w:szCs w:val="21"/>
              </w:rPr>
              <w:t>•</w:t>
            </w:r>
            <w:proofErr w:type="gramEnd"/>
            <w:r>
              <w:rPr>
                <w:sz w:val="21"/>
                <w:szCs w:val="21"/>
              </w:rPr>
              <w:t xml:space="preserve">　九種研究途徑分</w:t>
            </w:r>
            <w:proofErr w:type="gramStart"/>
            <w:r>
              <w:rPr>
                <w:sz w:val="21"/>
                <w:szCs w:val="21"/>
              </w:rPr>
              <w:t>兩類</w:t>
            </w:r>
            <w:proofErr w:type="gramEnd"/>
            <w:r>
              <w:rPr>
                <w:sz w:val="21"/>
                <w:szCs w:val="21"/>
              </w:rPr>
              <w:t>記：「觀察描述類」</w:t>
            </w:r>
            <w:r>
              <w:rPr>
                <w:sz w:val="21"/>
                <w:szCs w:val="21"/>
              </w:rPr>
              <w:t>(</w:t>
            </w:r>
            <w:r>
              <w:rPr>
                <w:sz w:val="21"/>
                <w:szCs w:val="21"/>
              </w:rPr>
              <w:t>歷史</w:t>
            </w:r>
            <w:r>
              <w:rPr>
                <w:sz w:val="21"/>
                <w:szCs w:val="21"/>
              </w:rPr>
              <w:t>/</w:t>
            </w:r>
            <w:r>
              <w:rPr>
                <w:sz w:val="21"/>
                <w:szCs w:val="21"/>
              </w:rPr>
              <w:t>描述</w:t>
            </w:r>
            <w:r>
              <w:rPr>
                <w:sz w:val="21"/>
                <w:szCs w:val="21"/>
              </w:rPr>
              <w:t>/</w:t>
            </w:r>
            <w:r>
              <w:rPr>
                <w:sz w:val="21"/>
                <w:szCs w:val="21"/>
              </w:rPr>
              <w:t>發展</w:t>
            </w:r>
            <w:r>
              <w:rPr>
                <w:sz w:val="21"/>
                <w:szCs w:val="21"/>
              </w:rPr>
              <w:t>/</w:t>
            </w:r>
            <w:r>
              <w:rPr>
                <w:sz w:val="21"/>
                <w:szCs w:val="21"/>
              </w:rPr>
              <w:t>個案田野</w:t>
            </w:r>
            <w:r>
              <w:rPr>
                <w:sz w:val="21"/>
                <w:szCs w:val="21"/>
              </w:rPr>
              <w:t>)</w:t>
            </w:r>
            <w:r>
              <w:rPr>
                <w:sz w:val="21"/>
                <w:szCs w:val="21"/>
              </w:rPr>
              <w:t>＋「因果驗證類」</w:t>
            </w:r>
            <w:r>
              <w:rPr>
                <w:sz w:val="21"/>
                <w:szCs w:val="21"/>
              </w:rPr>
              <w:t>(</w:t>
            </w:r>
            <w:r>
              <w:rPr>
                <w:sz w:val="21"/>
                <w:szCs w:val="21"/>
              </w:rPr>
              <w:t>相關性</w:t>
            </w:r>
            <w:r>
              <w:rPr>
                <w:sz w:val="21"/>
                <w:szCs w:val="21"/>
              </w:rPr>
              <w:t>/</w:t>
            </w:r>
            <w:r>
              <w:rPr>
                <w:sz w:val="21"/>
                <w:szCs w:val="21"/>
              </w:rPr>
              <w:t>因果比較</w:t>
            </w:r>
            <w:r>
              <w:rPr>
                <w:sz w:val="21"/>
                <w:szCs w:val="21"/>
              </w:rPr>
              <w:t>/</w:t>
            </w:r>
            <w:r>
              <w:rPr>
                <w:sz w:val="21"/>
                <w:szCs w:val="21"/>
              </w:rPr>
              <w:t>真正實驗</w:t>
            </w:r>
            <w:r>
              <w:rPr>
                <w:sz w:val="21"/>
                <w:szCs w:val="21"/>
              </w:rPr>
              <w:t>/</w:t>
            </w:r>
            <w:proofErr w:type="gramStart"/>
            <w:r>
              <w:rPr>
                <w:sz w:val="21"/>
                <w:szCs w:val="21"/>
              </w:rPr>
              <w:t>準</w:t>
            </w:r>
            <w:proofErr w:type="gramEnd"/>
            <w:r>
              <w:rPr>
                <w:sz w:val="21"/>
                <w:szCs w:val="21"/>
              </w:rPr>
              <w:t>實驗</w:t>
            </w:r>
            <w:r>
              <w:rPr>
                <w:sz w:val="21"/>
                <w:szCs w:val="21"/>
              </w:rPr>
              <w:t>/</w:t>
            </w:r>
            <w:r>
              <w:rPr>
                <w:sz w:val="21"/>
                <w:szCs w:val="21"/>
              </w:rPr>
              <w:t>行動詮釋</w:t>
            </w:r>
            <w:r>
              <w:rPr>
                <w:sz w:val="21"/>
                <w:szCs w:val="21"/>
              </w:rPr>
              <w:t>)</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Jun</w:t>
            </w:r>
            <w:r>
              <w:rPr>
                <w:sz w:val="21"/>
                <w:szCs w:val="21"/>
              </w:rPr>
              <w:t>是水平（五個單位像貨架排開），盧建旭是垂直（五個層次像樓層由上而下）</w:t>
            </w:r>
            <w:r>
              <w:rPr>
                <w:sz w:val="21"/>
                <w:szCs w:val="21"/>
              </w:rPr>
              <w:t>——</w:t>
            </w:r>
            <w:r>
              <w:rPr>
                <w:sz w:val="21"/>
                <w:szCs w:val="21"/>
              </w:rPr>
              <w:t>「</w:t>
            </w:r>
            <w:r>
              <w:rPr>
                <w:sz w:val="21"/>
                <w:szCs w:val="21"/>
              </w:rPr>
              <w:t>Jun</w:t>
            </w:r>
            <w:r>
              <w:rPr>
                <w:sz w:val="21"/>
                <w:szCs w:val="21"/>
              </w:rPr>
              <w:t>橫、盧直」交織成</w:t>
            </w:r>
            <w:r>
              <w:rPr>
                <w:sz w:val="21"/>
                <w:szCs w:val="21"/>
              </w:rPr>
              <w:t>25</w:t>
            </w:r>
            <w:r>
              <w:rPr>
                <w:sz w:val="21"/>
                <w:szCs w:val="21"/>
              </w:rPr>
              <w:t>格</w:t>
            </w:r>
          </w:p>
          <w:p w:rsidR="00574D39" w:rsidRDefault="007B3343">
            <w:pPr>
              <w:spacing w:line="320" w:lineRule="auto"/>
            </w:pPr>
            <w:proofErr w:type="gramStart"/>
            <w:r>
              <w:rPr>
                <w:sz w:val="21"/>
                <w:szCs w:val="21"/>
              </w:rPr>
              <w:t>•</w:t>
            </w:r>
            <w:proofErr w:type="gramEnd"/>
            <w:r>
              <w:rPr>
                <w:sz w:val="21"/>
                <w:szCs w:val="21"/>
              </w:rPr>
              <w:t xml:space="preserve">　</w:t>
            </w:r>
            <w:r>
              <w:rPr>
                <w:sz w:val="21"/>
                <w:szCs w:val="21"/>
              </w:rPr>
              <w:t>25-3-3-4-7</w:t>
            </w:r>
            <w:r>
              <w:rPr>
                <w:sz w:val="21"/>
                <w:szCs w:val="21"/>
              </w:rPr>
              <w:t>口訣：</w:t>
            </w:r>
            <w:r>
              <w:rPr>
                <w:sz w:val="21"/>
                <w:szCs w:val="21"/>
              </w:rPr>
              <w:t>25</w:t>
            </w:r>
            <w:r>
              <w:rPr>
                <w:sz w:val="21"/>
                <w:szCs w:val="21"/>
              </w:rPr>
              <w:t>座標定位、</w:t>
            </w:r>
            <w:r>
              <w:rPr>
                <w:sz w:val="21"/>
                <w:szCs w:val="21"/>
              </w:rPr>
              <w:t>3</w:t>
            </w:r>
            <w:r>
              <w:rPr>
                <w:sz w:val="21"/>
                <w:szCs w:val="21"/>
              </w:rPr>
              <w:t>移轉看權力、</w:t>
            </w:r>
            <w:r>
              <w:rPr>
                <w:sz w:val="21"/>
                <w:szCs w:val="21"/>
              </w:rPr>
              <w:t>3</w:t>
            </w:r>
            <w:r>
              <w:rPr>
                <w:sz w:val="21"/>
                <w:szCs w:val="21"/>
              </w:rPr>
              <w:t>效應看結構、</w:t>
            </w:r>
            <w:r>
              <w:rPr>
                <w:sz w:val="21"/>
                <w:szCs w:val="21"/>
              </w:rPr>
              <w:t>4</w:t>
            </w:r>
            <w:r>
              <w:rPr>
                <w:sz w:val="21"/>
                <w:szCs w:val="21"/>
              </w:rPr>
              <w:t>鏈追蹤責任、</w:t>
            </w:r>
            <w:r>
              <w:rPr>
                <w:sz w:val="21"/>
                <w:szCs w:val="21"/>
              </w:rPr>
              <w:t>7</w:t>
            </w:r>
            <w:r>
              <w:rPr>
                <w:sz w:val="21"/>
                <w:szCs w:val="21"/>
              </w:rPr>
              <w:t>審計來把關</w:t>
            </w:r>
          </w:p>
        </w:tc>
      </w:tr>
    </w:tbl>
    <w:p w:rsidR="00574D39" w:rsidRDefault="00574D39">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FDECEA"/>
              <w:left w:val="single" w:sz="24" w:space="0" w:color="C0392B"/>
              <w:bottom w:val="single" w:sz="2" w:space="0" w:color="FDECEA"/>
              <w:right w:val="single" w:sz="2" w:space="0" w:color="FDECEA"/>
            </w:tcBorders>
            <w:shd w:val="clear" w:color="auto" w:fill="FDECEA"/>
            <w:tcMar>
              <w:top w:w="160" w:type="dxa"/>
              <w:left w:w="220" w:type="dxa"/>
              <w:bottom w:w="160" w:type="dxa"/>
              <w:right w:w="220" w:type="dxa"/>
            </w:tcMar>
          </w:tcPr>
          <w:p w:rsidR="00574D39" w:rsidRDefault="007B3343">
            <w:pPr>
              <w:spacing w:after="100"/>
            </w:pPr>
            <w:r>
              <w:rPr>
                <w:b/>
                <w:bCs/>
                <w:color w:val="C0392B"/>
              </w:rPr>
              <w:lastRenderedPageBreak/>
              <w:t>【容易混淆】</w:t>
            </w:r>
          </w:p>
          <w:p w:rsidR="00574D39" w:rsidRDefault="007B3343">
            <w:pPr>
              <w:spacing w:after="80" w:line="320" w:lineRule="auto"/>
            </w:pPr>
            <w:proofErr w:type="gramStart"/>
            <w:r>
              <w:rPr>
                <w:sz w:val="21"/>
                <w:szCs w:val="21"/>
              </w:rPr>
              <w:t>•</w:t>
            </w:r>
            <w:proofErr w:type="gramEnd"/>
            <w:r>
              <w:rPr>
                <w:sz w:val="21"/>
                <w:szCs w:val="21"/>
              </w:rPr>
              <w:t xml:space="preserve">　「</w:t>
            </w:r>
            <w:r>
              <w:rPr>
                <w:sz w:val="21"/>
                <w:szCs w:val="21"/>
              </w:rPr>
              <w:t>25</w:t>
            </w:r>
            <w:r>
              <w:rPr>
                <w:sz w:val="21"/>
                <w:szCs w:val="21"/>
              </w:rPr>
              <w:t>分類矩陣」（</w:t>
            </w:r>
            <w:r>
              <w:rPr>
                <w:sz w:val="21"/>
                <w:szCs w:val="21"/>
              </w:rPr>
              <w:t>Jun×</w:t>
            </w:r>
            <w:r>
              <w:rPr>
                <w:sz w:val="21"/>
                <w:szCs w:val="21"/>
              </w:rPr>
              <w:t>盧建旭舊版）與「</w:t>
            </w:r>
            <w:r>
              <w:rPr>
                <w:sz w:val="21"/>
                <w:szCs w:val="21"/>
              </w:rPr>
              <w:t>25</w:t>
            </w:r>
            <w:r>
              <w:rPr>
                <w:sz w:val="21"/>
                <w:szCs w:val="21"/>
              </w:rPr>
              <w:t>座標」（</w:t>
            </w:r>
            <w:r>
              <w:rPr>
                <w:sz w:val="21"/>
                <w:szCs w:val="21"/>
              </w:rPr>
              <w:t>2026</w:t>
            </w:r>
            <w:r>
              <w:rPr>
                <w:sz w:val="21"/>
                <w:szCs w:val="21"/>
              </w:rPr>
              <w:t>年版新版）名稱雖然都是</w:t>
            </w:r>
            <w:r>
              <w:rPr>
                <w:sz w:val="21"/>
                <w:szCs w:val="21"/>
              </w:rPr>
              <w:t>25</w:t>
            </w:r>
            <w:r>
              <w:rPr>
                <w:sz w:val="21"/>
                <w:szCs w:val="21"/>
              </w:rPr>
              <w:t>，但構成邏輯不同</w:t>
            </w:r>
            <w:r>
              <w:rPr>
                <w:sz w:val="21"/>
                <w:szCs w:val="21"/>
              </w:rPr>
              <w:t>——</w:t>
            </w:r>
            <w:r>
              <w:rPr>
                <w:sz w:val="21"/>
                <w:szCs w:val="21"/>
              </w:rPr>
              <w:t>舊版是「典範理論時間縱深」的垂直軸，新版是「政府職能抽象至具體排序」的垂直軸，</w:t>
            </w:r>
            <w:proofErr w:type="gramStart"/>
            <w:r>
              <w:rPr>
                <w:sz w:val="21"/>
                <w:szCs w:val="21"/>
              </w:rPr>
              <w:t>考生若混</w:t>
            </w:r>
            <w:proofErr w:type="gramEnd"/>
            <w:r>
              <w:rPr>
                <w:sz w:val="21"/>
                <w:szCs w:val="21"/>
              </w:rPr>
              <w:t>用兩套水平</w:t>
            </w:r>
            <w:r>
              <w:rPr>
                <w:sz w:val="21"/>
                <w:szCs w:val="21"/>
              </w:rPr>
              <w:t>╱</w:t>
            </w:r>
            <w:r>
              <w:rPr>
                <w:sz w:val="21"/>
                <w:szCs w:val="21"/>
              </w:rPr>
              <w:t>垂直軸定義，會在申論中出現邏輯錯置。</w:t>
            </w:r>
          </w:p>
          <w:p w:rsidR="00574D39" w:rsidRDefault="007B3343">
            <w:pPr>
              <w:spacing w:line="320" w:lineRule="auto"/>
            </w:pPr>
            <w:proofErr w:type="gramStart"/>
            <w:r>
              <w:rPr>
                <w:sz w:val="21"/>
                <w:szCs w:val="21"/>
              </w:rPr>
              <w:t>•</w:t>
            </w:r>
            <w:proofErr w:type="gramEnd"/>
            <w:r>
              <w:rPr>
                <w:sz w:val="21"/>
                <w:szCs w:val="21"/>
              </w:rPr>
              <w:t xml:space="preserve">　「研究途徑」（九種方法論工具，如個案研究、真正實驗）與「治理途徑」（</w:t>
            </w:r>
            <w:r>
              <w:rPr>
                <w:sz w:val="21"/>
                <w:szCs w:val="21"/>
              </w:rPr>
              <w:t>Rosenbloom</w:t>
            </w:r>
            <w:r>
              <w:rPr>
                <w:sz w:val="21"/>
                <w:szCs w:val="21"/>
              </w:rPr>
              <w:t>的管理／政治／法律三元論，見第一章）是完全不同層次的概念，前者是「怎麼做研究」，後者是「怎麼理解公共行政的本質」，不可混為一談。</w:t>
            </w:r>
          </w:p>
        </w:tc>
      </w:tr>
    </w:tbl>
    <w:p w:rsidR="00574D39" w:rsidRDefault="00574D39">
      <w:pPr>
        <w:spacing w:after="260"/>
      </w:pPr>
    </w:p>
    <w:p w:rsidR="00574D39" w:rsidRDefault="007B3343">
      <w:pPr>
        <w:spacing w:before="400" w:after="200"/>
      </w:pPr>
      <w:r>
        <w:rPr>
          <w:b/>
          <w:bCs/>
          <w:sz w:val="32"/>
          <w:szCs w:val="32"/>
        </w:rPr>
        <w:t>【申論解題】</w:t>
      </w:r>
    </w:p>
    <w:p w:rsidR="00574D39" w:rsidRDefault="007B3343">
      <w:pPr>
        <w:spacing w:after="200" w:line="360" w:lineRule="auto"/>
        <w:ind w:firstLine="431"/>
        <w:jc w:val="both"/>
      </w:pPr>
      <w:r>
        <w:t>本章語料庫（考選部</w:t>
      </w:r>
      <w:r>
        <w:t>107-111</w:t>
      </w:r>
      <w:r>
        <w:t>年官方公告試題）查無與本章主題直接</w:t>
      </w:r>
      <w:proofErr w:type="gramStart"/>
      <w:r>
        <w:t>對應之申論</w:t>
      </w:r>
      <w:proofErr w:type="gramEnd"/>
      <w:r>
        <w:t>真題</w:t>
      </w:r>
      <w:r>
        <w:t>——</w:t>
      </w:r>
      <w:r>
        <w:t>研究方法論與典範分析屬較少單獨命題之基礎性、方法論主題，多以測驗題（單選題）形式出現。以下三題</w:t>
      </w:r>
      <w:proofErr w:type="gramStart"/>
      <w:r>
        <w:t>均為自設模</w:t>
      </w:r>
      <w:proofErr w:type="gramEnd"/>
      <w:r>
        <w:t>擬題，並已</w:t>
      </w:r>
      <w:proofErr w:type="gramStart"/>
      <w:r>
        <w:t>於各</w:t>
      </w:r>
      <w:proofErr w:type="gramEnd"/>
      <w:r>
        <w:t>題「考題出處」欄位明確標示，不得作為真實歷屆試題引用。</w:t>
      </w:r>
    </w:p>
    <w:p w:rsidR="00574D39" w:rsidRDefault="007B3343">
      <w:pPr>
        <w:spacing w:before="360" w:after="180"/>
      </w:pPr>
      <w:r>
        <w:rPr>
          <w:b/>
          <w:bCs/>
          <w:color w:val="1F4E79"/>
          <w:sz w:val="26"/>
          <w:szCs w:val="26"/>
        </w:rPr>
        <w:t>題目</w:t>
      </w:r>
      <w:proofErr w:type="gramStart"/>
      <w:r>
        <w:rPr>
          <w:b/>
          <w:bCs/>
          <w:color w:val="1F4E79"/>
          <w:sz w:val="26"/>
          <w:szCs w:val="26"/>
        </w:rPr>
        <w:t>一</w:t>
      </w:r>
      <w:proofErr w:type="gramEnd"/>
      <w:r>
        <w:rPr>
          <w:b/>
          <w:bCs/>
          <w:color w:val="1F4E79"/>
          <w:sz w:val="26"/>
          <w:szCs w:val="26"/>
        </w:rPr>
        <w:t>（</w:t>
      </w:r>
      <w:r>
        <w:rPr>
          <w:b/>
          <w:bCs/>
          <w:color w:val="1F4E79"/>
          <w:sz w:val="26"/>
          <w:szCs w:val="26"/>
        </w:rPr>
        <w:t>A</w:t>
      </w:r>
      <w:r>
        <w:rPr>
          <w:b/>
          <w:bCs/>
          <w:color w:val="1F4E79"/>
          <w:sz w:val="26"/>
          <w:szCs w:val="26"/>
        </w:rPr>
        <w:t>級基本題</w:t>
      </w:r>
      <w:r>
        <w:rPr>
          <w:b/>
          <w:bCs/>
          <w:color w:val="1F4E79"/>
          <w:sz w:val="26"/>
          <w:szCs w:val="26"/>
        </w:rPr>
        <w:t>·</w:t>
      </w:r>
      <w:r>
        <w:rPr>
          <w:b/>
          <w:bCs/>
          <w:color w:val="1F4E79"/>
          <w:sz w:val="26"/>
          <w:szCs w:val="26"/>
        </w:rPr>
        <w:t>模擬命題）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FFF3CD"/>
              <w:left w:val="single" w:sz="24" w:space="0" w:color="C9971A"/>
              <w:bottom w:val="single" w:sz="2" w:space="0" w:color="FFF3CD"/>
              <w:right w:val="single" w:sz="2" w:space="0" w:color="FFF3CD"/>
            </w:tcBorders>
            <w:shd w:val="clear" w:color="auto" w:fill="FFF3CD"/>
            <w:tcMar>
              <w:top w:w="160" w:type="dxa"/>
              <w:left w:w="220" w:type="dxa"/>
              <w:bottom w:w="160" w:type="dxa"/>
              <w:right w:w="220" w:type="dxa"/>
            </w:tcMar>
          </w:tcPr>
          <w:p w:rsidR="00574D39" w:rsidRDefault="007B3343">
            <w:pPr>
              <w:spacing w:after="100"/>
            </w:pPr>
            <w:r>
              <w:rPr>
                <w:b/>
                <w:bCs/>
                <w:color w:val="C9971A"/>
              </w:rPr>
              <w:t>考題出處（重要說明）</w:t>
            </w:r>
          </w:p>
          <w:p w:rsidR="00574D39" w:rsidRDefault="007B3343">
            <w:pPr>
              <w:spacing w:line="340" w:lineRule="auto"/>
              <w:jc w:val="both"/>
            </w:pPr>
            <w:r>
              <w:rPr>
                <w:sz w:val="21"/>
                <w:szCs w:val="21"/>
              </w:rPr>
              <w:t>本題為依本章母體教材自行設計之模擬命題，非歷屆試題。現階段語料庫（</w:t>
            </w:r>
            <w:r>
              <w:rPr>
                <w:sz w:val="21"/>
                <w:szCs w:val="21"/>
              </w:rPr>
              <w:t>107-111</w:t>
            </w:r>
            <w:r>
              <w:rPr>
                <w:sz w:val="21"/>
                <w:szCs w:val="21"/>
              </w:rPr>
              <w:t>年考選部官方公告試題）中未查得與</w:t>
            </w:r>
            <w:r>
              <w:rPr>
                <w:sz w:val="21"/>
                <w:szCs w:val="21"/>
              </w:rPr>
              <w:t>Kuhn</w:t>
            </w:r>
            <w:r>
              <w:rPr>
                <w:sz w:val="21"/>
                <w:szCs w:val="21"/>
              </w:rPr>
              <w:t>典範理論或</w:t>
            </w:r>
            <w:r>
              <w:rPr>
                <w:sz w:val="21"/>
                <w:szCs w:val="21"/>
              </w:rPr>
              <w:t>Henry</w:t>
            </w:r>
            <w:r>
              <w:rPr>
                <w:sz w:val="21"/>
                <w:szCs w:val="21"/>
              </w:rPr>
              <w:t>典範分期直接對應</w:t>
            </w:r>
            <w:proofErr w:type="gramStart"/>
            <w:r>
              <w:rPr>
                <w:sz w:val="21"/>
                <w:szCs w:val="21"/>
              </w:rPr>
              <w:t>之申論真題，爰</w:t>
            </w:r>
            <w:proofErr w:type="gramEnd"/>
            <w:r>
              <w:rPr>
                <w:sz w:val="21"/>
                <w:szCs w:val="21"/>
              </w:rPr>
              <w:t>以模擬題形式呈現。</w:t>
            </w:r>
          </w:p>
        </w:tc>
      </w:tr>
    </w:tbl>
    <w:p w:rsidR="00574D39" w:rsidRDefault="00574D39">
      <w:pPr>
        <w:spacing w:after="120"/>
      </w:pPr>
    </w:p>
    <w:p w:rsidR="00574D39" w:rsidRDefault="007B3343">
      <w:pPr>
        <w:spacing w:after="200" w:line="360" w:lineRule="auto"/>
        <w:ind w:firstLine="431"/>
        <w:jc w:val="both"/>
      </w:pPr>
      <w:r>
        <w:t>「何謂典範（</w:t>
      </w:r>
      <w:r>
        <w:t>paradigm</w:t>
      </w:r>
      <w:r>
        <w:t>）？請說明</w:t>
      </w:r>
      <w:r>
        <w:t>Thomas Kuhn</w:t>
      </w:r>
      <w:r>
        <w:t>典範轉移之循環過程，並舉</w:t>
      </w:r>
      <w:proofErr w:type="gramStart"/>
      <w:r>
        <w:t>一</w:t>
      </w:r>
      <w:proofErr w:type="gramEnd"/>
      <w:r>
        <w:t>行政學理論之演變為例說明之。（</w:t>
      </w:r>
      <w:r>
        <w:t>25</w:t>
      </w:r>
      <w:r>
        <w:t>分）」</w:t>
      </w:r>
    </w:p>
    <w:p w:rsidR="00574D39" w:rsidRDefault="007B3343">
      <w:pPr>
        <w:spacing w:before="160" w:after="100"/>
      </w:pPr>
      <w:r>
        <w:rPr>
          <w:b/>
          <w:bCs/>
          <w:color w:val="444444"/>
          <w:sz w:val="21"/>
          <w:szCs w:val="21"/>
        </w:rPr>
        <w:t>【題型判斷】</w:t>
      </w:r>
    </w:p>
    <w:p w:rsidR="00574D39" w:rsidRDefault="007B3343">
      <w:pPr>
        <w:spacing w:after="200" w:line="360" w:lineRule="auto"/>
        <w:ind w:firstLine="431"/>
        <w:jc w:val="both"/>
      </w:pPr>
      <w:r>
        <w:t>這是一題「定義＋歷程闡述＋舉例應用題」，考生須先精</w:t>
      </w:r>
      <w:proofErr w:type="gramStart"/>
      <w:r>
        <w:t>準</w:t>
      </w:r>
      <w:proofErr w:type="gramEnd"/>
      <w:r>
        <w:t>定義典範，再完整說明典範轉</w:t>
      </w:r>
      <w:r>
        <w:lastRenderedPageBreak/>
        <w:t>移之五階段循環，最後以行政學史上之實例（如政治行政分立</w:t>
      </w:r>
      <w:r>
        <w:t>→</w:t>
      </w:r>
      <w:r>
        <w:t>行為時期</w:t>
      </w:r>
      <w:r>
        <w:t>→</w:t>
      </w:r>
      <w:r>
        <w:t>治理典範）具體印證，缺少舉例應用會使答案停留在抽象背誦層次。</w:t>
      </w:r>
    </w:p>
    <w:p w:rsidR="00574D39" w:rsidRDefault="007B3343">
      <w:pPr>
        <w:spacing w:before="160" w:after="100"/>
      </w:pPr>
      <w:r>
        <w:rPr>
          <w:b/>
          <w:bCs/>
          <w:color w:val="444444"/>
          <w:sz w:val="21"/>
          <w:szCs w:val="21"/>
        </w:rPr>
        <w:t>【關鍵字】</w:t>
      </w:r>
    </w:p>
    <w:p w:rsidR="00574D39" w:rsidRDefault="007B3343">
      <w:pPr>
        <w:spacing w:after="200" w:line="360" w:lineRule="auto"/>
        <w:ind w:firstLine="431"/>
        <w:jc w:val="both"/>
      </w:pPr>
      <w:r>
        <w:t xml:space="preserve">Kuhn </w:t>
      </w:r>
      <w:r>
        <w:t>＋</w:t>
      </w:r>
      <w:r>
        <w:t xml:space="preserve"> </w:t>
      </w:r>
      <w:r>
        <w:t>典範</w:t>
      </w:r>
      <w:r>
        <w:t xml:space="preserve"> </w:t>
      </w:r>
      <w:r>
        <w:t>＋</w:t>
      </w:r>
      <w:r>
        <w:t xml:space="preserve"> </w:t>
      </w:r>
      <w:r>
        <w:t>常態科學</w:t>
      </w:r>
      <w:r>
        <w:t xml:space="preserve"> </w:t>
      </w:r>
      <w:r>
        <w:t>＋</w:t>
      </w:r>
      <w:r>
        <w:t xml:space="preserve"> </w:t>
      </w:r>
      <w:r>
        <w:t>科學革命</w:t>
      </w:r>
      <w:r>
        <w:t xml:space="preserve"> </w:t>
      </w:r>
      <w:r>
        <w:t>＋</w:t>
      </w:r>
      <w:r>
        <w:t xml:space="preserve"> </w:t>
      </w:r>
      <w:r>
        <w:t>不可</w:t>
      </w:r>
      <w:proofErr w:type="gramStart"/>
      <w:r>
        <w:t>共量性</w:t>
      </w:r>
      <w:proofErr w:type="gramEnd"/>
      <w:r>
        <w:t>。</w:t>
      </w:r>
    </w:p>
    <w:p w:rsidR="00574D39" w:rsidRDefault="007B3343">
      <w:pPr>
        <w:spacing w:before="160" w:after="100"/>
      </w:pPr>
      <w:r>
        <w:rPr>
          <w:b/>
          <w:bCs/>
          <w:color w:val="444444"/>
          <w:sz w:val="21"/>
          <w:szCs w:val="21"/>
        </w:rPr>
        <w:t>【答題架構】</w:t>
      </w:r>
    </w:p>
    <w:p w:rsidR="00574D39" w:rsidRDefault="007B3343">
      <w:pPr>
        <w:pStyle w:val="a4"/>
        <w:numPr>
          <w:ilvl w:val="0"/>
          <w:numId w:val="2"/>
        </w:numPr>
        <w:spacing w:after="120" w:line="340" w:lineRule="auto"/>
      </w:pPr>
      <w:r>
        <w:t>一、前言：典範之定義（</w:t>
      </w:r>
      <w:r>
        <w:t>Kuhn, 1962</w:t>
      </w:r>
      <w:r>
        <w:t>）</w:t>
      </w:r>
    </w:p>
    <w:p w:rsidR="00574D39" w:rsidRDefault="007B3343">
      <w:pPr>
        <w:pStyle w:val="a4"/>
        <w:numPr>
          <w:ilvl w:val="0"/>
          <w:numId w:val="2"/>
        </w:numPr>
        <w:spacing w:after="120" w:line="340" w:lineRule="auto"/>
      </w:pPr>
      <w:r>
        <w:t>二、典範轉移之五階段循環（前典範</w:t>
      </w:r>
      <w:r>
        <w:t>→</w:t>
      </w:r>
      <w:r>
        <w:t>常態科學</w:t>
      </w:r>
      <w:r>
        <w:t>→</w:t>
      </w:r>
      <w:r>
        <w:t>危機</w:t>
      </w:r>
      <w:r>
        <w:t>→</w:t>
      </w:r>
      <w:r>
        <w:t>科學革命</w:t>
      </w:r>
      <w:r>
        <w:t>→</w:t>
      </w:r>
      <w:r>
        <w:t>新典範）</w:t>
      </w:r>
    </w:p>
    <w:p w:rsidR="00574D39" w:rsidRDefault="007B3343">
      <w:pPr>
        <w:pStyle w:val="a4"/>
        <w:numPr>
          <w:ilvl w:val="0"/>
          <w:numId w:val="2"/>
        </w:numPr>
        <w:spacing w:after="120" w:line="340" w:lineRule="auto"/>
      </w:pPr>
      <w:r>
        <w:t>三、舉例：行政學典範之演變（如</w:t>
      </w:r>
      <w:r>
        <w:t>Wilson</w:t>
      </w:r>
      <w:r>
        <w:t>政治行政二分典範</w:t>
      </w:r>
      <w:r>
        <w:t>→</w:t>
      </w:r>
      <w:r>
        <w:t>行為時期人群關係典範</w:t>
      </w:r>
      <w:r>
        <w:t>→</w:t>
      </w:r>
      <w:r>
        <w:t>當代治理典範）</w:t>
      </w:r>
    </w:p>
    <w:p w:rsidR="00574D39" w:rsidRDefault="007B3343">
      <w:pPr>
        <w:pStyle w:val="a4"/>
        <w:numPr>
          <w:ilvl w:val="0"/>
          <w:numId w:val="2"/>
        </w:numPr>
        <w:spacing w:after="120" w:line="340" w:lineRule="auto"/>
      </w:pPr>
      <w:r>
        <w:t>四、結論：典範轉移之意涵</w:t>
      </w:r>
      <w:proofErr w:type="gramStart"/>
      <w:r>
        <w:t>—</w:t>
      </w:r>
      <w:proofErr w:type="gramEnd"/>
      <w:r>
        <w:t>—</w:t>
      </w:r>
      <w:r>
        <w:t>不可</w:t>
      </w:r>
      <w:proofErr w:type="gramStart"/>
      <w:r>
        <w:t>共量</w:t>
      </w:r>
      <w:proofErr w:type="gramEnd"/>
      <w:r>
        <w:t>性與重疊並存</w:t>
      </w:r>
    </w:p>
    <w:p w:rsidR="00574D39" w:rsidRDefault="007B3343">
      <w:pPr>
        <w:spacing w:before="160" w:after="100"/>
      </w:pPr>
      <w:r>
        <w:rPr>
          <w:b/>
          <w:bCs/>
          <w:color w:val="444444"/>
          <w:sz w:val="21"/>
          <w:szCs w:val="21"/>
        </w:rPr>
        <w:t>【參考答案</w:t>
      </w:r>
      <w:r>
        <w:rPr>
          <w:b/>
          <w:bCs/>
          <w:color w:val="444444"/>
          <w:sz w:val="21"/>
          <w:szCs w:val="21"/>
        </w:rPr>
        <w:t>·</w:t>
      </w:r>
      <w:r>
        <w:rPr>
          <w:b/>
          <w:bCs/>
          <w:color w:val="444444"/>
          <w:sz w:val="21"/>
          <w:szCs w:val="21"/>
        </w:rPr>
        <w:t>基本得分版】（約</w:t>
      </w:r>
      <w:r>
        <w:rPr>
          <w:b/>
          <w:bCs/>
          <w:color w:val="444444"/>
          <w:sz w:val="21"/>
          <w:szCs w:val="21"/>
        </w:rPr>
        <w:t>500-700</w:t>
      </w:r>
      <w:r>
        <w:rPr>
          <w:b/>
          <w:bCs/>
          <w:color w:val="444444"/>
          <w:sz w:val="21"/>
          <w:szCs w:val="21"/>
        </w:rPr>
        <w:t>字，考場時間不夠時至少拿到基本分）</w:t>
      </w:r>
    </w:p>
    <w:p w:rsidR="00574D39" w:rsidRDefault="007B3343">
      <w:pPr>
        <w:spacing w:after="200" w:line="360" w:lineRule="auto"/>
        <w:ind w:firstLine="431"/>
        <w:jc w:val="both"/>
      </w:pPr>
      <w:r>
        <w:t>典範（</w:t>
      </w:r>
      <w:r>
        <w:t>paradigm</w:t>
      </w:r>
      <w:r>
        <w:t>）由</w:t>
      </w:r>
      <w:r>
        <w:t>Thomas Kuhn</w:t>
      </w:r>
      <w:r>
        <w:t>於</w:t>
      </w:r>
      <w:r>
        <w:t>1962</w:t>
      </w:r>
      <w:r>
        <w:t>年《科學革命的結構》一書提出，指一門學科中規範問題概念、假設、方法、理論與語言的基本共識。典範具有高度共識、並非獨一無二、且不具超越時效性，會被挑戰與革命所取代。</w:t>
      </w:r>
    </w:p>
    <w:p w:rsidR="00574D39" w:rsidRDefault="007B3343">
      <w:pPr>
        <w:spacing w:after="200" w:line="360" w:lineRule="auto"/>
        <w:ind w:firstLine="431"/>
        <w:jc w:val="both"/>
      </w:pPr>
      <w:r>
        <w:t>典範轉移之循環過程分為五階段：前典範時期（多元零散的觀點並存，尚無主導共識）</w:t>
      </w:r>
      <w:r>
        <w:t>→</w:t>
      </w:r>
      <w:r>
        <w:t>常態科學（典範取得主導地位，學者依此典範進行「解謎」式研究）</w:t>
      </w:r>
      <w:r>
        <w:t>→</w:t>
      </w:r>
      <w:r>
        <w:t>危機（累積無法以既有典範解釋之異例）</w:t>
      </w:r>
      <w:r>
        <w:t>→</w:t>
      </w:r>
      <w:r>
        <w:t>科學革命（新典範取代舊典範之關鍵轉折）</w:t>
      </w:r>
      <w:r>
        <w:t>→</w:t>
      </w:r>
      <w:r>
        <w:t>新典範（新共識確立，進入下一輪常態科學）。新舊典範之間具有「不可</w:t>
      </w:r>
      <w:proofErr w:type="gramStart"/>
      <w:r>
        <w:t>共量性</w:t>
      </w:r>
      <w:proofErr w:type="gramEnd"/>
      <w:r>
        <w:t>」，並非全然取代關係。</w:t>
      </w:r>
    </w:p>
    <w:p w:rsidR="00574D39" w:rsidRDefault="007B3343">
      <w:pPr>
        <w:spacing w:after="200" w:line="360" w:lineRule="auto"/>
        <w:ind w:firstLine="431"/>
        <w:jc w:val="both"/>
      </w:pPr>
      <w:r>
        <w:t>以行政學為例，早期</w:t>
      </w:r>
      <w:r>
        <w:t>Wilson</w:t>
      </w:r>
      <w:r>
        <w:t>政治行政二分典範，主張行政應獨立於政治之外、追求價值中立的效率；此一典範其後因霍桑實驗發現社會心理因素之重要性、</w:t>
      </w:r>
      <w:r>
        <w:t>Simon</w:t>
      </w:r>
      <w:r>
        <w:t>批判行政原則為相互矛盾之諺語，逐漸累積異例，</w:t>
      </w:r>
      <w:r>
        <w:t>pr</w:t>
      </w:r>
      <w:r>
        <w:t>omoting</w:t>
      </w:r>
      <w:r>
        <w:t>典範轉向強調人性與有限理性之行為典範；當代則進一步轉向治理典範，強調網絡協力與多元價值。此一演變歷程，正是</w:t>
      </w:r>
      <w:r>
        <w:t>Kuhn</w:t>
      </w:r>
      <w:r>
        <w:t>典範轉移理論在行政學史上之具體印證。</w:t>
      </w:r>
    </w:p>
    <w:p w:rsidR="00574D39" w:rsidRDefault="007B3343">
      <w:pPr>
        <w:spacing w:before="160" w:after="100"/>
      </w:pPr>
      <w:r>
        <w:rPr>
          <w:b/>
          <w:bCs/>
          <w:color w:val="444444"/>
          <w:sz w:val="21"/>
          <w:szCs w:val="21"/>
        </w:rPr>
        <w:lastRenderedPageBreak/>
        <w:t>【參考答案</w:t>
      </w:r>
      <w:r>
        <w:rPr>
          <w:b/>
          <w:bCs/>
          <w:color w:val="444444"/>
          <w:sz w:val="21"/>
          <w:szCs w:val="21"/>
        </w:rPr>
        <w:t>·</w:t>
      </w:r>
      <w:r>
        <w:rPr>
          <w:b/>
          <w:bCs/>
          <w:color w:val="444444"/>
          <w:sz w:val="21"/>
          <w:szCs w:val="21"/>
        </w:rPr>
        <w:t>標準版】（約</w:t>
      </w:r>
      <w:r>
        <w:rPr>
          <w:b/>
          <w:bCs/>
          <w:color w:val="444444"/>
          <w:sz w:val="21"/>
          <w:szCs w:val="21"/>
        </w:rPr>
        <w:t>1,000-1,500</w:t>
      </w:r>
      <w:r>
        <w:rPr>
          <w:b/>
          <w:bCs/>
          <w:color w:val="444444"/>
          <w:sz w:val="21"/>
          <w:szCs w:val="21"/>
        </w:rPr>
        <w:t>字，主要示範答案）</w:t>
      </w:r>
    </w:p>
    <w:p w:rsidR="00574D39" w:rsidRDefault="007B3343">
      <w:pPr>
        <w:spacing w:after="200" w:line="360" w:lineRule="auto"/>
        <w:ind w:firstLine="431"/>
        <w:jc w:val="both"/>
      </w:pPr>
      <w:r>
        <w:t>一、前言</w:t>
      </w:r>
    </w:p>
    <w:p w:rsidR="00574D39" w:rsidRDefault="007B3343">
      <w:pPr>
        <w:spacing w:after="200" w:line="360" w:lineRule="auto"/>
        <w:ind w:firstLine="431"/>
        <w:jc w:val="both"/>
      </w:pPr>
      <w:r>
        <w:t>Thomas Kuhn</w:t>
      </w:r>
      <w:r>
        <w:t>於</w:t>
      </w:r>
      <w:r>
        <w:t>1962</w:t>
      </w:r>
      <w:r>
        <w:t>年《科學革命的結構》一書中提出「典範」（</w:t>
      </w:r>
      <w:r>
        <w:t>paradigm</w:t>
      </w:r>
      <w:r>
        <w:t>）概念，指一門學科中規範問題概念、基本假設、研究方法、理論與共同語言之基本共識，並在該學科社群中取得正當地位。典範之本質是一種廣泛性的信念體系，具有高度共識、並非獨一無二，且會被挑戰</w:t>
      </w:r>
      <w:r>
        <w:t>與革命所取代，不具超越時效性</w:t>
      </w:r>
      <w:proofErr w:type="gramStart"/>
      <w:r>
        <w:t>—</w:t>
      </w:r>
      <w:proofErr w:type="gramEnd"/>
      <w:r>
        <w:t>—</w:t>
      </w:r>
      <w:r>
        <w:t>此一概念不僅適用於自然科學，也被廣泛借用來理解公共行政學之發展歷程。</w:t>
      </w:r>
    </w:p>
    <w:p w:rsidR="00574D39" w:rsidRDefault="007B3343">
      <w:pPr>
        <w:spacing w:after="200" w:line="360" w:lineRule="auto"/>
        <w:ind w:firstLine="431"/>
        <w:jc w:val="both"/>
      </w:pPr>
      <w:r>
        <w:t>二、典範轉移之五階段循環</w:t>
      </w:r>
    </w:p>
    <w:p w:rsidR="00574D39" w:rsidRDefault="007B3343">
      <w:pPr>
        <w:pStyle w:val="a4"/>
        <w:numPr>
          <w:ilvl w:val="0"/>
          <w:numId w:val="2"/>
        </w:numPr>
        <w:spacing w:after="120" w:line="340" w:lineRule="auto"/>
      </w:pPr>
      <w:r>
        <w:t>（一）前典範時期：學科尚無主導性共識，多元零散之觀點並存，缺乏共同的問題意識與方法論基礎。</w:t>
      </w:r>
    </w:p>
    <w:p w:rsidR="00574D39" w:rsidRDefault="007B3343">
      <w:pPr>
        <w:pStyle w:val="a4"/>
        <w:numPr>
          <w:ilvl w:val="0"/>
          <w:numId w:val="2"/>
        </w:numPr>
        <w:spacing w:after="120" w:line="340" w:lineRule="auto"/>
      </w:pPr>
      <w:r>
        <w:t>（二）常態科學：某一典範取得主導地位後，學科</w:t>
      </w:r>
      <w:proofErr w:type="gramStart"/>
      <w:r>
        <w:t>社群依循</w:t>
      </w:r>
      <w:proofErr w:type="gramEnd"/>
      <w:r>
        <w:t>此典範進行「解謎」</w:t>
      </w:r>
      <w:proofErr w:type="gramStart"/>
      <w:r>
        <w:t>式的常</w:t>
      </w:r>
      <w:proofErr w:type="gramEnd"/>
      <w:r>
        <w:t>規研究，累積知識。</w:t>
      </w:r>
    </w:p>
    <w:p w:rsidR="00574D39" w:rsidRDefault="007B3343">
      <w:pPr>
        <w:pStyle w:val="a4"/>
        <w:numPr>
          <w:ilvl w:val="0"/>
          <w:numId w:val="2"/>
        </w:numPr>
        <w:spacing w:after="120" w:line="340" w:lineRule="auto"/>
      </w:pPr>
      <w:r>
        <w:t>（三）危機：常態科學運作過程中，逐漸累積既有典範無法圓滿解釋之異例（</w:t>
      </w:r>
      <w:r>
        <w:t>anomaly</w:t>
      </w:r>
      <w:r>
        <w:t>），</w:t>
      </w:r>
      <w:proofErr w:type="gramStart"/>
      <w:r>
        <w:t>當異例</w:t>
      </w:r>
      <w:proofErr w:type="gramEnd"/>
      <w:r>
        <w:t>累積至一定程度，即觸發學科社群對既有典範正當性之質疑。</w:t>
      </w:r>
    </w:p>
    <w:p w:rsidR="00574D39" w:rsidRDefault="007B3343">
      <w:pPr>
        <w:pStyle w:val="a4"/>
        <w:numPr>
          <w:ilvl w:val="0"/>
          <w:numId w:val="2"/>
        </w:numPr>
        <w:spacing w:after="120" w:line="340" w:lineRule="auto"/>
      </w:pPr>
      <w:r>
        <w:t>（四）科學革命：新典範提出並取代舊典範之關鍵轉折</w:t>
      </w:r>
      <w:r>
        <w:t>點，此一過程並非單純的知識累積，而是問題意識與世界觀之根本轉變。</w:t>
      </w:r>
    </w:p>
    <w:p w:rsidR="00574D39" w:rsidRDefault="007B3343">
      <w:pPr>
        <w:pStyle w:val="a4"/>
        <w:numPr>
          <w:ilvl w:val="0"/>
          <w:numId w:val="2"/>
        </w:numPr>
        <w:spacing w:after="120" w:line="340" w:lineRule="auto"/>
      </w:pPr>
      <w:r>
        <w:t>（五）新典範：新共識確立後，學科進入下一輪常態科學，直至新的異例再度累積、觸發下一次典範轉移。</w:t>
      </w:r>
    </w:p>
    <w:p w:rsidR="00574D39" w:rsidRDefault="007B3343">
      <w:pPr>
        <w:spacing w:after="200" w:line="360" w:lineRule="auto"/>
        <w:ind w:firstLine="431"/>
        <w:jc w:val="both"/>
      </w:pPr>
      <w:r>
        <w:t>三、以行政學典範演變為例</w:t>
      </w:r>
    </w:p>
    <w:p w:rsidR="00574D39" w:rsidRDefault="007B3343">
      <w:pPr>
        <w:spacing w:after="200" w:line="360" w:lineRule="auto"/>
        <w:ind w:firstLine="431"/>
        <w:jc w:val="both"/>
      </w:pPr>
      <w:r>
        <w:t>行政學之典範演變即為此</w:t>
      </w:r>
      <w:proofErr w:type="gramStart"/>
      <w:r>
        <w:t>一</w:t>
      </w:r>
      <w:proofErr w:type="gramEnd"/>
      <w:r>
        <w:t>循環之具體印證：</w:t>
      </w:r>
      <w:r>
        <w:t>Wilson</w:t>
      </w:r>
      <w:r>
        <w:t>於</w:t>
      </w:r>
      <w:r>
        <w:t>1887</w:t>
      </w:r>
      <w:r>
        <w:t>年提出政治行政二分之古典典範，主張行政應獨立於政治之外、以價值中立追求效率</w:t>
      </w:r>
      <w:proofErr w:type="gramStart"/>
      <w:r>
        <w:t>—</w:t>
      </w:r>
      <w:proofErr w:type="gramEnd"/>
      <w:r>
        <w:t>—</w:t>
      </w:r>
      <w:r>
        <w:t>此一典範主導公共行政學界近半世紀。</w:t>
      </w:r>
      <w:proofErr w:type="gramStart"/>
      <w:r>
        <w:t>惟隨霍桑</w:t>
      </w:r>
      <w:proofErr w:type="gramEnd"/>
      <w:r>
        <w:t>實驗發現社會心理因素對生產力之關鍵影響、</w:t>
      </w:r>
      <w:r>
        <w:t>Simon</w:t>
      </w:r>
      <w:r>
        <w:t>批判行政原則不過是相互矛盾的諺語，異例逐漸累積，促成向行為典範之轉移，強調人性、有限理性與組</w:t>
      </w:r>
      <w:r>
        <w:t>織互動；</w:t>
      </w:r>
      <w:r>
        <w:lastRenderedPageBreak/>
        <w:t>其後又因新公共行政運動對社會公平之訴求、新公共管理對市場機制之引入，典範持續演化至今日之治理典範，強調網絡協力、多元價值與公私夥伴關係。</w:t>
      </w:r>
    </w:p>
    <w:p w:rsidR="00574D39" w:rsidRDefault="007B3343">
      <w:pPr>
        <w:spacing w:after="200" w:line="360" w:lineRule="auto"/>
        <w:ind w:firstLine="431"/>
        <w:jc w:val="both"/>
      </w:pPr>
      <w:r>
        <w:t>四、結論</w:t>
      </w:r>
    </w:p>
    <w:p w:rsidR="00574D39" w:rsidRDefault="007B3343">
      <w:pPr>
        <w:spacing w:after="200" w:line="360" w:lineRule="auto"/>
        <w:ind w:firstLine="431"/>
        <w:jc w:val="both"/>
      </w:pPr>
      <w:r>
        <w:t>Kuhn</w:t>
      </w:r>
      <w:r>
        <w:t>典範轉移理論提醒吾人：學科知識之進展並非單純的線性累積，而是伴隨著危機與革命的階段性跳躍；新舊典範之間具有「不可</w:t>
      </w:r>
      <w:proofErr w:type="gramStart"/>
      <w:r>
        <w:t>共量性</w:t>
      </w:r>
      <w:proofErr w:type="gramEnd"/>
      <w:r>
        <w:t>」，彼此立基於不同的問題意識與價值假設，難以簡單化約比較。行政學典範之演變歷程，正是此一理論最生動的實例，也提醒研究者應時刻警覺既有典範可能存在之侷限與異例。</w:t>
      </w:r>
    </w:p>
    <w:p w:rsidR="00574D39" w:rsidRDefault="007B3343">
      <w:pPr>
        <w:spacing w:before="160" w:after="100"/>
      </w:pPr>
      <w:r>
        <w:rPr>
          <w:b/>
          <w:bCs/>
          <w:color w:val="444444"/>
          <w:sz w:val="21"/>
          <w:szCs w:val="21"/>
        </w:rPr>
        <w:t>【參考答案</w:t>
      </w:r>
      <w:r>
        <w:rPr>
          <w:b/>
          <w:bCs/>
          <w:color w:val="444444"/>
          <w:sz w:val="21"/>
          <w:szCs w:val="21"/>
        </w:rPr>
        <w:t>·</w:t>
      </w:r>
      <w:r>
        <w:rPr>
          <w:b/>
          <w:bCs/>
          <w:color w:val="444444"/>
          <w:sz w:val="21"/>
          <w:szCs w:val="21"/>
        </w:rPr>
        <w:t>高分版補充】（在標準版基礎上，加入學者、比較、批判、當代案</w:t>
      </w:r>
      <w:r>
        <w:rPr>
          <w:b/>
          <w:bCs/>
          <w:color w:val="444444"/>
          <w:sz w:val="21"/>
          <w:szCs w:val="21"/>
        </w:rPr>
        <w:t>例、</w:t>
      </w:r>
      <w:r>
        <w:rPr>
          <w:b/>
          <w:bCs/>
          <w:color w:val="444444"/>
          <w:sz w:val="21"/>
          <w:szCs w:val="21"/>
        </w:rPr>
        <w:t>AI</w:t>
      </w:r>
      <w:r>
        <w:rPr>
          <w:b/>
          <w:bCs/>
          <w:color w:val="444444"/>
          <w:sz w:val="21"/>
          <w:szCs w:val="21"/>
        </w:rPr>
        <w:t>治理、臺灣實務）</w:t>
      </w:r>
    </w:p>
    <w:p w:rsidR="00574D39" w:rsidRDefault="007B3343">
      <w:pPr>
        <w:pStyle w:val="a4"/>
        <w:numPr>
          <w:ilvl w:val="0"/>
          <w:numId w:val="2"/>
        </w:numPr>
        <w:spacing w:after="120" w:line="340" w:lineRule="auto"/>
      </w:pPr>
      <w:r>
        <w:t>補充學者對比：可援引</w:t>
      </w:r>
      <w:r>
        <w:t>Henry</w:t>
      </w:r>
      <w:r>
        <w:t>五階段典範分期或</w:t>
      </w:r>
      <w:r>
        <w:t>Ostrom</w:t>
      </w:r>
      <w:r>
        <w:t>「</w:t>
      </w:r>
      <w:r>
        <w:t>Wilson</w:t>
      </w:r>
      <w:r>
        <w:t>典範</w:t>
      </w:r>
      <w:r>
        <w:t>→</w:t>
      </w:r>
      <w:r>
        <w:t>民主行政典範」之具體轉移過程，作為更細緻的行政學典範轉移實例。</w:t>
      </w:r>
    </w:p>
    <w:p w:rsidR="00574D39" w:rsidRDefault="007B3343">
      <w:pPr>
        <w:pStyle w:val="a4"/>
        <w:numPr>
          <w:ilvl w:val="0"/>
          <w:numId w:val="2"/>
        </w:numPr>
        <w:spacing w:after="120" w:line="340" w:lineRule="auto"/>
      </w:pPr>
      <w:r>
        <w:t>補充批判視角：可指出</w:t>
      </w:r>
      <w:r>
        <w:t>Kuhn</w:t>
      </w:r>
      <w:r>
        <w:t>典範理論之「不可</w:t>
      </w:r>
      <w:proofErr w:type="gramStart"/>
      <w:r>
        <w:t>共量性</w:t>
      </w:r>
      <w:proofErr w:type="gramEnd"/>
      <w:r>
        <w:t>」若被過度強調，可能使新舊典範間之對話與整合變得困難</w:t>
      </w:r>
      <w:r>
        <w:t>——</w:t>
      </w:r>
      <w:r>
        <w:t>而</w:t>
      </w:r>
      <w:r>
        <w:t>Denhardt</w:t>
      </w:r>
      <w:r>
        <w:t>主張的「典範重疊並存」，正是對</w:t>
      </w:r>
      <w:r>
        <w:t>Kuhn</w:t>
      </w:r>
      <w:r>
        <w:t>理論在行政學應用上的修正補充。</w:t>
      </w:r>
    </w:p>
    <w:p w:rsidR="00574D39" w:rsidRDefault="007B3343">
      <w:pPr>
        <w:pStyle w:val="a4"/>
        <w:numPr>
          <w:ilvl w:val="0"/>
          <w:numId w:val="2"/>
        </w:numPr>
        <w:spacing w:after="120" w:line="340" w:lineRule="auto"/>
      </w:pPr>
      <w:r>
        <w:t>補充</w:t>
      </w:r>
      <w:r>
        <w:t>AI</w:t>
      </w:r>
      <w:r>
        <w:t>治理視角：可指出</w:t>
      </w:r>
      <w:r>
        <w:t>AI</w:t>
      </w:r>
      <w:r>
        <w:t>輔助決策系統之興起，或許正促成公共行政學界醞釀新一輪典範轉移</w:t>
      </w:r>
      <w:proofErr w:type="gramStart"/>
      <w:r>
        <w:t>—</w:t>
      </w:r>
      <w:proofErr w:type="gramEnd"/>
      <w:r>
        <w:t>—</w:t>
      </w:r>
      <w:r>
        <w:t>演算法治理既非純粹古典效率典範，亦非純粹治理典範，異例（如</w:t>
      </w:r>
      <w:r>
        <w:t>演算法黑箱、責任歸屬模糊）正在累積，是否會催生新典範，值得以</w:t>
      </w:r>
      <w:r>
        <w:t>Kuhn</w:t>
      </w:r>
      <w:r>
        <w:t>理論持續觀察。</w:t>
      </w:r>
    </w:p>
    <w:p w:rsidR="00574D39" w:rsidRDefault="007B3343">
      <w:pPr>
        <w:pStyle w:val="a4"/>
        <w:numPr>
          <w:ilvl w:val="0"/>
          <w:numId w:val="2"/>
        </w:numPr>
        <w:spacing w:after="120" w:line="340" w:lineRule="auto"/>
      </w:pPr>
      <w:r>
        <w:t>補充臺灣行政實務：我國本土行政學研究從</w:t>
      </w:r>
      <w:proofErr w:type="gramStart"/>
      <w:r>
        <w:t>單純繼</w:t>
      </w:r>
      <w:proofErr w:type="gramEnd"/>
      <w:r>
        <w:t>受歐美理論，逐漸走向本土化建構（如本書提出之「</w:t>
      </w:r>
      <w:r>
        <w:t>25-3-3-4-7</w:t>
      </w:r>
      <w:r>
        <w:t>」架構），本身即可視為一次小型的方法論典範調整。</w:t>
      </w:r>
    </w:p>
    <w:p w:rsidR="00574D39" w:rsidRDefault="007B3343">
      <w:pPr>
        <w:spacing w:before="160" w:after="100"/>
      </w:pPr>
      <w:r>
        <w:rPr>
          <w:b/>
          <w:bCs/>
          <w:color w:val="444444"/>
          <w:sz w:val="21"/>
          <w:szCs w:val="21"/>
        </w:rPr>
        <w:t>【得分關鍵】</w:t>
      </w:r>
    </w:p>
    <w:p w:rsidR="00574D39" w:rsidRDefault="007B3343">
      <w:pPr>
        <w:pStyle w:val="a4"/>
        <w:numPr>
          <w:ilvl w:val="0"/>
          <w:numId w:val="2"/>
        </w:numPr>
        <w:spacing w:after="120" w:line="340" w:lineRule="auto"/>
      </w:pPr>
      <w:r>
        <w:t>典範轉移五階段須完整列出且說明</w:t>
      </w:r>
      <w:proofErr w:type="gramStart"/>
      <w:r>
        <w:t>清楚，</w:t>
      </w:r>
      <w:proofErr w:type="gramEnd"/>
      <w:r>
        <w:t>不可只列名稱、缺乏內涵闡述。</w:t>
      </w:r>
    </w:p>
    <w:p w:rsidR="00574D39" w:rsidRDefault="007B3343">
      <w:pPr>
        <w:pStyle w:val="a4"/>
        <w:numPr>
          <w:ilvl w:val="0"/>
          <w:numId w:val="2"/>
        </w:numPr>
        <w:spacing w:after="120" w:line="340" w:lineRule="auto"/>
      </w:pPr>
      <w:r>
        <w:t>「舉例說明」是本題拿高分之關鍵，若只有理論背誦、缺乏行政學史之具體例證，會被視為未完整回應題目要求。</w:t>
      </w:r>
    </w:p>
    <w:p w:rsidR="00574D39" w:rsidRDefault="007B3343">
      <w:pPr>
        <w:pStyle w:val="a4"/>
        <w:numPr>
          <w:ilvl w:val="0"/>
          <w:numId w:val="2"/>
        </w:numPr>
        <w:spacing w:after="120" w:line="340" w:lineRule="auto"/>
      </w:pPr>
      <w:r>
        <w:lastRenderedPageBreak/>
        <w:t>「不可</w:t>
      </w:r>
      <w:proofErr w:type="gramStart"/>
      <w:r>
        <w:t>共量性</w:t>
      </w:r>
      <w:proofErr w:type="gramEnd"/>
      <w:r>
        <w:t>」是</w:t>
      </w:r>
      <w:r>
        <w:t>Kuhn</w:t>
      </w:r>
      <w:r>
        <w:t>理論之精髓，遺漏此一概念會使結論流於表面。</w:t>
      </w:r>
    </w:p>
    <w:p w:rsidR="00574D39" w:rsidRDefault="007B3343">
      <w:pPr>
        <w:spacing w:before="160" w:after="100"/>
      </w:pPr>
      <w:r>
        <w:rPr>
          <w:b/>
          <w:bCs/>
          <w:color w:val="444444"/>
          <w:sz w:val="21"/>
          <w:szCs w:val="21"/>
        </w:rPr>
        <w:t>【常見失分】</w:t>
      </w:r>
    </w:p>
    <w:p w:rsidR="00574D39" w:rsidRDefault="007B3343">
      <w:pPr>
        <w:pStyle w:val="a4"/>
        <w:numPr>
          <w:ilvl w:val="0"/>
          <w:numId w:val="2"/>
        </w:numPr>
        <w:spacing w:after="120" w:line="340" w:lineRule="auto"/>
      </w:pPr>
      <w:r>
        <w:t>❌</w:t>
      </w:r>
      <w:r>
        <w:t xml:space="preserve"> </w:t>
      </w:r>
      <w:r>
        <w:t>只寫典範的定義，未展開五階段循環過程。</w:t>
      </w:r>
    </w:p>
    <w:p w:rsidR="00574D39" w:rsidRDefault="007B3343">
      <w:pPr>
        <w:pStyle w:val="a4"/>
        <w:numPr>
          <w:ilvl w:val="0"/>
          <w:numId w:val="2"/>
        </w:numPr>
        <w:spacing w:after="120" w:line="340" w:lineRule="auto"/>
      </w:pPr>
      <w:r>
        <w:t>❌</w:t>
      </w:r>
      <w:r>
        <w:t xml:space="preserve"> </w:t>
      </w:r>
      <w:r>
        <w:t>舉例部分過於空泛（如僅寫「行政學理論一直在變」），未具體點出典範轉移之前後階段與觸發異例。</w:t>
      </w:r>
    </w:p>
    <w:p w:rsidR="00574D39" w:rsidRDefault="007B3343">
      <w:pPr>
        <w:pStyle w:val="a4"/>
        <w:numPr>
          <w:ilvl w:val="0"/>
          <w:numId w:val="2"/>
        </w:numPr>
        <w:spacing w:after="120" w:line="340" w:lineRule="auto"/>
      </w:pPr>
      <w:r>
        <w:t>❌</w:t>
      </w:r>
      <w:r>
        <w:t xml:space="preserve"> </w:t>
      </w:r>
      <w:r>
        <w:t>誤把典範轉移理解為單純的「新理論比舊理論更好」的線性進步觀，忽略不可共量性與重疊並存之特性。</w:t>
      </w:r>
    </w:p>
    <w:p w:rsidR="00574D39" w:rsidRDefault="00574D39">
      <w:pPr>
        <w:spacing w:after="220"/>
      </w:pPr>
    </w:p>
    <w:p w:rsidR="00574D39" w:rsidRDefault="007B3343">
      <w:pPr>
        <w:spacing w:before="360" w:after="180"/>
      </w:pPr>
      <w:r>
        <w:rPr>
          <w:b/>
          <w:bCs/>
          <w:color w:val="1F4E79"/>
          <w:sz w:val="26"/>
          <w:szCs w:val="26"/>
        </w:rPr>
        <w:t>題目二（</w:t>
      </w:r>
      <w:r>
        <w:rPr>
          <w:b/>
          <w:bCs/>
          <w:color w:val="1F4E79"/>
          <w:sz w:val="26"/>
          <w:szCs w:val="26"/>
        </w:rPr>
        <w:t>B</w:t>
      </w:r>
      <w:r>
        <w:rPr>
          <w:b/>
          <w:bCs/>
          <w:color w:val="1F4E79"/>
          <w:sz w:val="26"/>
          <w:szCs w:val="26"/>
        </w:rPr>
        <w:t>級比較題</w:t>
      </w:r>
      <w:proofErr w:type="gramStart"/>
      <w:r>
        <w:rPr>
          <w:b/>
          <w:bCs/>
          <w:color w:val="1F4E79"/>
          <w:sz w:val="26"/>
          <w:szCs w:val="26"/>
        </w:rPr>
        <w:t>·</w:t>
      </w:r>
      <w:proofErr w:type="gramEnd"/>
      <w:r>
        <w:rPr>
          <w:b/>
          <w:bCs/>
          <w:color w:val="1F4E79"/>
          <w:sz w:val="26"/>
          <w:szCs w:val="26"/>
        </w:rPr>
        <w:t>模擬命題）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FFF3CD"/>
              <w:left w:val="single" w:sz="24" w:space="0" w:color="C9971A"/>
              <w:bottom w:val="single" w:sz="2" w:space="0" w:color="FFF3CD"/>
              <w:right w:val="single" w:sz="2" w:space="0" w:color="FFF3CD"/>
            </w:tcBorders>
            <w:shd w:val="clear" w:color="auto" w:fill="FFF3CD"/>
            <w:tcMar>
              <w:top w:w="160" w:type="dxa"/>
              <w:left w:w="220" w:type="dxa"/>
              <w:bottom w:w="160" w:type="dxa"/>
              <w:right w:w="220" w:type="dxa"/>
            </w:tcMar>
          </w:tcPr>
          <w:p w:rsidR="00574D39" w:rsidRDefault="007B3343">
            <w:pPr>
              <w:spacing w:after="100"/>
            </w:pPr>
            <w:r>
              <w:rPr>
                <w:b/>
                <w:bCs/>
                <w:color w:val="C9971A"/>
              </w:rPr>
              <w:t>考題出處（重要說明）</w:t>
            </w:r>
          </w:p>
          <w:p w:rsidR="00574D39" w:rsidRDefault="007B3343">
            <w:pPr>
              <w:spacing w:line="340" w:lineRule="auto"/>
              <w:jc w:val="both"/>
            </w:pPr>
            <w:r>
              <w:rPr>
                <w:sz w:val="21"/>
                <w:szCs w:val="21"/>
              </w:rPr>
              <w:t>本題為依本章母體教材表</w:t>
            </w:r>
            <w:r>
              <w:rPr>
                <w:sz w:val="21"/>
                <w:szCs w:val="21"/>
              </w:rPr>
              <w:t>3-5</w:t>
            </w:r>
            <w:r>
              <w:rPr>
                <w:sz w:val="21"/>
                <w:szCs w:val="21"/>
              </w:rPr>
              <w:t>「新左派（</w:t>
            </w:r>
            <w:r>
              <w:rPr>
                <w:sz w:val="21"/>
                <w:szCs w:val="21"/>
              </w:rPr>
              <w:t>NPA</w:t>
            </w:r>
            <w:r>
              <w:rPr>
                <w:sz w:val="21"/>
                <w:szCs w:val="21"/>
              </w:rPr>
              <w:t>）與新右派（</w:t>
            </w:r>
            <w:r>
              <w:rPr>
                <w:sz w:val="21"/>
                <w:szCs w:val="21"/>
              </w:rPr>
              <w:t>NPM</w:t>
            </w:r>
            <w:r>
              <w:rPr>
                <w:sz w:val="21"/>
                <w:szCs w:val="21"/>
              </w:rPr>
              <w:t>）對照」自行設計之模擬命題，非歷屆試題。此一比較架構為</w:t>
            </w:r>
            <w:proofErr w:type="gramStart"/>
            <w:r>
              <w:rPr>
                <w:sz w:val="21"/>
                <w:szCs w:val="21"/>
              </w:rPr>
              <w:t>國考申論常見題</w:t>
            </w:r>
            <w:proofErr w:type="gramEnd"/>
            <w:r>
              <w:rPr>
                <w:sz w:val="21"/>
                <w:szCs w:val="21"/>
              </w:rPr>
              <w:t>型，惟現階段語料庫中未查得與此完全對應之</w:t>
            </w:r>
            <w:proofErr w:type="gramStart"/>
            <w:r>
              <w:rPr>
                <w:sz w:val="21"/>
                <w:szCs w:val="21"/>
              </w:rPr>
              <w:t>真題，</w:t>
            </w:r>
            <w:proofErr w:type="gramEnd"/>
            <w:r>
              <w:rPr>
                <w:sz w:val="21"/>
                <w:szCs w:val="21"/>
              </w:rPr>
              <w:t>爰以模擬題形式呈現。</w:t>
            </w:r>
          </w:p>
        </w:tc>
      </w:tr>
    </w:tbl>
    <w:p w:rsidR="00574D39" w:rsidRDefault="00574D39">
      <w:pPr>
        <w:spacing w:after="120"/>
      </w:pPr>
    </w:p>
    <w:p w:rsidR="00574D39" w:rsidRDefault="007B3343">
      <w:pPr>
        <w:spacing w:after="200" w:line="360" w:lineRule="auto"/>
        <w:ind w:firstLine="431"/>
        <w:jc w:val="both"/>
      </w:pPr>
      <w:r>
        <w:t>「當代行政理論常被區分為『新左派』與『新右派』兩條系譜，請問其學術淵源分別為何？並從價值、</w:t>
      </w:r>
      <w:proofErr w:type="gramStart"/>
      <w:r>
        <w:t>課責</w:t>
      </w:r>
      <w:proofErr w:type="gramEnd"/>
      <w:r>
        <w:t>、公共利益與人民定位四個面向，比較兩者之差異。（</w:t>
      </w:r>
      <w:r>
        <w:t>25</w:t>
      </w:r>
      <w:r>
        <w:t>分）」</w:t>
      </w:r>
    </w:p>
    <w:p w:rsidR="00574D39" w:rsidRDefault="007B3343">
      <w:pPr>
        <w:spacing w:before="160" w:after="100"/>
      </w:pPr>
      <w:r>
        <w:rPr>
          <w:b/>
          <w:bCs/>
          <w:color w:val="444444"/>
          <w:sz w:val="21"/>
          <w:szCs w:val="21"/>
        </w:rPr>
        <w:t>【題型判斷】</w:t>
      </w:r>
    </w:p>
    <w:p w:rsidR="00574D39" w:rsidRDefault="007B3343">
      <w:pPr>
        <w:spacing w:after="200" w:line="360" w:lineRule="auto"/>
        <w:ind w:firstLine="431"/>
        <w:jc w:val="both"/>
      </w:pPr>
      <w:r>
        <w:t>這是一題「系譜溯源＋多面向比較題」，考生須先分別交代新左派與新右派之學術淵源（歷史節點與思想源流），再以結構化方式（表格式或條列式）逐一比較四個指定面向，缺少任一面向</w:t>
      </w:r>
      <w:proofErr w:type="gramStart"/>
      <w:r>
        <w:t>即屬答題</w:t>
      </w:r>
      <w:proofErr w:type="gramEnd"/>
      <w:r>
        <w:t>不完整。</w:t>
      </w:r>
    </w:p>
    <w:p w:rsidR="00574D39" w:rsidRDefault="007B3343">
      <w:pPr>
        <w:spacing w:before="160" w:after="100"/>
      </w:pPr>
      <w:r>
        <w:rPr>
          <w:b/>
          <w:bCs/>
          <w:color w:val="444444"/>
          <w:sz w:val="21"/>
          <w:szCs w:val="21"/>
        </w:rPr>
        <w:t>【關鍵字】</w:t>
      </w:r>
    </w:p>
    <w:p w:rsidR="00574D39" w:rsidRDefault="007B3343">
      <w:pPr>
        <w:spacing w:after="200" w:line="360" w:lineRule="auto"/>
        <w:ind w:firstLine="431"/>
        <w:jc w:val="both"/>
      </w:pPr>
      <w:r>
        <w:t>新左派</w:t>
      </w:r>
      <w:r>
        <w:t xml:space="preserve"> </w:t>
      </w:r>
      <w:r>
        <w:t>＋</w:t>
      </w:r>
      <w:r>
        <w:t xml:space="preserve"> </w:t>
      </w:r>
      <w:r>
        <w:t>新公共行政（</w:t>
      </w:r>
      <w:r>
        <w:t>NPA</w:t>
      </w:r>
      <w:r>
        <w:t>）</w:t>
      </w:r>
      <w:r>
        <w:t xml:space="preserve"> </w:t>
      </w:r>
      <w:r>
        <w:t>＋</w:t>
      </w:r>
      <w:r>
        <w:t xml:space="preserve"> </w:t>
      </w:r>
      <w:r>
        <w:t>新右派</w:t>
      </w:r>
      <w:r>
        <w:t xml:space="preserve"> </w:t>
      </w:r>
      <w:r>
        <w:t>＋</w:t>
      </w:r>
      <w:r>
        <w:t xml:space="preserve"> </w:t>
      </w:r>
      <w:r>
        <w:t>新公共管理（</w:t>
      </w:r>
      <w:r>
        <w:t>NPM</w:t>
      </w:r>
      <w:r>
        <w:t>）</w:t>
      </w:r>
      <w:r>
        <w:t xml:space="preserve"> </w:t>
      </w:r>
      <w:r>
        <w:t>＋</w:t>
      </w:r>
      <w:r>
        <w:t xml:space="preserve"> </w:t>
      </w:r>
      <w:r>
        <w:t>價值、</w:t>
      </w:r>
      <w:proofErr w:type="gramStart"/>
      <w:r>
        <w:t>課責</w:t>
      </w:r>
      <w:proofErr w:type="gramEnd"/>
      <w:r>
        <w:t>、公共利益、人民定位。</w:t>
      </w:r>
    </w:p>
    <w:p w:rsidR="00574D39" w:rsidRDefault="007B3343">
      <w:pPr>
        <w:spacing w:before="160" w:after="100"/>
      </w:pPr>
      <w:r>
        <w:rPr>
          <w:b/>
          <w:bCs/>
          <w:color w:val="444444"/>
          <w:sz w:val="21"/>
          <w:szCs w:val="21"/>
        </w:rPr>
        <w:lastRenderedPageBreak/>
        <w:t>【答題架構】</w:t>
      </w:r>
    </w:p>
    <w:p w:rsidR="00574D39" w:rsidRDefault="007B3343">
      <w:pPr>
        <w:pStyle w:val="a4"/>
        <w:numPr>
          <w:ilvl w:val="0"/>
          <w:numId w:val="2"/>
        </w:numPr>
        <w:spacing w:after="120" w:line="340" w:lineRule="auto"/>
      </w:pPr>
      <w:r>
        <w:t>一、前言：行政理論自</w:t>
      </w:r>
      <w:proofErr w:type="gramStart"/>
      <w:r>
        <w:t>1970</w:t>
      </w:r>
      <w:proofErr w:type="gramEnd"/>
      <w:r>
        <w:t>年代起分歧為新左派與新右派兩條路線</w:t>
      </w:r>
    </w:p>
    <w:p w:rsidR="00574D39" w:rsidRDefault="007B3343">
      <w:pPr>
        <w:pStyle w:val="a4"/>
        <w:numPr>
          <w:ilvl w:val="0"/>
          <w:numId w:val="2"/>
        </w:numPr>
        <w:spacing w:after="120" w:line="340" w:lineRule="auto"/>
      </w:pPr>
      <w:r>
        <w:t>二、新左派系譜之學術淵源（新公共行政運動、黑堡宣言、明諾布魯克會議）</w:t>
      </w:r>
    </w:p>
    <w:p w:rsidR="00574D39" w:rsidRDefault="007B3343">
      <w:pPr>
        <w:pStyle w:val="a4"/>
        <w:numPr>
          <w:ilvl w:val="0"/>
          <w:numId w:val="2"/>
        </w:numPr>
        <w:spacing w:after="120" w:line="340" w:lineRule="auto"/>
      </w:pPr>
      <w:r>
        <w:t>三、新右派系譜之學術淵源（保守主義、新自由主義、公共選擇論、新制度經濟學）</w:t>
      </w:r>
    </w:p>
    <w:p w:rsidR="00574D39" w:rsidRDefault="007B3343">
      <w:pPr>
        <w:pStyle w:val="a4"/>
        <w:numPr>
          <w:ilvl w:val="0"/>
          <w:numId w:val="2"/>
        </w:numPr>
        <w:spacing w:after="120" w:line="340" w:lineRule="auto"/>
      </w:pPr>
      <w:r>
        <w:t>四、四面向比較：價值、</w:t>
      </w:r>
      <w:proofErr w:type="gramStart"/>
      <w:r>
        <w:t>課責</w:t>
      </w:r>
      <w:proofErr w:type="gramEnd"/>
      <w:r>
        <w:t>、公共利益、人民定位</w:t>
      </w:r>
    </w:p>
    <w:p w:rsidR="00574D39" w:rsidRDefault="007B3343">
      <w:pPr>
        <w:pStyle w:val="a4"/>
        <w:numPr>
          <w:ilvl w:val="0"/>
          <w:numId w:val="2"/>
        </w:numPr>
        <w:spacing w:after="120" w:line="340" w:lineRule="auto"/>
      </w:pPr>
      <w:r>
        <w:t>五、結論</w:t>
      </w:r>
    </w:p>
    <w:p w:rsidR="00574D39" w:rsidRDefault="007B3343">
      <w:pPr>
        <w:spacing w:before="160" w:after="100"/>
      </w:pPr>
      <w:r>
        <w:rPr>
          <w:b/>
          <w:bCs/>
          <w:color w:val="444444"/>
          <w:sz w:val="21"/>
          <w:szCs w:val="21"/>
        </w:rPr>
        <w:t>【參考答案</w:t>
      </w:r>
      <w:r>
        <w:rPr>
          <w:b/>
          <w:bCs/>
          <w:color w:val="444444"/>
          <w:sz w:val="21"/>
          <w:szCs w:val="21"/>
        </w:rPr>
        <w:t>·</w:t>
      </w:r>
      <w:r>
        <w:rPr>
          <w:b/>
          <w:bCs/>
          <w:color w:val="444444"/>
          <w:sz w:val="21"/>
          <w:szCs w:val="21"/>
        </w:rPr>
        <w:t>標準版】（約</w:t>
      </w:r>
      <w:r>
        <w:rPr>
          <w:b/>
          <w:bCs/>
          <w:color w:val="444444"/>
          <w:sz w:val="21"/>
          <w:szCs w:val="21"/>
        </w:rPr>
        <w:t>1,000</w:t>
      </w:r>
      <w:r>
        <w:rPr>
          <w:b/>
          <w:bCs/>
          <w:color w:val="444444"/>
          <w:sz w:val="21"/>
          <w:szCs w:val="21"/>
        </w:rPr>
        <w:t>字）</w:t>
      </w:r>
    </w:p>
    <w:p w:rsidR="00574D39" w:rsidRDefault="007B3343">
      <w:pPr>
        <w:spacing w:after="200" w:line="360" w:lineRule="auto"/>
        <w:ind w:firstLine="431"/>
        <w:jc w:val="both"/>
      </w:pPr>
      <w:r>
        <w:t>一、前言</w:t>
      </w:r>
    </w:p>
    <w:p w:rsidR="00574D39" w:rsidRDefault="007B3343">
      <w:pPr>
        <w:spacing w:after="200" w:line="360" w:lineRule="auto"/>
        <w:ind w:firstLine="431"/>
        <w:jc w:val="both"/>
      </w:pPr>
      <w:r>
        <w:t>行政理論自</w:t>
      </w:r>
      <w:proofErr w:type="gramStart"/>
      <w:r>
        <w:t>1970</w:t>
      </w:r>
      <w:proofErr w:type="gramEnd"/>
      <w:r>
        <w:t>年代起，隨著政治行政二分論逐漸受到質疑，理論發展分歧為新左派（以新公共行政為核心）與新右派（以新公共管理為核心）兩條路線，兩者在核心價值、</w:t>
      </w:r>
      <w:proofErr w:type="gramStart"/>
      <w:r>
        <w:t>課責機</w:t>
      </w:r>
      <w:proofErr w:type="gramEnd"/>
      <w:r>
        <w:t>制、公共利益界定與人民定位上均呈</w:t>
      </w:r>
      <w:r>
        <w:t>現系統性差異。</w:t>
      </w:r>
    </w:p>
    <w:p w:rsidR="00574D39" w:rsidRDefault="007B3343">
      <w:pPr>
        <w:spacing w:after="200" w:line="360" w:lineRule="auto"/>
        <w:ind w:firstLine="431"/>
        <w:jc w:val="both"/>
      </w:pPr>
      <w:r>
        <w:t>二、新左派系譜之學術淵源</w:t>
      </w:r>
    </w:p>
    <w:p w:rsidR="00574D39" w:rsidRDefault="007B3343">
      <w:pPr>
        <w:spacing w:after="200" w:line="360" w:lineRule="auto"/>
        <w:ind w:firstLine="431"/>
        <w:jc w:val="both"/>
      </w:pPr>
      <w:r>
        <w:t>新左派系譜起於</w:t>
      </w:r>
      <w:r>
        <w:t>1968</w:t>
      </w:r>
      <w:r>
        <w:t>年新公共行政運動（第一次明諾布魯克會議），批判政治行政二分與組織研究流於學術象牙塔，主張社會公平應與效率並列為行政核心價值；</w:t>
      </w:r>
      <w:r>
        <w:t>1983</w:t>
      </w:r>
      <w:r>
        <w:t>年維吉尼亞理工學者發表黑堡宣言，重申官僚體制之正當性與治理能力，主張行政人員應成為「治理夥伴」；</w:t>
      </w:r>
      <w:r>
        <w:t>1988</w:t>
      </w:r>
      <w:r>
        <w:t>年第二</w:t>
      </w:r>
      <w:proofErr w:type="gramStart"/>
      <w:r>
        <w:t>次明諾</w:t>
      </w:r>
      <w:proofErr w:type="gramEnd"/>
      <w:r>
        <w:t>布魯克會議聚焦多元主義與代表性官僚；</w:t>
      </w:r>
      <w:r>
        <w:t>2008</w:t>
      </w:r>
      <w:r>
        <w:t>年第三</w:t>
      </w:r>
      <w:proofErr w:type="gramStart"/>
      <w:r>
        <w:t>次明諾</w:t>
      </w:r>
      <w:proofErr w:type="gramEnd"/>
      <w:r>
        <w:t>布魯克會議回應全球化與治理網絡。此一系譜最終匯流至</w:t>
      </w:r>
      <w:r>
        <w:t>2000</w:t>
      </w:r>
      <w:r>
        <w:t>年</w:t>
      </w:r>
      <w:r>
        <w:t>Denhardt</w:t>
      </w:r>
      <w:r>
        <w:t>夫婦提出之新公共服務。</w:t>
      </w:r>
    </w:p>
    <w:p w:rsidR="00574D39" w:rsidRDefault="007B3343">
      <w:pPr>
        <w:spacing w:after="200" w:line="360" w:lineRule="auto"/>
        <w:ind w:firstLine="431"/>
        <w:jc w:val="both"/>
      </w:pPr>
      <w:r>
        <w:t>三、新右派系譜之學術淵源</w:t>
      </w:r>
    </w:p>
    <w:p w:rsidR="00574D39" w:rsidRDefault="007B3343">
      <w:pPr>
        <w:spacing w:after="200" w:line="360" w:lineRule="auto"/>
        <w:ind w:firstLine="431"/>
        <w:jc w:val="both"/>
      </w:pPr>
      <w:r>
        <w:t>新右派系譜有二思想</w:t>
      </w:r>
      <w:r>
        <w:t>源流：政治思潮方面，包括強調有限政府之保守主義，以及強調市場優先於國家干預之新自由主義；經濟思潮方面，包括新古典經濟學、公共選擇論（</w:t>
      </w:r>
      <w:r>
        <w:t>Buchanan</w:t>
      </w:r>
      <w:r>
        <w:t>、</w:t>
      </w:r>
      <w:proofErr w:type="spellStart"/>
      <w:r>
        <w:t>Niskanen</w:t>
      </w:r>
      <w:proofErr w:type="spellEnd"/>
      <w:r>
        <w:t>）與新制度經濟學。上述思潮匯流後，共同強調市場機制與「師法企業」之治理方式，於</w:t>
      </w:r>
      <w:proofErr w:type="gramStart"/>
      <w:r>
        <w:t>1980</w:t>
      </w:r>
      <w:proofErr w:type="gramEnd"/>
      <w:r>
        <w:t>年代形成新公共管理。</w:t>
      </w:r>
    </w:p>
    <w:p w:rsidR="00574D39" w:rsidRDefault="007B3343">
      <w:pPr>
        <w:spacing w:after="200" w:line="360" w:lineRule="auto"/>
        <w:ind w:firstLine="431"/>
        <w:jc w:val="both"/>
      </w:pPr>
      <w:r>
        <w:lastRenderedPageBreak/>
        <w:t>四、四面向比較</w:t>
      </w:r>
    </w:p>
    <w:p w:rsidR="00574D39" w:rsidRDefault="007B3343">
      <w:pPr>
        <w:spacing w:after="200" w:line="360" w:lineRule="auto"/>
        <w:ind w:firstLine="431"/>
        <w:jc w:val="both"/>
      </w:pPr>
      <w:r>
        <w:t>在核心價值上，新左派重視集體價值與社群機制，新右派重視個人價值與市場機制；</w:t>
      </w:r>
      <w:proofErr w:type="gramStart"/>
      <w:r>
        <w:t>在課責重點</w:t>
      </w:r>
      <w:proofErr w:type="gramEnd"/>
      <w:r>
        <w:t>上，新左派強調行政倫理與責任，新右派強調行政績效；在公共利益界定上，新左派主張公平正義，新右派主張消費者利益之滿足；在人民定位上，新左派將</w:t>
      </w:r>
      <w:r>
        <w:t>人民視為有參與權責之公民，新右派則將人民視為要求品質、使用者付費之消費者。</w:t>
      </w:r>
    </w:p>
    <w:p w:rsidR="00574D39" w:rsidRDefault="007B3343">
      <w:pPr>
        <w:spacing w:after="200" w:line="360" w:lineRule="auto"/>
        <w:ind w:firstLine="431"/>
        <w:jc w:val="both"/>
      </w:pPr>
      <w:r>
        <w:t>五、結論</w:t>
      </w:r>
    </w:p>
    <w:p w:rsidR="00574D39" w:rsidRDefault="007B3343">
      <w:pPr>
        <w:spacing w:after="200" w:line="360" w:lineRule="auto"/>
        <w:ind w:firstLine="431"/>
        <w:jc w:val="both"/>
      </w:pPr>
      <w:r>
        <w:t>新左派與新右派系譜之分歧，本質上反映了公共行政「該優先服務誰、以何種價值為依歸」之根本路線之爭。兩條系譜並非互相取代之關係，而是持續在當代治理實務中交替影響、彼此修正，理解兩者之學術淵源與具體差異，是掌握當代行政理論脈絡之核心基礎。</w:t>
      </w:r>
    </w:p>
    <w:p w:rsidR="00574D39" w:rsidRDefault="007B3343">
      <w:pPr>
        <w:spacing w:before="160" w:after="100"/>
      </w:pPr>
      <w:r>
        <w:rPr>
          <w:b/>
          <w:bCs/>
          <w:color w:val="444444"/>
          <w:sz w:val="21"/>
          <w:szCs w:val="21"/>
        </w:rPr>
        <w:t>【得分關鍵】</w:t>
      </w:r>
    </w:p>
    <w:p w:rsidR="00574D39" w:rsidRDefault="007B3343">
      <w:pPr>
        <w:pStyle w:val="a4"/>
        <w:numPr>
          <w:ilvl w:val="0"/>
          <w:numId w:val="2"/>
        </w:numPr>
        <w:spacing w:after="120" w:line="340" w:lineRule="auto"/>
      </w:pPr>
      <w:r>
        <w:t>兩條系譜之學術淵源（歷史節點、思想源流）須分別完整交代，不可僅比較四面向而遺漏系譜溯源部分。</w:t>
      </w:r>
    </w:p>
    <w:p w:rsidR="00574D39" w:rsidRDefault="007B3343">
      <w:pPr>
        <w:pStyle w:val="a4"/>
        <w:numPr>
          <w:ilvl w:val="0"/>
          <w:numId w:val="2"/>
        </w:numPr>
        <w:spacing w:after="120" w:line="340" w:lineRule="auto"/>
      </w:pPr>
      <w:r>
        <w:t>四個指定比較面向（價值、課責、公共利益、人民定位）須逐一對應說明，建議以</w:t>
      </w:r>
      <w:proofErr w:type="gramStart"/>
      <w:r>
        <w:t>表格或條列</w:t>
      </w:r>
      <w:proofErr w:type="gramEnd"/>
      <w:r>
        <w:t>方</w:t>
      </w:r>
      <w:r>
        <w:t>式呈現，以確保涵蓋度。</w:t>
      </w:r>
    </w:p>
    <w:p w:rsidR="00574D39" w:rsidRDefault="007B3343">
      <w:pPr>
        <w:spacing w:before="160" w:after="100"/>
      </w:pPr>
      <w:r>
        <w:rPr>
          <w:b/>
          <w:bCs/>
          <w:color w:val="444444"/>
          <w:sz w:val="21"/>
          <w:szCs w:val="21"/>
        </w:rPr>
        <w:t>【常見失分】</w:t>
      </w:r>
    </w:p>
    <w:p w:rsidR="00574D39" w:rsidRDefault="007B3343">
      <w:pPr>
        <w:pStyle w:val="a4"/>
        <w:numPr>
          <w:ilvl w:val="0"/>
          <w:numId w:val="2"/>
        </w:numPr>
        <w:spacing w:after="120" w:line="340" w:lineRule="auto"/>
      </w:pPr>
      <w:r>
        <w:t>❌</w:t>
      </w:r>
      <w:r>
        <w:t xml:space="preserve"> </w:t>
      </w:r>
      <w:r>
        <w:t>只寫「新公共行政」與「新公共管理」的定義，未交代其學術淵源與歷史脈絡。</w:t>
      </w:r>
    </w:p>
    <w:p w:rsidR="00574D39" w:rsidRDefault="007B3343">
      <w:pPr>
        <w:pStyle w:val="a4"/>
        <w:numPr>
          <w:ilvl w:val="0"/>
          <w:numId w:val="2"/>
        </w:numPr>
        <w:spacing w:after="120" w:line="340" w:lineRule="auto"/>
      </w:pPr>
      <w:r>
        <w:t>❌</w:t>
      </w:r>
      <w:r>
        <w:t xml:space="preserve"> </w:t>
      </w:r>
      <w:r>
        <w:t>四個比較面向遺漏一至兩項，或僅籠統寫「兩者理念不同」，未具體展開對照內容。</w:t>
      </w:r>
    </w:p>
    <w:p w:rsidR="00574D39" w:rsidRDefault="007B3343">
      <w:pPr>
        <w:spacing w:before="160" w:after="100"/>
      </w:pPr>
      <w:r>
        <w:rPr>
          <w:b/>
          <w:bCs/>
          <w:color w:val="444444"/>
          <w:sz w:val="21"/>
          <w:szCs w:val="21"/>
        </w:rPr>
        <w:t>【高分加分點】</w:t>
      </w:r>
    </w:p>
    <w:p w:rsidR="00574D39" w:rsidRDefault="007B3343">
      <w:pPr>
        <w:pStyle w:val="a4"/>
        <w:numPr>
          <w:ilvl w:val="0"/>
          <w:numId w:val="2"/>
        </w:numPr>
        <w:spacing w:after="120" w:line="340" w:lineRule="auto"/>
      </w:pPr>
      <w:r>
        <w:t>可補充援引黑堡宣言之核心主張，說明新左派系譜對「行政正當性」之堅持，並非僅止於社會公平之抽象訴求，更包含對官僚體制專業能力與治理夥伴角色之</w:t>
      </w:r>
      <w:proofErr w:type="gramStart"/>
      <w:r>
        <w:t>積極肯</w:t>
      </w:r>
      <w:proofErr w:type="gramEnd"/>
      <w:r>
        <w:t>認。</w:t>
      </w:r>
    </w:p>
    <w:p w:rsidR="00574D39" w:rsidRDefault="007B3343">
      <w:pPr>
        <w:pStyle w:val="a4"/>
        <w:numPr>
          <w:ilvl w:val="0"/>
          <w:numId w:val="2"/>
        </w:numPr>
        <w:spacing w:after="120" w:line="340" w:lineRule="auto"/>
      </w:pPr>
      <w:r>
        <w:lastRenderedPageBreak/>
        <w:t>可補充</w:t>
      </w:r>
      <w:r>
        <w:t>NPM→PVM→NG</w:t>
      </w:r>
      <w:r>
        <w:t>之演進脈絡，說明新右派系譜本身其後亦歷經自我修正（</w:t>
      </w:r>
      <w:r>
        <w:t>PVM</w:t>
      </w:r>
      <w:r>
        <w:t>補上公共價值、</w:t>
      </w:r>
      <w:r>
        <w:t>NG</w:t>
      </w:r>
      <w:r>
        <w:t>進一步走向流程政策後果），顯示兩條系譜並非靜止對立，而是持續動態修正。</w:t>
      </w:r>
    </w:p>
    <w:p w:rsidR="00574D39" w:rsidRDefault="007B3343">
      <w:pPr>
        <w:pStyle w:val="a4"/>
        <w:numPr>
          <w:ilvl w:val="0"/>
          <w:numId w:val="2"/>
        </w:numPr>
        <w:spacing w:after="120" w:line="340" w:lineRule="auto"/>
      </w:pPr>
      <w:r>
        <w:t>可補充臺灣實務：我國政府改造歷程可見兩條系譜交替影響</w:t>
      </w:r>
      <w:proofErr w:type="gramStart"/>
      <w:r>
        <w:t>—</w:t>
      </w:r>
      <w:proofErr w:type="gramEnd"/>
      <w:r>
        <w:t>—</w:t>
      </w:r>
      <w:proofErr w:type="gramStart"/>
      <w:r>
        <w:t>199</w:t>
      </w:r>
      <w:proofErr w:type="gramEnd"/>
      <w:r>
        <w:t>0</w:t>
      </w:r>
      <w:r>
        <w:t>年代末政府再造運動偏重新公共管理式績效指標與委外精簡，</w:t>
      </w:r>
      <w:proofErr w:type="gramStart"/>
      <w:r>
        <w:t>200</w:t>
      </w:r>
      <w:proofErr w:type="gramEnd"/>
      <w:r>
        <w:t>0</w:t>
      </w:r>
      <w:r>
        <w:t>年代後社會住宅、長期照顧等政策則逐漸納入新公共行政與新公共服務之公平參與精神。</w:t>
      </w:r>
    </w:p>
    <w:p w:rsidR="00574D39" w:rsidRDefault="00574D39">
      <w:pPr>
        <w:spacing w:after="220"/>
      </w:pPr>
    </w:p>
    <w:p w:rsidR="00574D39" w:rsidRDefault="007B3343">
      <w:pPr>
        <w:spacing w:before="360" w:after="180"/>
      </w:pPr>
      <w:r>
        <w:rPr>
          <w:b/>
          <w:bCs/>
          <w:color w:val="1F4E79"/>
          <w:sz w:val="26"/>
          <w:szCs w:val="26"/>
        </w:rPr>
        <w:t>題目三（</w:t>
      </w:r>
      <w:r>
        <w:rPr>
          <w:b/>
          <w:bCs/>
          <w:color w:val="1F4E79"/>
          <w:sz w:val="26"/>
          <w:szCs w:val="26"/>
        </w:rPr>
        <w:t>C</w:t>
      </w:r>
      <w:r>
        <w:rPr>
          <w:b/>
          <w:bCs/>
          <w:color w:val="1F4E79"/>
          <w:sz w:val="26"/>
          <w:szCs w:val="26"/>
        </w:rPr>
        <w:t>級綜合題</w:t>
      </w:r>
      <w:proofErr w:type="gramStart"/>
      <w:r>
        <w:rPr>
          <w:b/>
          <w:bCs/>
          <w:color w:val="1F4E79"/>
          <w:sz w:val="26"/>
          <w:szCs w:val="26"/>
        </w:rPr>
        <w:t>·</w:t>
      </w:r>
      <w:proofErr w:type="gramEnd"/>
      <w:r>
        <w:rPr>
          <w:b/>
          <w:bCs/>
          <w:color w:val="1F4E79"/>
          <w:sz w:val="26"/>
          <w:szCs w:val="26"/>
        </w:rPr>
        <w:t>模擬命題）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FFF3CD"/>
              <w:left w:val="single" w:sz="24" w:space="0" w:color="C9971A"/>
              <w:bottom w:val="single" w:sz="2" w:space="0" w:color="FFF3CD"/>
              <w:right w:val="single" w:sz="2" w:space="0" w:color="FFF3CD"/>
            </w:tcBorders>
            <w:shd w:val="clear" w:color="auto" w:fill="FFF3CD"/>
            <w:tcMar>
              <w:top w:w="160" w:type="dxa"/>
              <w:left w:w="220" w:type="dxa"/>
              <w:bottom w:w="160" w:type="dxa"/>
              <w:right w:w="220" w:type="dxa"/>
            </w:tcMar>
          </w:tcPr>
          <w:p w:rsidR="00574D39" w:rsidRDefault="007B3343">
            <w:pPr>
              <w:spacing w:after="100"/>
            </w:pPr>
            <w:r>
              <w:rPr>
                <w:b/>
                <w:bCs/>
                <w:color w:val="C9971A"/>
              </w:rPr>
              <w:t>考題出處（重要說明）</w:t>
            </w:r>
          </w:p>
          <w:p w:rsidR="00574D39" w:rsidRDefault="007B3343">
            <w:pPr>
              <w:spacing w:line="340" w:lineRule="auto"/>
              <w:jc w:val="both"/>
            </w:pPr>
            <w:r>
              <w:rPr>
                <w:sz w:val="21"/>
                <w:szCs w:val="21"/>
              </w:rPr>
              <w:t>本題並非歷屆試題，而是依本書</w:t>
            </w:r>
            <w:r>
              <w:rPr>
                <w:sz w:val="21"/>
                <w:szCs w:val="21"/>
              </w:rPr>
              <w:t>AI</w:t>
            </w:r>
            <w:r>
              <w:rPr>
                <w:sz w:val="21"/>
                <w:szCs w:val="21"/>
              </w:rPr>
              <w:t>治理內容自行設計之模擬命題。第三章母體教材本身即在說明本書「</w:t>
            </w:r>
            <w:r>
              <w:rPr>
                <w:sz w:val="21"/>
                <w:szCs w:val="21"/>
              </w:rPr>
              <w:t>25-3-3-4-7</w:t>
            </w:r>
            <w:r>
              <w:rPr>
                <w:sz w:val="21"/>
                <w:szCs w:val="21"/>
              </w:rPr>
              <w:t>」架構之方法論身世</w:t>
            </w:r>
            <w:proofErr w:type="gramStart"/>
            <w:r>
              <w:rPr>
                <w:sz w:val="21"/>
                <w:szCs w:val="21"/>
              </w:rPr>
              <w:t>—</w:t>
            </w:r>
            <w:proofErr w:type="gramEnd"/>
            <w:r>
              <w:rPr>
                <w:sz w:val="21"/>
                <w:szCs w:val="21"/>
              </w:rPr>
              <w:t>—</w:t>
            </w:r>
            <w:r>
              <w:rPr>
                <w:sz w:val="21"/>
                <w:szCs w:val="21"/>
              </w:rPr>
              <w:t>本題即以此為基礎延伸設計，用以示範</w:t>
            </w:r>
            <w:r>
              <w:rPr>
                <w:sz w:val="21"/>
                <w:szCs w:val="21"/>
              </w:rPr>
              <w:t>C</w:t>
            </w:r>
            <w:r>
              <w:rPr>
                <w:sz w:val="21"/>
                <w:szCs w:val="21"/>
              </w:rPr>
              <w:t>級綜合題如何將研究方法論、典範理論與</w:t>
            </w:r>
            <w:r>
              <w:rPr>
                <w:sz w:val="21"/>
                <w:szCs w:val="21"/>
              </w:rPr>
              <w:t>AI</w:t>
            </w:r>
            <w:r>
              <w:rPr>
                <w:sz w:val="21"/>
                <w:szCs w:val="21"/>
              </w:rPr>
              <w:t>治理結合命題。現階段公開歷屆試題中尚未查得與此完全對應之</w:t>
            </w:r>
            <w:proofErr w:type="gramStart"/>
            <w:r>
              <w:rPr>
                <w:sz w:val="21"/>
                <w:szCs w:val="21"/>
              </w:rPr>
              <w:t>真題，爰</w:t>
            </w:r>
            <w:proofErr w:type="gramEnd"/>
            <w:r>
              <w:rPr>
                <w:sz w:val="21"/>
                <w:szCs w:val="21"/>
              </w:rPr>
              <w:t>以模擬題形式呈現，並於此明確標示。</w:t>
            </w:r>
          </w:p>
        </w:tc>
      </w:tr>
    </w:tbl>
    <w:p w:rsidR="00574D39" w:rsidRDefault="00574D39">
      <w:pPr>
        <w:spacing w:after="120"/>
      </w:pPr>
    </w:p>
    <w:p w:rsidR="00574D39" w:rsidRDefault="007B3343">
      <w:pPr>
        <w:spacing w:after="200" w:line="360" w:lineRule="auto"/>
        <w:ind w:firstLine="431"/>
        <w:jc w:val="both"/>
      </w:pPr>
      <w:r>
        <w:t>「人工智慧是否正在催生公共行政學一個新的研究典範？請運用</w:t>
      </w:r>
      <w:r>
        <w:t>Kuhn</w:t>
      </w:r>
      <w:r>
        <w:t>典範轉移理論，分析</w:t>
      </w:r>
      <w:r>
        <w:t>AI</w:t>
      </w:r>
      <w:r>
        <w:t>對既有行政學研究典範可能帶來的挑戰，並說明『分析層次』（如本書所提出之治理座標架構）在回應此一挑戰上的方法論意義。」</w:t>
      </w:r>
    </w:p>
    <w:p w:rsidR="00574D39" w:rsidRDefault="007B3343">
      <w:pPr>
        <w:spacing w:before="160" w:after="100"/>
      </w:pPr>
      <w:r>
        <w:rPr>
          <w:b/>
          <w:bCs/>
          <w:color w:val="444444"/>
          <w:sz w:val="21"/>
          <w:szCs w:val="21"/>
        </w:rPr>
        <w:t>【題型判斷】</w:t>
      </w:r>
    </w:p>
    <w:p w:rsidR="00574D39" w:rsidRDefault="007B3343">
      <w:pPr>
        <w:spacing w:after="200" w:line="360" w:lineRule="auto"/>
        <w:ind w:firstLine="431"/>
        <w:jc w:val="both"/>
      </w:pPr>
      <w:r>
        <w:t>這是一題「典範理論應用＋方法論</w:t>
      </w:r>
      <w:proofErr w:type="gramStart"/>
      <w:r>
        <w:t>反思題</w:t>
      </w:r>
      <w:proofErr w:type="gramEnd"/>
      <w:r>
        <w:t>」，考生須將</w:t>
      </w:r>
      <w:r>
        <w:t>Kuhn</w:t>
      </w:r>
      <w:r>
        <w:t>典範轉移理論實際應用於「</w:t>
      </w:r>
      <w:r>
        <w:t>AI</w:t>
      </w:r>
      <w:r>
        <w:t>是否催生新典範」此一開放性問題，並進一步扣連「分析層次」架構之方法論意義</w:t>
      </w:r>
      <w:r>
        <w:t>——</w:t>
      </w:r>
      <w:r>
        <w:t>單純背誦典範定義不足以拿高分，關鍵在於能否具體論證</w:t>
      </w:r>
      <w:r>
        <w:t>AI</w:t>
      </w:r>
      <w:r>
        <w:t>帶來的「異例」為何、以及分析層次架構如何回應。</w:t>
      </w:r>
    </w:p>
    <w:p w:rsidR="00574D39" w:rsidRDefault="007B3343">
      <w:pPr>
        <w:spacing w:before="160" w:after="100"/>
      </w:pPr>
      <w:r>
        <w:rPr>
          <w:b/>
          <w:bCs/>
          <w:color w:val="444444"/>
          <w:sz w:val="21"/>
          <w:szCs w:val="21"/>
        </w:rPr>
        <w:t>【關鍵字】</w:t>
      </w:r>
    </w:p>
    <w:p w:rsidR="00574D39" w:rsidRDefault="007B3343">
      <w:pPr>
        <w:spacing w:after="200" w:line="360" w:lineRule="auto"/>
        <w:ind w:firstLine="431"/>
        <w:jc w:val="both"/>
      </w:pPr>
      <w:r>
        <w:t>AI</w:t>
      </w:r>
      <w:r>
        <w:t>治理</w:t>
      </w:r>
      <w:r>
        <w:t xml:space="preserve"> </w:t>
      </w:r>
      <w:r>
        <w:t>＋</w:t>
      </w:r>
      <w:r>
        <w:t xml:space="preserve"> Kuh</w:t>
      </w:r>
      <w:r>
        <w:t>n</w:t>
      </w:r>
      <w:r>
        <w:t>典範轉移</w:t>
      </w:r>
      <w:r>
        <w:t xml:space="preserve"> </w:t>
      </w:r>
      <w:r>
        <w:t>＋</w:t>
      </w:r>
      <w:r>
        <w:t xml:space="preserve"> </w:t>
      </w:r>
      <w:r>
        <w:t>異例</w:t>
      </w:r>
      <w:r>
        <w:t xml:space="preserve"> </w:t>
      </w:r>
      <w:r>
        <w:t>＋</w:t>
      </w:r>
      <w:r>
        <w:t xml:space="preserve"> </w:t>
      </w:r>
      <w:r>
        <w:t>分析層次</w:t>
      </w:r>
      <w:r>
        <w:t xml:space="preserve"> </w:t>
      </w:r>
      <w:r>
        <w:t>＋</w:t>
      </w:r>
      <w:r>
        <w:t xml:space="preserve"> </w:t>
      </w:r>
      <w:r>
        <w:t>治理座標。</w:t>
      </w:r>
    </w:p>
    <w:p w:rsidR="00574D39" w:rsidRDefault="007B3343">
      <w:pPr>
        <w:spacing w:before="160" w:after="100"/>
      </w:pPr>
      <w:r>
        <w:rPr>
          <w:b/>
          <w:bCs/>
          <w:color w:val="444444"/>
          <w:sz w:val="21"/>
          <w:szCs w:val="21"/>
        </w:rPr>
        <w:lastRenderedPageBreak/>
        <w:t>【答題架構】</w:t>
      </w:r>
    </w:p>
    <w:p w:rsidR="00574D39" w:rsidRDefault="007B3343">
      <w:pPr>
        <w:pStyle w:val="a4"/>
        <w:numPr>
          <w:ilvl w:val="0"/>
          <w:numId w:val="2"/>
        </w:numPr>
        <w:spacing w:after="120" w:line="340" w:lineRule="auto"/>
      </w:pPr>
      <w:r>
        <w:t>一、前言：</w:t>
      </w:r>
      <w:r>
        <w:t>AI</w:t>
      </w:r>
      <w:r>
        <w:t>是否催生新典範，是一個尚待驗證但值得認真對待的方法論提問</w:t>
      </w:r>
    </w:p>
    <w:p w:rsidR="00574D39" w:rsidRDefault="007B3343">
      <w:pPr>
        <w:pStyle w:val="a4"/>
        <w:numPr>
          <w:ilvl w:val="0"/>
          <w:numId w:val="2"/>
        </w:numPr>
        <w:spacing w:after="120" w:line="340" w:lineRule="auto"/>
      </w:pPr>
      <w:r>
        <w:t>二、以</w:t>
      </w:r>
      <w:r>
        <w:t>Kuhn</w:t>
      </w:r>
      <w:r>
        <w:t>典範轉移理論檢視：既有行政學典範面臨哪些</w:t>
      </w:r>
      <w:r>
        <w:t>AI</w:t>
      </w:r>
      <w:r>
        <w:t>帶來的「異例」</w:t>
      </w:r>
    </w:p>
    <w:p w:rsidR="00574D39" w:rsidRDefault="007B3343">
      <w:pPr>
        <w:pStyle w:val="a4"/>
        <w:numPr>
          <w:ilvl w:val="0"/>
          <w:numId w:val="2"/>
        </w:numPr>
        <w:spacing w:after="120" w:line="340" w:lineRule="auto"/>
      </w:pPr>
      <w:r>
        <w:t>三、分析層次架構之方法論意義：如何在異例累積階段，提供系統性的定位與追蹤工具</w:t>
      </w:r>
    </w:p>
    <w:p w:rsidR="00574D39" w:rsidRDefault="007B3343">
      <w:pPr>
        <w:pStyle w:val="a4"/>
        <w:numPr>
          <w:ilvl w:val="0"/>
          <w:numId w:val="2"/>
        </w:numPr>
        <w:spacing w:after="120" w:line="340" w:lineRule="auto"/>
      </w:pPr>
      <w:r>
        <w:t>四、結論：典範轉移之判斷仍待時間驗證，但方法論工具之更新已刻不容緩</w:t>
      </w:r>
    </w:p>
    <w:p w:rsidR="00574D39" w:rsidRDefault="007B3343">
      <w:pPr>
        <w:spacing w:before="160" w:after="100"/>
      </w:pPr>
      <w:r>
        <w:rPr>
          <w:b/>
          <w:bCs/>
          <w:color w:val="444444"/>
          <w:sz w:val="21"/>
          <w:szCs w:val="21"/>
        </w:rPr>
        <w:t>【參考答案</w:t>
      </w:r>
      <w:r>
        <w:rPr>
          <w:b/>
          <w:bCs/>
          <w:color w:val="444444"/>
          <w:sz w:val="21"/>
          <w:szCs w:val="21"/>
        </w:rPr>
        <w:t>·</w:t>
      </w:r>
      <w:r>
        <w:rPr>
          <w:b/>
          <w:bCs/>
          <w:color w:val="444444"/>
          <w:sz w:val="21"/>
          <w:szCs w:val="21"/>
        </w:rPr>
        <w:t>標準版】（約</w:t>
      </w:r>
      <w:r>
        <w:rPr>
          <w:b/>
          <w:bCs/>
          <w:color w:val="444444"/>
          <w:sz w:val="21"/>
          <w:szCs w:val="21"/>
        </w:rPr>
        <w:t>1,200</w:t>
      </w:r>
      <w:r>
        <w:rPr>
          <w:b/>
          <w:bCs/>
          <w:color w:val="444444"/>
          <w:sz w:val="21"/>
          <w:szCs w:val="21"/>
        </w:rPr>
        <w:t>字）</w:t>
      </w:r>
    </w:p>
    <w:p w:rsidR="00574D39" w:rsidRDefault="007B3343">
      <w:pPr>
        <w:spacing w:after="200" w:line="360" w:lineRule="auto"/>
        <w:ind w:firstLine="431"/>
        <w:jc w:val="both"/>
      </w:pPr>
      <w:r>
        <w:t>一、前言</w:t>
      </w:r>
    </w:p>
    <w:p w:rsidR="00574D39" w:rsidRDefault="007B3343">
      <w:pPr>
        <w:spacing w:after="200" w:line="360" w:lineRule="auto"/>
        <w:ind w:firstLine="431"/>
        <w:jc w:val="both"/>
      </w:pPr>
      <w:r>
        <w:t>Thomas Kuhn</w:t>
      </w:r>
      <w:r>
        <w:t>主張，典範轉移發生於既有典範無法解釋之異例持續累積，最終觸發科學革命。人工智慧進入</w:t>
      </w:r>
      <w:r>
        <w:t>公共行政領域後，是否已經、或即將催生一個新的研究典範，是一個尚待驗證、但值得認真對待的方法論提問，本文嘗試以</w:t>
      </w:r>
      <w:r>
        <w:t>Kuhn</w:t>
      </w:r>
      <w:r>
        <w:t>典範轉移理論為分析工具，檢視此一問題。</w:t>
      </w:r>
    </w:p>
    <w:p w:rsidR="00574D39" w:rsidRDefault="007B3343">
      <w:pPr>
        <w:spacing w:after="200" w:line="360" w:lineRule="auto"/>
        <w:ind w:firstLine="431"/>
        <w:jc w:val="both"/>
      </w:pPr>
      <w:r>
        <w:t>二、以</w:t>
      </w:r>
      <w:r>
        <w:t>Kuhn</w:t>
      </w:r>
      <w:r>
        <w:t>典範轉移理論檢視</w:t>
      </w:r>
      <w:r>
        <w:t>AI</w:t>
      </w:r>
      <w:r>
        <w:t>帶來的異例</w:t>
      </w:r>
    </w:p>
    <w:p w:rsidR="00574D39" w:rsidRDefault="007B3343">
      <w:pPr>
        <w:spacing w:after="200" w:line="360" w:lineRule="auto"/>
        <w:ind w:firstLine="431"/>
        <w:jc w:val="both"/>
      </w:pPr>
      <w:r>
        <w:t>既有行政學典範</w:t>
      </w:r>
      <w:proofErr w:type="gramStart"/>
      <w:r>
        <w:t>—</w:t>
      </w:r>
      <w:proofErr w:type="gramEnd"/>
      <w:r>
        <w:t>—</w:t>
      </w:r>
      <w:r>
        <w:t>無論是強調效率的古典典範、強調人性的行為典範，或強調網絡協力的治理典範</w:t>
      </w:r>
      <w:r>
        <w:t>——</w:t>
      </w:r>
      <w:r>
        <w:t>均隱含「決策主體是人」之基本假定。</w:t>
      </w:r>
      <w:r>
        <w:t>AI</w:t>
      </w:r>
      <w:r>
        <w:t>輔助決策系統之</w:t>
      </w:r>
      <w:proofErr w:type="gramStart"/>
      <w:r>
        <w:t>普及，</w:t>
      </w:r>
      <w:proofErr w:type="gramEnd"/>
      <w:r>
        <w:t>正對此一假定構成挑戰：</w:t>
      </w:r>
      <w:proofErr w:type="gramStart"/>
      <w:r>
        <w:t>其一，</w:t>
      </w:r>
      <w:proofErr w:type="gramEnd"/>
      <w:r>
        <w:t>決策的「情境建構」部分由演算法自動完成，過去「誰定義問題」之研究預設出現鬆動；</w:t>
      </w:r>
      <w:proofErr w:type="gramStart"/>
      <w:r>
        <w:t>其二，</w:t>
      </w:r>
      <w:proofErr w:type="gramEnd"/>
      <w:r>
        <w:t>行政裁量權部分移轉至人機介面，既有理論對「裁量」</w:t>
      </w:r>
      <w:r>
        <w:t>之研究對象變得模糊；其</w:t>
      </w:r>
      <w:proofErr w:type="gramStart"/>
      <w:r>
        <w:t>三</w:t>
      </w:r>
      <w:proofErr w:type="gramEnd"/>
      <w:r>
        <w:t>，演算法</w:t>
      </w:r>
      <w:proofErr w:type="gramStart"/>
      <w:r>
        <w:t>黑箱使既</w:t>
      </w:r>
      <w:proofErr w:type="gramEnd"/>
      <w:r>
        <w:t>有「因果</w:t>
      </w:r>
      <w:r>
        <w:t>—</w:t>
      </w:r>
      <w:r>
        <w:t>比較」等研究途徑難以完整捕捉決策邏輯。這些現象是否構成</w:t>
      </w:r>
      <w:r>
        <w:t>Kuhn</w:t>
      </w:r>
      <w:r>
        <w:t>所稱「既有典範無法解釋之異例」，值得持續觀察與驗證，但至少顯示既有典範之解釋力正面臨真實壓力。</w:t>
      </w:r>
    </w:p>
    <w:p w:rsidR="00574D39" w:rsidRDefault="007B3343">
      <w:pPr>
        <w:spacing w:after="200" w:line="360" w:lineRule="auto"/>
        <w:ind w:firstLine="431"/>
        <w:jc w:val="both"/>
      </w:pPr>
      <w:r>
        <w:t>三、分析層次架構之方法論意義</w:t>
      </w:r>
    </w:p>
    <w:p w:rsidR="00574D39" w:rsidRDefault="007B3343">
      <w:pPr>
        <w:spacing w:after="200" w:line="360" w:lineRule="auto"/>
        <w:ind w:firstLine="431"/>
        <w:jc w:val="both"/>
      </w:pPr>
      <w:r>
        <w:t>在異例累積、但新典範尚未確立之過渡階段，本書所提出之治理座標架構（結合水平分析單位與垂直分析層次），提供了一套系統性的過渡工具：它</w:t>
      </w:r>
      <w:proofErr w:type="gramStart"/>
      <w:r>
        <w:t>不</w:t>
      </w:r>
      <w:proofErr w:type="gramEnd"/>
      <w:r>
        <w:t>預設</w:t>
      </w:r>
      <w:r>
        <w:t>AI</w:t>
      </w:r>
      <w:r>
        <w:t>治理必然構成典範轉移，</w:t>
      </w:r>
      <w:r>
        <w:lastRenderedPageBreak/>
        <w:t>而是先提供一套「定位系統」，標定</w:t>
      </w:r>
      <w:r>
        <w:t>AI</w:t>
      </w:r>
      <w:r>
        <w:t>介入公共行政的起始格位與延伸格位，並搭配權力移轉、結構性效應、治理鏈與治理審</w:t>
      </w:r>
      <w:r>
        <w:t>計等工具，追蹤具體的責任歸屬與風險</w:t>
      </w:r>
      <w:r>
        <w:t>——</w:t>
      </w:r>
      <w:r>
        <w:t>這正是</w:t>
      </w:r>
      <w:r>
        <w:t>Merton</w:t>
      </w:r>
      <w:r>
        <w:t>中程理論精神之體現：不</w:t>
      </w:r>
      <w:proofErr w:type="gramStart"/>
      <w:r>
        <w:t>躁</w:t>
      </w:r>
      <w:proofErr w:type="gramEnd"/>
      <w:r>
        <w:t>進宣稱理論已經「典範轉移」，而是先建立可驗證、範圍有限且開放、具聯繫性的分析工具，讓後續研究能在既有基礎上逐步累積與修正。</w:t>
      </w:r>
    </w:p>
    <w:p w:rsidR="00574D39" w:rsidRDefault="007B3343">
      <w:pPr>
        <w:spacing w:after="200" w:line="360" w:lineRule="auto"/>
        <w:ind w:firstLine="431"/>
        <w:jc w:val="both"/>
      </w:pPr>
      <w:r>
        <w:t>四、結論</w:t>
      </w:r>
    </w:p>
    <w:p w:rsidR="00574D39" w:rsidRDefault="007B3343">
      <w:pPr>
        <w:spacing w:after="200" w:line="360" w:lineRule="auto"/>
        <w:ind w:firstLine="431"/>
        <w:jc w:val="both"/>
      </w:pPr>
      <w:r>
        <w:t>AI</w:t>
      </w:r>
      <w:r>
        <w:t>是否催生行政學新典範，目前仍難以定論</w:t>
      </w:r>
      <w:proofErr w:type="gramStart"/>
      <w:r>
        <w:t>—</w:t>
      </w:r>
      <w:proofErr w:type="gramEnd"/>
      <w:r>
        <w:t>—</w:t>
      </w:r>
      <w:r>
        <w:t>這正是典範轉移理論本身「不可</w:t>
      </w:r>
      <w:proofErr w:type="gramStart"/>
      <w:r>
        <w:t>共量</w:t>
      </w:r>
      <w:proofErr w:type="gramEnd"/>
      <w:r>
        <w:t>性」與「事後回顧性」的特徵，身處其中的研究者往往難以即時判斷。然而，可以確定的是，既有典範解釋</w:t>
      </w:r>
      <w:r>
        <w:t>AI</w:t>
      </w:r>
      <w:r>
        <w:t>治理現象時確實已出現壓力與異例，而以分析層次架構系統性追蹤、定位這些異例，正是回應此一方法論挑戰的務實路徑，也是</w:t>
      </w:r>
      <w:r>
        <w:t>Merton</w:t>
      </w:r>
      <w:r>
        <w:t>中程理論精神在</w:t>
      </w:r>
      <w:r>
        <w:t>AI</w:t>
      </w:r>
      <w:r>
        <w:t>時代的具體實踐。</w:t>
      </w:r>
    </w:p>
    <w:p w:rsidR="00574D39" w:rsidRDefault="007B3343">
      <w:pPr>
        <w:spacing w:before="160" w:after="100"/>
      </w:pPr>
      <w:r>
        <w:rPr>
          <w:b/>
          <w:bCs/>
          <w:color w:val="444444"/>
          <w:sz w:val="21"/>
          <w:szCs w:val="21"/>
        </w:rPr>
        <w:t>【得分關鍵】</w:t>
      </w:r>
    </w:p>
    <w:p w:rsidR="00574D39" w:rsidRDefault="007B3343">
      <w:pPr>
        <w:pStyle w:val="a4"/>
        <w:numPr>
          <w:ilvl w:val="0"/>
          <w:numId w:val="2"/>
        </w:numPr>
        <w:spacing w:after="120" w:line="340" w:lineRule="auto"/>
      </w:pPr>
      <w:r>
        <w:t>須具體指出</w:t>
      </w:r>
      <w:r>
        <w:t>AI</w:t>
      </w:r>
      <w:r>
        <w:t>帶來的「異例」為何（情境建構自動化、裁量權移轉、演算法黑箱），不可只泛稱「</w:t>
      </w:r>
      <w:r>
        <w:t>AI</w:t>
      </w:r>
      <w:r>
        <w:t>帶來很大挑戰」。</w:t>
      </w:r>
    </w:p>
    <w:p w:rsidR="00574D39" w:rsidRDefault="007B3343">
      <w:pPr>
        <w:pStyle w:val="a4"/>
        <w:numPr>
          <w:ilvl w:val="0"/>
          <w:numId w:val="2"/>
        </w:numPr>
        <w:spacing w:after="120" w:line="340" w:lineRule="auto"/>
      </w:pPr>
      <w:proofErr w:type="gramStart"/>
      <w:r>
        <w:t>須扣回</w:t>
      </w:r>
      <w:proofErr w:type="gramEnd"/>
      <w:r>
        <w:t>Kuhn</w:t>
      </w:r>
      <w:r>
        <w:t>典範轉移理論之核心概念（異例累積、不可共量性），並將分析層次架構定位為「回應異例的中程理論工具」，而非直接宣稱「新典範已經確立」</w:t>
      </w:r>
      <w:r>
        <w:t>——</w:t>
      </w:r>
      <w:r>
        <w:t>過度武斷的結論反而扣分。</w:t>
      </w:r>
    </w:p>
    <w:p w:rsidR="00574D39" w:rsidRDefault="007B3343">
      <w:pPr>
        <w:pStyle w:val="a4"/>
        <w:numPr>
          <w:ilvl w:val="0"/>
          <w:numId w:val="2"/>
        </w:numPr>
        <w:spacing w:after="120" w:line="340" w:lineRule="auto"/>
      </w:pPr>
      <w:r>
        <w:t>結論應呈現「開放但審慎」的方法論態度，呼應</w:t>
      </w:r>
      <w:r>
        <w:t>Merton</w:t>
      </w:r>
      <w:r>
        <w:t>中程理論之精神。</w:t>
      </w:r>
    </w:p>
    <w:p w:rsidR="00574D39" w:rsidRDefault="007B3343">
      <w:pPr>
        <w:spacing w:before="160" w:after="100"/>
      </w:pPr>
      <w:r>
        <w:rPr>
          <w:b/>
          <w:bCs/>
          <w:color w:val="444444"/>
          <w:sz w:val="21"/>
          <w:szCs w:val="21"/>
        </w:rPr>
        <w:t>【常見失分】</w:t>
      </w:r>
    </w:p>
    <w:p w:rsidR="00574D39" w:rsidRDefault="007B3343">
      <w:pPr>
        <w:pStyle w:val="a4"/>
        <w:numPr>
          <w:ilvl w:val="0"/>
          <w:numId w:val="2"/>
        </w:numPr>
        <w:spacing w:after="120" w:line="340" w:lineRule="auto"/>
      </w:pPr>
      <w:r>
        <w:t>❌</w:t>
      </w:r>
      <w:r>
        <w:t xml:space="preserve"> </w:t>
      </w:r>
      <w:r>
        <w:t>直接斷言「</w:t>
      </w:r>
      <w:r>
        <w:t>AI</w:t>
      </w:r>
      <w:r>
        <w:t>已經創造了全新的行政學典範」，缺乏</w:t>
      </w:r>
      <w:r>
        <w:t>Kuhn</w:t>
      </w:r>
      <w:r>
        <w:t>理論所要求的異例分析與審慎論證，流於武斷。</w:t>
      </w:r>
    </w:p>
    <w:p w:rsidR="00574D39" w:rsidRDefault="007B3343">
      <w:pPr>
        <w:pStyle w:val="a4"/>
        <w:numPr>
          <w:ilvl w:val="0"/>
          <w:numId w:val="2"/>
        </w:numPr>
        <w:spacing w:after="120" w:line="340" w:lineRule="auto"/>
      </w:pPr>
      <w:r>
        <w:t>❌</w:t>
      </w:r>
      <w:r>
        <w:t xml:space="preserve"> </w:t>
      </w:r>
      <w:r>
        <w:t>只談</w:t>
      </w:r>
      <w:r>
        <w:t>AI</w:t>
      </w:r>
      <w:r>
        <w:t>對行政實務的衝擊，未扣回「研究典範」與「方法論」層次的提問，偏離題旨。</w:t>
      </w:r>
    </w:p>
    <w:p w:rsidR="00574D39" w:rsidRDefault="007B3343">
      <w:pPr>
        <w:pStyle w:val="a4"/>
        <w:numPr>
          <w:ilvl w:val="0"/>
          <w:numId w:val="2"/>
        </w:numPr>
        <w:spacing w:after="120" w:line="340" w:lineRule="auto"/>
      </w:pPr>
      <w:r>
        <w:t>❌</w:t>
      </w:r>
      <w:r>
        <w:t xml:space="preserve"> </w:t>
      </w:r>
      <w:r>
        <w:t>未能具體說明「分析層次架構」如何回應方法論挑戰，僅重複背誦</w:t>
      </w:r>
      <w:r>
        <w:t>25-3-3-4-7</w:t>
      </w:r>
      <w:r>
        <w:t>名詞而未解釋其功能。</w:t>
      </w:r>
    </w:p>
    <w:p w:rsidR="00574D39" w:rsidRDefault="007B3343">
      <w:pPr>
        <w:spacing w:before="160" w:after="100"/>
      </w:pPr>
      <w:r>
        <w:rPr>
          <w:b/>
          <w:bCs/>
          <w:color w:val="444444"/>
          <w:sz w:val="21"/>
          <w:szCs w:val="21"/>
        </w:rPr>
        <w:lastRenderedPageBreak/>
        <w:t>【高分加分點】</w:t>
      </w:r>
    </w:p>
    <w:p w:rsidR="00574D39" w:rsidRDefault="007B3343">
      <w:pPr>
        <w:pStyle w:val="a4"/>
        <w:numPr>
          <w:ilvl w:val="0"/>
          <w:numId w:val="2"/>
        </w:numPr>
        <w:spacing w:after="120" w:line="340" w:lineRule="auto"/>
      </w:pPr>
      <w:r>
        <w:t>可補充</w:t>
      </w:r>
      <w:r>
        <w:t>Merton</w:t>
      </w:r>
      <w:r>
        <w:t>中程理論三項特點（實踐經驗性、範圍有限且開放、聯繫性），強調本書分析層次架構刻意不</w:t>
      </w:r>
      <w:proofErr w:type="gramStart"/>
      <w:r>
        <w:t>躁</w:t>
      </w:r>
      <w:proofErr w:type="gramEnd"/>
      <w:r>
        <w:t>進宣稱「典範轉移已然發生」，而是先提供可驗證、可修正之中程分析工具，此一方法論自制正是回應本題開放性問</w:t>
      </w:r>
      <w:r>
        <w:t>題之審慎立場。</w:t>
      </w:r>
    </w:p>
    <w:p w:rsidR="00574D39" w:rsidRDefault="007B3343">
      <w:pPr>
        <w:pStyle w:val="a4"/>
        <w:numPr>
          <w:ilvl w:val="0"/>
          <w:numId w:val="2"/>
        </w:numPr>
        <w:spacing w:after="120" w:line="340" w:lineRule="auto"/>
      </w:pPr>
      <w:r>
        <w:t>可補充比較視角：援引</w:t>
      </w:r>
      <w:r>
        <w:t>Ostrom</w:t>
      </w:r>
      <w:r>
        <w:t>「</w:t>
      </w:r>
      <w:r>
        <w:t>Wilson</w:t>
      </w:r>
      <w:r>
        <w:t>典範</w:t>
      </w:r>
      <w:r>
        <w:t>→</w:t>
      </w:r>
      <w:r>
        <w:t>民主行政典範」或</w:t>
      </w:r>
      <w:r>
        <w:t>Harmon</w:t>
      </w:r>
      <w:r>
        <w:t>「實證典範</w:t>
      </w:r>
      <w:r>
        <w:t>→</w:t>
      </w:r>
      <w:r>
        <w:t>行動典範」之既有典範轉移案例作為對照，說明</w:t>
      </w:r>
      <w:r>
        <w:t>AI</w:t>
      </w:r>
      <w:r>
        <w:t>帶來之異例與過往典範轉移之異例（如人性複雜性、政治性）性質不同，</w:t>
      </w:r>
      <w:r>
        <w:t>AI</w:t>
      </w:r>
      <w:proofErr w:type="gramStart"/>
      <w:r>
        <w:t>異例更聚焦</w:t>
      </w:r>
      <w:proofErr w:type="gramEnd"/>
      <w:r>
        <w:t>於「決策主體本身之混合化」（人機協作），此一比較可展現對典範轉移理論之精細掌握。</w:t>
      </w:r>
    </w:p>
    <w:p w:rsidR="00574D39" w:rsidRDefault="007B3343">
      <w:pPr>
        <w:pStyle w:val="a4"/>
        <w:numPr>
          <w:ilvl w:val="0"/>
          <w:numId w:val="2"/>
        </w:numPr>
        <w:spacing w:after="120" w:line="340" w:lineRule="auto"/>
      </w:pPr>
      <w:r>
        <w:t>可補充批判視角：即便</w:t>
      </w:r>
      <w:r>
        <w:t>AI</w:t>
      </w:r>
      <w:r>
        <w:t>異例確實存在，亦須警惕不宜倉促宣稱「新典範」已經確立</w:t>
      </w:r>
      <w:proofErr w:type="gramStart"/>
      <w:r>
        <w:t>—</w:t>
      </w:r>
      <w:proofErr w:type="gramEnd"/>
      <w:r>
        <w:t>—</w:t>
      </w:r>
      <w:r>
        <w:t>過早宣稱典範轉移，本身即可能重演</w:t>
      </w:r>
      <w:r>
        <w:t>Kuhn</w:t>
      </w:r>
      <w:r>
        <w:t>所警示之「典範被過早鞏固、掩蓋尚待驗證的異例」之風險，此一審慎態度正是本題結論所欲強調之核心立場。</w:t>
      </w:r>
    </w:p>
    <w:p w:rsidR="00574D39" w:rsidRDefault="00574D39">
      <w:pPr>
        <w:spacing w:after="260"/>
      </w:pPr>
    </w:p>
    <w:p w:rsidR="00574D39" w:rsidRDefault="007B3343">
      <w:pPr>
        <w:spacing w:before="400" w:after="200"/>
      </w:pPr>
      <w:r>
        <w:rPr>
          <w:b/>
          <w:bCs/>
          <w:sz w:val="32"/>
          <w:szCs w:val="32"/>
        </w:rPr>
        <w:t>【歷屆試題】</w:t>
      </w:r>
    </w:p>
    <w:p w:rsidR="00574D39" w:rsidRDefault="007B3343">
      <w:pPr>
        <w:spacing w:after="200" w:line="360" w:lineRule="auto"/>
        <w:ind w:firstLine="431"/>
        <w:jc w:val="both"/>
      </w:pPr>
      <w:r>
        <w:t>本章語料庫（考選部</w:t>
      </w:r>
      <w:r>
        <w:t>107-111</w:t>
      </w:r>
      <w:r>
        <w:t>年官方公告試題，行政學／行政學概要科目）中，未查得與典範理論、研究途徑或分析層次架構直接</w:t>
      </w:r>
      <w:proofErr w:type="gramStart"/>
      <w:r>
        <w:t>對應之申論</w:t>
      </w:r>
      <w:proofErr w:type="gramEnd"/>
      <w:r>
        <w:t>真題</w:t>
      </w:r>
      <w:r>
        <w:t>——</w:t>
      </w:r>
      <w:r>
        <w:t>此一結果與本章主題性質相符：典範分析、研究方法論屬基礎性、方法論主題，多以測驗題（單選題）形式測驗，較少單獨成為申論題之命題焦點。</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600"/>
        <w:gridCol w:w="1000"/>
        <w:gridCol w:w="3226"/>
        <w:gridCol w:w="1000"/>
      </w:tblGrid>
      <w:tr w:rsidR="00574D39">
        <w:tblPrEx>
          <w:tblCellMar>
            <w:top w:w="0" w:type="dxa"/>
            <w:bottom w:w="0" w:type="dxa"/>
          </w:tblCellMar>
        </w:tblPrEx>
        <w:trPr>
          <w:tblHeader/>
        </w:trPr>
        <w:tc>
          <w:tcPr>
            <w:tcW w:w="22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年度／</w:t>
            </w:r>
            <w:r>
              <w:rPr>
                <w:b/>
                <w:bCs/>
                <w:color w:val="FFFFFF"/>
                <w:sz w:val="19"/>
                <w:szCs w:val="19"/>
              </w:rPr>
              <w:t>考試</w:t>
            </w:r>
          </w:p>
        </w:tc>
        <w:tc>
          <w:tcPr>
            <w:tcW w:w="16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類科</w:t>
            </w:r>
          </w:p>
        </w:tc>
        <w:tc>
          <w:tcPr>
            <w:tcW w:w="10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難度</w:t>
            </w:r>
          </w:p>
        </w:tc>
        <w:tc>
          <w:tcPr>
            <w:tcW w:w="3226" w:type="dxa"/>
            <w:shd w:val="clear" w:color="auto" w:fill="1F4E79"/>
            <w:tcMar>
              <w:top w:w="80" w:type="dxa"/>
              <w:left w:w="100" w:type="dxa"/>
              <w:bottom w:w="80" w:type="dxa"/>
              <w:right w:w="100" w:type="dxa"/>
            </w:tcMar>
            <w:vAlign w:val="center"/>
          </w:tcPr>
          <w:p w:rsidR="00574D39" w:rsidRDefault="007B3343">
            <w:pPr>
              <w:jc w:val="center"/>
            </w:pPr>
            <w:proofErr w:type="gramStart"/>
            <w:r>
              <w:rPr>
                <w:b/>
                <w:bCs/>
                <w:color w:val="FFFFFF"/>
                <w:sz w:val="19"/>
                <w:szCs w:val="19"/>
              </w:rPr>
              <w:t>考點</w:t>
            </w:r>
            <w:proofErr w:type="gramEnd"/>
          </w:p>
        </w:tc>
        <w:tc>
          <w:tcPr>
            <w:tcW w:w="1000" w:type="dxa"/>
            <w:shd w:val="clear" w:color="auto" w:fill="1F4E79"/>
            <w:tcMar>
              <w:top w:w="80" w:type="dxa"/>
              <w:left w:w="100" w:type="dxa"/>
              <w:bottom w:w="80" w:type="dxa"/>
              <w:right w:w="100" w:type="dxa"/>
            </w:tcMar>
            <w:vAlign w:val="center"/>
          </w:tcPr>
          <w:p w:rsidR="00574D39" w:rsidRDefault="007B3343">
            <w:pPr>
              <w:jc w:val="center"/>
            </w:pPr>
            <w:r>
              <w:rPr>
                <w:b/>
                <w:bCs/>
                <w:color w:val="FFFFFF"/>
                <w:sz w:val="19"/>
                <w:szCs w:val="19"/>
              </w:rPr>
              <w:t>查證狀態</w:t>
            </w:r>
          </w:p>
        </w:tc>
      </w:tr>
      <w:tr w:rsidR="00574D39">
        <w:tblPrEx>
          <w:tblCellMar>
            <w:top w:w="0" w:type="dxa"/>
            <w:bottom w:w="0" w:type="dxa"/>
          </w:tblCellMar>
        </w:tblPrEx>
        <w:tc>
          <w:tcPr>
            <w:tcW w:w="2200" w:type="dxa"/>
            <w:shd w:val="clear" w:color="auto" w:fill="FFFFFF"/>
            <w:tcMar>
              <w:top w:w="80" w:type="dxa"/>
              <w:left w:w="100" w:type="dxa"/>
              <w:bottom w:w="80" w:type="dxa"/>
              <w:right w:w="100" w:type="dxa"/>
            </w:tcMar>
            <w:vAlign w:val="center"/>
          </w:tcPr>
          <w:p w:rsidR="00574D39" w:rsidRDefault="007B3343">
            <w:pPr>
              <w:spacing w:after="40"/>
            </w:pPr>
            <w:r>
              <w:rPr>
                <w:sz w:val="15"/>
                <w:szCs w:val="15"/>
              </w:rPr>
              <w:t>（本章暫無對應真題）</w:t>
            </w:r>
          </w:p>
        </w:tc>
        <w:tc>
          <w:tcPr>
            <w:tcW w:w="1600" w:type="dxa"/>
            <w:shd w:val="clear" w:color="auto" w:fill="FFFFFF"/>
            <w:tcMar>
              <w:top w:w="80" w:type="dxa"/>
              <w:left w:w="100" w:type="dxa"/>
              <w:bottom w:w="80" w:type="dxa"/>
              <w:right w:w="100" w:type="dxa"/>
            </w:tcMar>
            <w:vAlign w:val="center"/>
          </w:tcPr>
          <w:p w:rsidR="00574D39" w:rsidRDefault="007B3343">
            <w:pPr>
              <w:spacing w:after="40"/>
            </w:pPr>
            <w:r>
              <w:rPr>
                <w:sz w:val="15"/>
                <w:szCs w:val="15"/>
              </w:rPr>
              <w:t>—</w:t>
            </w:r>
          </w:p>
        </w:tc>
        <w:tc>
          <w:tcPr>
            <w:tcW w:w="1000" w:type="dxa"/>
            <w:shd w:val="clear" w:color="auto" w:fill="FFFFFF"/>
            <w:tcMar>
              <w:top w:w="80" w:type="dxa"/>
              <w:left w:w="100" w:type="dxa"/>
              <w:bottom w:w="80" w:type="dxa"/>
              <w:right w:w="100" w:type="dxa"/>
            </w:tcMar>
            <w:vAlign w:val="center"/>
          </w:tcPr>
          <w:p w:rsidR="00574D39" w:rsidRDefault="007B3343">
            <w:pPr>
              <w:spacing w:after="40"/>
            </w:pPr>
            <w:r>
              <w:rPr>
                <w:sz w:val="15"/>
                <w:szCs w:val="15"/>
              </w:rPr>
              <w:t>—</w:t>
            </w:r>
          </w:p>
        </w:tc>
        <w:tc>
          <w:tcPr>
            <w:tcW w:w="3226" w:type="dxa"/>
            <w:shd w:val="clear" w:color="auto" w:fill="FFFFFF"/>
            <w:tcMar>
              <w:top w:w="80" w:type="dxa"/>
              <w:left w:w="100" w:type="dxa"/>
              <w:bottom w:w="80" w:type="dxa"/>
              <w:right w:w="100" w:type="dxa"/>
            </w:tcMar>
            <w:vAlign w:val="center"/>
          </w:tcPr>
          <w:p w:rsidR="00574D39" w:rsidRDefault="007B3343">
            <w:pPr>
              <w:spacing w:after="40"/>
            </w:pPr>
            <w:r>
              <w:rPr>
                <w:sz w:val="15"/>
                <w:szCs w:val="15"/>
              </w:rPr>
              <w:t>—</w:t>
            </w:r>
          </w:p>
        </w:tc>
        <w:tc>
          <w:tcPr>
            <w:tcW w:w="1000" w:type="dxa"/>
            <w:shd w:val="clear" w:color="auto" w:fill="FFFFFF"/>
            <w:tcMar>
              <w:top w:w="80" w:type="dxa"/>
              <w:left w:w="100" w:type="dxa"/>
              <w:bottom w:w="80" w:type="dxa"/>
              <w:right w:w="100" w:type="dxa"/>
            </w:tcMar>
            <w:vAlign w:val="center"/>
          </w:tcPr>
          <w:p w:rsidR="00574D39" w:rsidRDefault="007B3343">
            <w:pPr>
              <w:spacing w:after="40"/>
            </w:pPr>
            <w:r>
              <w:rPr>
                <w:sz w:val="15"/>
                <w:szCs w:val="15"/>
              </w:rPr>
              <w:t>語料庫（</w:t>
            </w:r>
            <w:r>
              <w:rPr>
                <w:sz w:val="15"/>
                <w:szCs w:val="15"/>
              </w:rPr>
              <w:t>107-111</w:t>
            </w:r>
            <w:r>
              <w:rPr>
                <w:sz w:val="15"/>
                <w:szCs w:val="15"/>
              </w:rPr>
              <w:t>年）中未查得對應申</w:t>
            </w:r>
            <w:proofErr w:type="gramStart"/>
            <w:r>
              <w:rPr>
                <w:sz w:val="15"/>
                <w:szCs w:val="15"/>
              </w:rPr>
              <w:t>論真題</w:t>
            </w:r>
            <w:proofErr w:type="gramEnd"/>
            <w:r>
              <w:rPr>
                <w:sz w:val="15"/>
                <w:szCs w:val="15"/>
              </w:rPr>
              <w:t>，建議後續補充</w:t>
            </w:r>
            <w:r>
              <w:rPr>
                <w:sz w:val="15"/>
                <w:szCs w:val="15"/>
              </w:rPr>
              <w:t>112</w:t>
            </w:r>
            <w:r>
              <w:rPr>
                <w:sz w:val="15"/>
                <w:szCs w:val="15"/>
              </w:rPr>
              <w:t>年以後年度或測驗題題庫</w:t>
            </w:r>
          </w:p>
        </w:tc>
      </w:tr>
    </w:tbl>
    <w:p w:rsidR="00574D39" w:rsidRDefault="007B3343">
      <w:pPr>
        <w:spacing w:before="120" w:after="280"/>
        <w:jc w:val="center"/>
      </w:pPr>
      <w:r>
        <w:rPr>
          <w:i/>
          <w:iCs/>
          <w:color w:val="555555"/>
          <w:sz w:val="18"/>
          <w:szCs w:val="18"/>
        </w:rPr>
        <w:t>表</w:t>
      </w:r>
      <w:r>
        <w:rPr>
          <w:i/>
          <w:iCs/>
          <w:color w:val="555555"/>
          <w:sz w:val="18"/>
          <w:szCs w:val="18"/>
        </w:rPr>
        <w:t>3-G</w:t>
      </w:r>
      <w:r>
        <w:rPr>
          <w:i/>
          <w:iCs/>
          <w:color w:val="555555"/>
          <w:sz w:val="18"/>
          <w:szCs w:val="18"/>
        </w:rPr>
        <w:t xml:space="preserve">　本章相關歷屆試題查證結果</w:t>
      </w:r>
    </w:p>
    <w:p w:rsidR="00574D39" w:rsidRDefault="007B3343">
      <w:pPr>
        <w:spacing w:after="200" w:line="360" w:lineRule="auto"/>
        <w:ind w:firstLine="431"/>
        <w:jc w:val="both"/>
      </w:pPr>
      <w:r>
        <w:lastRenderedPageBreak/>
        <w:t>提醒：本章雖</w:t>
      </w:r>
      <w:proofErr w:type="gramStart"/>
      <w:r>
        <w:t>無申論真題</w:t>
      </w:r>
      <w:proofErr w:type="gramEnd"/>
      <w:r>
        <w:t>，但新公共行政（</w:t>
      </w:r>
      <w:r>
        <w:t>NPA</w:t>
      </w:r>
      <w:r>
        <w:t>）</w:t>
      </w:r>
      <w:r>
        <w:t>vs.</w:t>
      </w:r>
      <w:r>
        <w:t>新公共管理（</w:t>
      </w:r>
      <w:r>
        <w:t>NPM</w:t>
      </w:r>
      <w:r>
        <w:t>）之比較架構（表</w:t>
      </w:r>
      <w:r>
        <w:t>3-C</w:t>
      </w:r>
      <w:r>
        <w:t>），是</w:t>
      </w:r>
      <w:proofErr w:type="gramStart"/>
      <w:r>
        <w:t>國考申</w:t>
      </w:r>
      <w:proofErr w:type="gramEnd"/>
      <w:r>
        <w:t>論極高頻之命題素材，只是多半以「請比較新公共行政與新公共管理」之形式，被歸類命題於其他相關章節（如第四章公共性與新公共行政、第九章治理典範）</w:t>
      </w:r>
      <w:proofErr w:type="gramStart"/>
      <w:r>
        <w:t>之申論真</w:t>
      </w:r>
      <w:proofErr w:type="gramEnd"/>
      <w:r>
        <w:t>題中，讀者可於後續章節之歷屆試題中留意此一比較架構之反覆出現。</w:t>
      </w:r>
    </w:p>
    <w:p w:rsidR="00574D39" w:rsidRDefault="00574D39">
      <w:pPr>
        <w:spacing w:after="260"/>
      </w:pPr>
    </w:p>
    <w:p w:rsidR="00574D39" w:rsidRDefault="007B3343">
      <w:pPr>
        <w:spacing w:before="400" w:after="200"/>
      </w:pPr>
      <w:r>
        <w:rPr>
          <w:b/>
          <w:bCs/>
          <w:sz w:val="32"/>
          <w:szCs w:val="32"/>
        </w:rPr>
        <w:t>【本章一頁掌握】</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574D39" w:rsidRDefault="007B3343">
            <w:pPr>
              <w:spacing w:after="100"/>
            </w:pPr>
            <w:r>
              <w:rPr>
                <w:b/>
                <w:bCs/>
                <w:color w:val="1F4E79"/>
              </w:rPr>
              <w:t>典範的意義</w:t>
            </w:r>
          </w:p>
          <w:p w:rsidR="00574D39" w:rsidRDefault="007B3343">
            <w:pPr>
              <w:spacing w:line="340" w:lineRule="auto"/>
              <w:jc w:val="both"/>
            </w:pPr>
            <w:r>
              <w:rPr>
                <w:sz w:val="21"/>
                <w:szCs w:val="21"/>
              </w:rPr>
              <w:t>Kuhn</w:t>
            </w:r>
            <w:r>
              <w:rPr>
                <w:sz w:val="21"/>
                <w:szCs w:val="21"/>
              </w:rPr>
              <w:t>典範循環：前典範</w:t>
            </w:r>
            <w:r>
              <w:rPr>
                <w:sz w:val="21"/>
                <w:szCs w:val="21"/>
              </w:rPr>
              <w:t>→</w:t>
            </w:r>
            <w:r>
              <w:rPr>
                <w:sz w:val="21"/>
                <w:szCs w:val="21"/>
              </w:rPr>
              <w:t>常態</w:t>
            </w:r>
            <w:proofErr w:type="gramStart"/>
            <w:r>
              <w:rPr>
                <w:sz w:val="21"/>
                <w:szCs w:val="21"/>
              </w:rPr>
              <w:t>科學</w:t>
            </w:r>
            <w:r>
              <w:rPr>
                <w:sz w:val="21"/>
                <w:szCs w:val="21"/>
              </w:rPr>
              <w:t>→</w:t>
            </w:r>
            <w:proofErr w:type="gramEnd"/>
            <w:r>
              <w:rPr>
                <w:sz w:val="21"/>
                <w:szCs w:val="21"/>
              </w:rPr>
              <w:t>危機</w:t>
            </w:r>
            <w:r>
              <w:rPr>
                <w:sz w:val="21"/>
                <w:szCs w:val="21"/>
              </w:rPr>
              <w:t>→</w:t>
            </w:r>
            <w:r>
              <w:rPr>
                <w:sz w:val="21"/>
                <w:szCs w:val="21"/>
              </w:rPr>
              <w:t>科學革命</w:t>
            </w:r>
            <w:r>
              <w:rPr>
                <w:sz w:val="21"/>
                <w:szCs w:val="21"/>
              </w:rPr>
              <w:t>→</w:t>
            </w:r>
            <w:r>
              <w:rPr>
                <w:sz w:val="21"/>
                <w:szCs w:val="21"/>
              </w:rPr>
              <w:t>新典範</w:t>
            </w:r>
            <w:r>
              <w:rPr>
                <w:sz w:val="21"/>
                <w:szCs w:val="21"/>
              </w:rPr>
              <w:t xml:space="preserve"> → </w:t>
            </w:r>
            <w:r>
              <w:rPr>
                <w:sz w:val="21"/>
                <w:szCs w:val="21"/>
              </w:rPr>
              <w:t>不可</w:t>
            </w:r>
            <w:proofErr w:type="gramStart"/>
            <w:r>
              <w:rPr>
                <w:sz w:val="21"/>
                <w:szCs w:val="21"/>
              </w:rPr>
              <w:t>共量</w:t>
            </w:r>
            <w:proofErr w:type="gramEnd"/>
            <w:r>
              <w:rPr>
                <w:sz w:val="21"/>
                <w:szCs w:val="21"/>
              </w:rPr>
              <w:t>性，但典範轉移是重疊並存，不是線性取代</w:t>
            </w:r>
          </w:p>
        </w:tc>
      </w:tr>
    </w:tbl>
    <w:p w:rsidR="00574D39" w:rsidRDefault="00574D39">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574D39" w:rsidRDefault="007B3343">
            <w:pPr>
              <w:spacing w:after="100"/>
            </w:pPr>
            <w:r>
              <w:rPr>
                <w:b/>
                <w:bCs/>
                <w:color w:val="1F4E79"/>
              </w:rPr>
              <w:t>典範演變的多元視角</w:t>
            </w:r>
          </w:p>
          <w:p w:rsidR="00574D39" w:rsidRDefault="007B3343">
            <w:pPr>
              <w:spacing w:line="340" w:lineRule="auto"/>
              <w:jc w:val="both"/>
            </w:pPr>
            <w:r>
              <w:rPr>
                <w:sz w:val="21"/>
                <w:szCs w:val="21"/>
              </w:rPr>
              <w:t>Ostrom(Wilson</w:t>
            </w:r>
            <w:r>
              <w:rPr>
                <w:sz w:val="21"/>
                <w:szCs w:val="21"/>
              </w:rPr>
              <w:t>典範</w:t>
            </w:r>
            <w:r>
              <w:rPr>
                <w:sz w:val="21"/>
                <w:szCs w:val="21"/>
              </w:rPr>
              <w:t>→</w:t>
            </w:r>
            <w:r>
              <w:rPr>
                <w:sz w:val="21"/>
                <w:szCs w:val="21"/>
              </w:rPr>
              <w:t>民主行政典範</w:t>
            </w:r>
            <w:r>
              <w:rPr>
                <w:sz w:val="21"/>
                <w:szCs w:val="21"/>
              </w:rPr>
              <w:t xml:space="preserve">) </w:t>
            </w:r>
            <w:r>
              <w:rPr>
                <w:sz w:val="21"/>
                <w:szCs w:val="21"/>
              </w:rPr>
              <w:t>＋</w:t>
            </w:r>
            <w:r>
              <w:rPr>
                <w:sz w:val="21"/>
                <w:szCs w:val="21"/>
              </w:rPr>
              <w:t xml:space="preserve"> Harmon(</w:t>
            </w:r>
            <w:r>
              <w:rPr>
                <w:sz w:val="21"/>
                <w:szCs w:val="21"/>
              </w:rPr>
              <w:t>實證典範</w:t>
            </w:r>
            <w:r>
              <w:rPr>
                <w:sz w:val="21"/>
                <w:szCs w:val="21"/>
              </w:rPr>
              <w:t>→</w:t>
            </w:r>
            <w:r>
              <w:rPr>
                <w:sz w:val="21"/>
                <w:szCs w:val="21"/>
              </w:rPr>
              <w:t>行動典範</w:t>
            </w:r>
            <w:r>
              <w:rPr>
                <w:sz w:val="21"/>
                <w:szCs w:val="21"/>
              </w:rPr>
              <w:t xml:space="preserve">) </w:t>
            </w:r>
            <w:r>
              <w:rPr>
                <w:sz w:val="21"/>
                <w:szCs w:val="21"/>
              </w:rPr>
              <w:t>＋</w:t>
            </w:r>
            <w:r>
              <w:rPr>
                <w:sz w:val="21"/>
                <w:szCs w:val="21"/>
              </w:rPr>
              <w:t xml:space="preserve"> Denhardt(</w:t>
            </w:r>
            <w:r>
              <w:rPr>
                <w:sz w:val="21"/>
                <w:szCs w:val="21"/>
              </w:rPr>
              <w:t>四類型：行政控制</w:t>
            </w:r>
            <w:r>
              <w:rPr>
                <w:sz w:val="21"/>
                <w:szCs w:val="21"/>
              </w:rPr>
              <w:t>/</w:t>
            </w:r>
            <w:r>
              <w:rPr>
                <w:sz w:val="21"/>
                <w:szCs w:val="21"/>
              </w:rPr>
              <w:t>組織學習</w:t>
            </w:r>
            <w:r>
              <w:rPr>
                <w:sz w:val="21"/>
                <w:szCs w:val="21"/>
              </w:rPr>
              <w:t>/</w:t>
            </w:r>
            <w:r>
              <w:rPr>
                <w:sz w:val="21"/>
                <w:szCs w:val="21"/>
              </w:rPr>
              <w:t>政治教育</w:t>
            </w:r>
            <w:r>
              <w:rPr>
                <w:sz w:val="21"/>
                <w:szCs w:val="21"/>
              </w:rPr>
              <w:t>/</w:t>
            </w:r>
            <w:r>
              <w:rPr>
                <w:sz w:val="21"/>
                <w:szCs w:val="21"/>
              </w:rPr>
              <w:t>政治結構</w:t>
            </w:r>
            <w:r>
              <w:rPr>
                <w:sz w:val="21"/>
                <w:szCs w:val="21"/>
              </w:rPr>
              <w:t>)</w:t>
            </w:r>
          </w:p>
        </w:tc>
      </w:tr>
    </w:tbl>
    <w:p w:rsidR="00574D39" w:rsidRDefault="00574D39">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FFF3CD"/>
              <w:left w:val="single" w:sz="24" w:space="0" w:color="C9971A"/>
              <w:bottom w:val="single" w:sz="2" w:space="0" w:color="FFF3CD"/>
              <w:right w:val="single" w:sz="2" w:space="0" w:color="FFF3CD"/>
            </w:tcBorders>
            <w:shd w:val="clear" w:color="auto" w:fill="FFF3CD"/>
            <w:tcMar>
              <w:top w:w="160" w:type="dxa"/>
              <w:left w:w="220" w:type="dxa"/>
              <w:bottom w:w="160" w:type="dxa"/>
              <w:right w:w="220" w:type="dxa"/>
            </w:tcMar>
          </w:tcPr>
          <w:p w:rsidR="00574D39" w:rsidRDefault="007B3343">
            <w:pPr>
              <w:spacing w:after="100"/>
            </w:pPr>
            <w:r>
              <w:rPr>
                <w:b/>
                <w:bCs/>
                <w:color w:val="C9971A"/>
              </w:rPr>
              <w:t>核心矛盾</w:t>
            </w:r>
          </w:p>
          <w:p w:rsidR="00574D39" w:rsidRDefault="007B3343">
            <w:pPr>
              <w:spacing w:line="340" w:lineRule="auto"/>
              <w:jc w:val="both"/>
            </w:pPr>
            <w:r>
              <w:rPr>
                <w:sz w:val="21"/>
                <w:szCs w:val="21"/>
              </w:rPr>
              <w:t>新左派</w:t>
            </w:r>
            <w:r>
              <w:rPr>
                <w:sz w:val="21"/>
                <w:szCs w:val="21"/>
              </w:rPr>
              <w:t>(</w:t>
            </w:r>
            <w:r>
              <w:rPr>
                <w:sz w:val="21"/>
                <w:szCs w:val="21"/>
              </w:rPr>
              <w:t>集體</w:t>
            </w:r>
            <w:r>
              <w:rPr>
                <w:sz w:val="21"/>
                <w:szCs w:val="21"/>
              </w:rPr>
              <w:t>/</w:t>
            </w:r>
            <w:r>
              <w:rPr>
                <w:sz w:val="21"/>
                <w:szCs w:val="21"/>
              </w:rPr>
              <w:t>公平</w:t>
            </w:r>
            <w:r>
              <w:rPr>
                <w:sz w:val="21"/>
                <w:szCs w:val="21"/>
              </w:rPr>
              <w:t>/</w:t>
            </w:r>
            <w:r>
              <w:rPr>
                <w:sz w:val="21"/>
                <w:szCs w:val="21"/>
              </w:rPr>
              <w:t>公民</w:t>
            </w:r>
            <w:r>
              <w:rPr>
                <w:sz w:val="21"/>
                <w:szCs w:val="21"/>
              </w:rPr>
              <w:t>)</w:t>
            </w:r>
            <w:r>
              <w:rPr>
                <w:sz w:val="21"/>
                <w:szCs w:val="21"/>
              </w:rPr>
              <w:t xml:space="preserve">　</w:t>
            </w:r>
            <w:r>
              <w:rPr>
                <w:sz w:val="21"/>
                <w:szCs w:val="21"/>
              </w:rPr>
              <w:t>↔</w:t>
            </w:r>
            <w:r>
              <w:rPr>
                <w:sz w:val="21"/>
                <w:szCs w:val="21"/>
              </w:rPr>
              <w:t xml:space="preserve">　新右派</w:t>
            </w:r>
            <w:r>
              <w:rPr>
                <w:sz w:val="21"/>
                <w:szCs w:val="21"/>
              </w:rPr>
              <w:t>(</w:t>
            </w:r>
            <w:r>
              <w:rPr>
                <w:sz w:val="21"/>
                <w:szCs w:val="21"/>
              </w:rPr>
              <w:t>個人</w:t>
            </w:r>
            <w:r>
              <w:rPr>
                <w:sz w:val="21"/>
                <w:szCs w:val="21"/>
              </w:rPr>
              <w:t>/</w:t>
            </w:r>
            <w:r>
              <w:rPr>
                <w:sz w:val="21"/>
                <w:szCs w:val="21"/>
              </w:rPr>
              <w:t>效率</w:t>
            </w:r>
            <w:r>
              <w:rPr>
                <w:sz w:val="21"/>
                <w:szCs w:val="21"/>
              </w:rPr>
              <w:t>/</w:t>
            </w:r>
            <w:r>
              <w:rPr>
                <w:sz w:val="21"/>
                <w:szCs w:val="21"/>
              </w:rPr>
              <w:t>顧客</w:t>
            </w:r>
            <w:r>
              <w:rPr>
                <w:sz w:val="21"/>
                <w:szCs w:val="21"/>
              </w:rPr>
              <w:t>)——</w:t>
            </w:r>
            <w:r>
              <w:rPr>
                <w:sz w:val="21"/>
                <w:szCs w:val="21"/>
              </w:rPr>
              <w:t>兩條系譜持續交替影響當代治理實務，未曾真正分出勝負</w:t>
            </w:r>
          </w:p>
        </w:tc>
      </w:tr>
    </w:tbl>
    <w:p w:rsidR="00574D39" w:rsidRDefault="00574D39">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574D39" w:rsidRDefault="007B3343">
            <w:pPr>
              <w:spacing w:after="100"/>
            </w:pPr>
            <w:r>
              <w:rPr>
                <w:b/>
                <w:bCs/>
                <w:color w:val="2E7D32"/>
              </w:rPr>
              <w:t>研究方法論</w:t>
            </w:r>
          </w:p>
          <w:p w:rsidR="00574D39" w:rsidRDefault="007B3343">
            <w:pPr>
              <w:spacing w:line="340" w:lineRule="auto"/>
              <w:jc w:val="both"/>
            </w:pPr>
            <w:r>
              <w:rPr>
                <w:sz w:val="21"/>
                <w:szCs w:val="21"/>
              </w:rPr>
              <w:t>九種研究途徑</w:t>
            </w:r>
            <w:r>
              <w:rPr>
                <w:sz w:val="21"/>
                <w:szCs w:val="21"/>
              </w:rPr>
              <w:t>(</w:t>
            </w:r>
            <w:r>
              <w:rPr>
                <w:sz w:val="21"/>
                <w:szCs w:val="21"/>
              </w:rPr>
              <w:t>歷史</w:t>
            </w:r>
            <w:r>
              <w:rPr>
                <w:sz w:val="21"/>
                <w:szCs w:val="21"/>
              </w:rPr>
              <w:t>/</w:t>
            </w:r>
            <w:r>
              <w:rPr>
                <w:sz w:val="21"/>
                <w:szCs w:val="21"/>
              </w:rPr>
              <w:t>描述</w:t>
            </w:r>
            <w:r>
              <w:rPr>
                <w:sz w:val="21"/>
                <w:szCs w:val="21"/>
              </w:rPr>
              <w:t>/</w:t>
            </w:r>
            <w:r>
              <w:rPr>
                <w:sz w:val="21"/>
                <w:szCs w:val="21"/>
              </w:rPr>
              <w:t>發展</w:t>
            </w:r>
            <w:r>
              <w:rPr>
                <w:sz w:val="21"/>
                <w:szCs w:val="21"/>
              </w:rPr>
              <w:t>/</w:t>
            </w:r>
            <w:r>
              <w:rPr>
                <w:sz w:val="21"/>
                <w:szCs w:val="21"/>
              </w:rPr>
              <w:t>個案田野</w:t>
            </w:r>
            <w:r>
              <w:rPr>
                <w:sz w:val="21"/>
                <w:szCs w:val="21"/>
              </w:rPr>
              <w:t>/</w:t>
            </w:r>
            <w:r>
              <w:rPr>
                <w:sz w:val="21"/>
                <w:szCs w:val="21"/>
              </w:rPr>
              <w:t>相關性</w:t>
            </w:r>
            <w:r>
              <w:rPr>
                <w:sz w:val="21"/>
                <w:szCs w:val="21"/>
              </w:rPr>
              <w:t>/</w:t>
            </w:r>
            <w:r>
              <w:rPr>
                <w:sz w:val="21"/>
                <w:szCs w:val="21"/>
              </w:rPr>
              <w:t>因果比較</w:t>
            </w:r>
            <w:r>
              <w:rPr>
                <w:sz w:val="21"/>
                <w:szCs w:val="21"/>
              </w:rPr>
              <w:t>/</w:t>
            </w:r>
            <w:r>
              <w:rPr>
                <w:sz w:val="21"/>
                <w:szCs w:val="21"/>
              </w:rPr>
              <w:t>真正實驗</w:t>
            </w:r>
            <w:r>
              <w:rPr>
                <w:sz w:val="21"/>
                <w:szCs w:val="21"/>
              </w:rPr>
              <w:t>/</w:t>
            </w:r>
            <w:proofErr w:type="gramStart"/>
            <w:r>
              <w:rPr>
                <w:sz w:val="21"/>
                <w:szCs w:val="21"/>
              </w:rPr>
              <w:t>準</w:t>
            </w:r>
            <w:proofErr w:type="gramEnd"/>
            <w:r>
              <w:rPr>
                <w:sz w:val="21"/>
                <w:szCs w:val="21"/>
              </w:rPr>
              <w:t>實驗</w:t>
            </w:r>
            <w:r>
              <w:rPr>
                <w:sz w:val="21"/>
                <w:szCs w:val="21"/>
              </w:rPr>
              <w:t>/</w:t>
            </w:r>
            <w:r>
              <w:rPr>
                <w:sz w:val="21"/>
                <w:szCs w:val="21"/>
              </w:rPr>
              <w:t>行動詮釋</w:t>
            </w:r>
            <w:r>
              <w:rPr>
                <w:sz w:val="21"/>
                <w:szCs w:val="21"/>
              </w:rPr>
              <w:t>) → Merton</w:t>
            </w:r>
            <w:r>
              <w:rPr>
                <w:sz w:val="21"/>
                <w:szCs w:val="21"/>
              </w:rPr>
              <w:t>中程理論</w:t>
            </w:r>
            <w:r>
              <w:rPr>
                <w:sz w:val="21"/>
                <w:szCs w:val="21"/>
              </w:rPr>
              <w:t>(</w:t>
            </w:r>
            <w:r>
              <w:rPr>
                <w:sz w:val="21"/>
                <w:szCs w:val="21"/>
              </w:rPr>
              <w:t>可驗證</w:t>
            </w:r>
            <w:r>
              <w:rPr>
                <w:sz w:val="21"/>
                <w:szCs w:val="21"/>
              </w:rPr>
              <w:t>/</w:t>
            </w:r>
            <w:r>
              <w:rPr>
                <w:sz w:val="21"/>
                <w:szCs w:val="21"/>
              </w:rPr>
              <w:t>範圍有限開放</w:t>
            </w:r>
            <w:r>
              <w:rPr>
                <w:sz w:val="21"/>
                <w:szCs w:val="21"/>
              </w:rPr>
              <w:t>/</w:t>
            </w:r>
            <w:r>
              <w:rPr>
                <w:sz w:val="21"/>
                <w:szCs w:val="21"/>
              </w:rPr>
              <w:t>聯繫性</w:t>
            </w:r>
            <w:r>
              <w:rPr>
                <w:sz w:val="21"/>
                <w:szCs w:val="21"/>
              </w:rPr>
              <w:t>)</w:t>
            </w:r>
          </w:p>
        </w:tc>
      </w:tr>
    </w:tbl>
    <w:p w:rsidR="00574D39" w:rsidRDefault="00574D39">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574D39" w:rsidRDefault="007B3343">
            <w:pPr>
              <w:spacing w:after="100"/>
            </w:pPr>
            <w:r>
              <w:rPr>
                <w:b/>
                <w:bCs/>
                <w:color w:val="2E7D32"/>
              </w:rPr>
              <w:lastRenderedPageBreak/>
              <w:t>本書分析層次架構</w:t>
            </w:r>
          </w:p>
          <w:p w:rsidR="00574D39" w:rsidRDefault="007B3343">
            <w:pPr>
              <w:spacing w:line="340" w:lineRule="auto"/>
              <w:jc w:val="both"/>
            </w:pPr>
            <w:r>
              <w:rPr>
                <w:sz w:val="21"/>
                <w:szCs w:val="21"/>
              </w:rPr>
              <w:t>Jun</w:t>
            </w:r>
            <w:r>
              <w:rPr>
                <w:sz w:val="21"/>
                <w:szCs w:val="21"/>
              </w:rPr>
              <w:t>五分析單位</w:t>
            </w:r>
            <w:r>
              <w:rPr>
                <w:sz w:val="21"/>
                <w:szCs w:val="21"/>
              </w:rPr>
              <w:t>(</w:t>
            </w:r>
            <w:r>
              <w:rPr>
                <w:sz w:val="21"/>
                <w:szCs w:val="21"/>
              </w:rPr>
              <w:t>水平</w:t>
            </w:r>
            <w:r>
              <w:rPr>
                <w:sz w:val="21"/>
                <w:szCs w:val="21"/>
              </w:rPr>
              <w:t>)×</w:t>
            </w:r>
            <w:r>
              <w:rPr>
                <w:sz w:val="21"/>
                <w:szCs w:val="21"/>
              </w:rPr>
              <w:t>盧建旭五分析層次</w:t>
            </w:r>
            <w:r>
              <w:rPr>
                <w:sz w:val="21"/>
                <w:szCs w:val="21"/>
              </w:rPr>
              <w:t>(</w:t>
            </w:r>
            <w:r>
              <w:rPr>
                <w:sz w:val="21"/>
                <w:szCs w:val="21"/>
              </w:rPr>
              <w:t>垂直</w:t>
            </w:r>
            <w:r>
              <w:rPr>
                <w:sz w:val="21"/>
                <w:szCs w:val="21"/>
              </w:rPr>
              <w:t>)</w:t>
            </w:r>
            <w:r>
              <w:rPr>
                <w:sz w:val="21"/>
                <w:szCs w:val="21"/>
              </w:rPr>
              <w:t>＝</w:t>
            </w:r>
            <w:r>
              <w:rPr>
                <w:sz w:val="21"/>
                <w:szCs w:val="21"/>
              </w:rPr>
              <w:t>25</w:t>
            </w:r>
            <w:r>
              <w:rPr>
                <w:sz w:val="21"/>
                <w:szCs w:val="21"/>
              </w:rPr>
              <w:t>分類</w:t>
            </w:r>
            <w:r>
              <w:rPr>
                <w:sz w:val="21"/>
                <w:szCs w:val="21"/>
              </w:rPr>
              <w:t>(</w:t>
            </w:r>
            <w:r>
              <w:rPr>
                <w:sz w:val="21"/>
                <w:szCs w:val="21"/>
              </w:rPr>
              <w:t>舊版</w:t>
            </w:r>
            <w:r>
              <w:rPr>
                <w:sz w:val="21"/>
                <w:szCs w:val="21"/>
              </w:rPr>
              <w:t>) → 2026</w:t>
            </w:r>
            <w:r>
              <w:rPr>
                <w:sz w:val="21"/>
                <w:szCs w:val="21"/>
              </w:rPr>
              <w:t>年版「</w:t>
            </w:r>
            <w:r>
              <w:rPr>
                <w:sz w:val="21"/>
                <w:szCs w:val="21"/>
              </w:rPr>
              <w:t>25-3-3-4-7</w:t>
            </w:r>
            <w:r>
              <w:rPr>
                <w:sz w:val="21"/>
                <w:szCs w:val="21"/>
              </w:rPr>
              <w:t>」：</w:t>
            </w:r>
            <w:r>
              <w:rPr>
                <w:sz w:val="21"/>
                <w:szCs w:val="21"/>
              </w:rPr>
              <w:t>25</w:t>
            </w:r>
            <w:r>
              <w:rPr>
                <w:sz w:val="21"/>
                <w:szCs w:val="21"/>
              </w:rPr>
              <w:t>座標</w:t>
            </w:r>
            <w:r>
              <w:rPr>
                <w:sz w:val="21"/>
                <w:szCs w:val="21"/>
              </w:rPr>
              <w:t>/3</w:t>
            </w:r>
            <w:r>
              <w:rPr>
                <w:sz w:val="21"/>
                <w:szCs w:val="21"/>
              </w:rPr>
              <w:t>移轉</w:t>
            </w:r>
            <w:r>
              <w:rPr>
                <w:sz w:val="21"/>
                <w:szCs w:val="21"/>
              </w:rPr>
              <w:t>/3</w:t>
            </w:r>
            <w:r>
              <w:rPr>
                <w:sz w:val="21"/>
                <w:szCs w:val="21"/>
              </w:rPr>
              <w:t>效應</w:t>
            </w:r>
            <w:r>
              <w:rPr>
                <w:sz w:val="21"/>
                <w:szCs w:val="21"/>
              </w:rPr>
              <w:t>/4</w:t>
            </w:r>
            <w:r>
              <w:rPr>
                <w:sz w:val="21"/>
                <w:szCs w:val="21"/>
              </w:rPr>
              <w:t>鏈</w:t>
            </w:r>
            <w:r>
              <w:rPr>
                <w:sz w:val="21"/>
                <w:szCs w:val="21"/>
              </w:rPr>
              <w:t>/7</w:t>
            </w:r>
            <w:r>
              <w:rPr>
                <w:sz w:val="21"/>
                <w:szCs w:val="21"/>
              </w:rPr>
              <w:t>審計</w:t>
            </w:r>
          </w:p>
        </w:tc>
      </w:tr>
    </w:tbl>
    <w:p w:rsidR="00574D39" w:rsidRDefault="00574D39">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74D39">
        <w:tblPrEx>
          <w:tblCellMar>
            <w:top w:w="0" w:type="dxa"/>
            <w:bottom w:w="0" w:type="dxa"/>
          </w:tblCellMar>
        </w:tblPrEx>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574D39" w:rsidRDefault="007B3343">
            <w:pPr>
              <w:spacing w:after="100"/>
            </w:pPr>
            <w:r>
              <w:rPr>
                <w:b/>
                <w:bCs/>
                <w:color w:val="1F4E79"/>
              </w:rPr>
              <w:t>申論核心句（可直接用於破題或結論）</w:t>
            </w:r>
          </w:p>
          <w:p w:rsidR="00574D39" w:rsidRDefault="007B3343">
            <w:pPr>
              <w:spacing w:line="340" w:lineRule="auto"/>
              <w:jc w:val="both"/>
            </w:pPr>
            <w:r>
              <w:rPr>
                <w:sz w:val="21"/>
                <w:szCs w:val="21"/>
              </w:rPr>
              <w:t>行政學的典範演變，從來不是新理論宣告舊理論死亡的過程，而是不同典範帶著各自的問題意識與人性假定，在異例累積與危機中持續競合、修正、重疊並存；</w:t>
            </w:r>
            <w:r>
              <w:rPr>
                <w:sz w:val="21"/>
                <w:szCs w:val="21"/>
              </w:rPr>
              <w:t>AI</w:t>
            </w:r>
            <w:r>
              <w:rPr>
                <w:sz w:val="21"/>
                <w:szCs w:val="21"/>
              </w:rPr>
              <w:t>是否會催生新的研究典範，此刻仍難定論，但既有典範解釋</w:t>
            </w:r>
            <w:r>
              <w:rPr>
                <w:sz w:val="21"/>
                <w:szCs w:val="21"/>
              </w:rPr>
              <w:t>AI</w:t>
            </w:r>
            <w:r>
              <w:rPr>
                <w:sz w:val="21"/>
                <w:szCs w:val="21"/>
              </w:rPr>
              <w:t>治理現象時所出現的壓力，已足以要求我們更新分析工具，而非固守舊有答案。</w:t>
            </w:r>
          </w:p>
        </w:tc>
      </w:tr>
    </w:tbl>
    <w:p w:rsidR="00000000" w:rsidRDefault="007B3343"/>
    <w:p w:rsidR="006A329A" w:rsidRDefault="006A329A">
      <w:pPr>
        <w:rPr>
          <w:rFonts w:ascii="Arial" w:hAnsi="Arial" w:cs="Arial"/>
          <w:color w:val="1F1F1F"/>
          <w:sz w:val="26"/>
          <w:szCs w:val="26"/>
          <w:shd w:val="clear" w:color="auto" w:fill="F2F0F0"/>
        </w:rPr>
      </w:pPr>
      <w:r>
        <w:rPr>
          <w:rFonts w:ascii="Arial" w:hAnsi="Arial" w:cs="Arial"/>
          <w:color w:val="1F1F1F"/>
          <w:sz w:val="26"/>
          <w:szCs w:val="26"/>
          <w:shd w:val="clear" w:color="auto" w:fill="F2F0F0"/>
        </w:rPr>
        <w:t>請以「公共行政典範轉移：</w:t>
      </w:r>
      <w:r>
        <w:rPr>
          <w:rFonts w:ascii="Arial" w:hAnsi="Arial" w:cs="Arial"/>
          <w:color w:val="1F1F1F"/>
          <w:sz w:val="26"/>
          <w:szCs w:val="26"/>
          <w:shd w:val="clear" w:color="auto" w:fill="F2F0F0"/>
        </w:rPr>
        <w:t>NPM</w:t>
      </w:r>
      <w:r>
        <w:rPr>
          <w:rFonts w:ascii="Arial" w:hAnsi="Arial" w:cs="Arial"/>
          <w:color w:val="1F1F1F"/>
          <w:sz w:val="26"/>
          <w:szCs w:val="26"/>
          <w:shd w:val="clear" w:color="auto" w:fill="F2F0F0"/>
        </w:rPr>
        <w:t>、黑堡宣言與</w:t>
      </w:r>
      <w:r>
        <w:rPr>
          <w:rFonts w:ascii="Arial" w:hAnsi="Arial" w:cs="Arial"/>
          <w:color w:val="1F1F1F"/>
          <w:sz w:val="26"/>
          <w:szCs w:val="26"/>
          <w:shd w:val="clear" w:color="auto" w:fill="F2F0F0"/>
        </w:rPr>
        <w:t xml:space="preserve"> NPS </w:t>
      </w:r>
      <w:r>
        <w:rPr>
          <w:rFonts w:ascii="Arial" w:hAnsi="Arial" w:cs="Arial"/>
          <w:color w:val="1F1F1F"/>
          <w:sz w:val="26"/>
          <w:szCs w:val="26"/>
          <w:shd w:val="clear" w:color="auto" w:fill="F2F0F0"/>
        </w:rPr>
        <w:t>之比較」為題，撰寫一份標準的</w:t>
      </w:r>
      <w:proofErr w:type="gramStart"/>
      <w:r>
        <w:rPr>
          <w:rFonts w:ascii="Arial" w:hAnsi="Arial" w:cs="Arial"/>
          <w:color w:val="1F1F1F"/>
          <w:sz w:val="26"/>
          <w:szCs w:val="26"/>
          <w:shd w:val="clear" w:color="auto" w:fill="F2F0F0"/>
        </w:rPr>
        <w:t>申論題擬答大綱</w:t>
      </w:r>
      <w:proofErr w:type="gramEnd"/>
      <w:r>
        <w:rPr>
          <w:rFonts w:ascii="Arial" w:hAnsi="Arial" w:cs="Arial"/>
          <w:color w:val="1F1F1F"/>
          <w:sz w:val="26"/>
          <w:szCs w:val="26"/>
          <w:shd w:val="clear" w:color="auto" w:fill="F2F0F0"/>
        </w:rPr>
        <w:t>與精華內文。</w:t>
      </w:r>
    </w:p>
    <w:p w:rsidR="006A329A" w:rsidRDefault="006A329A" w:rsidP="006A329A">
      <w:pPr>
        <w:widowControl/>
        <w:rPr>
          <w:color w:val="1F1F1F"/>
        </w:rPr>
      </w:pPr>
      <w:proofErr w:type="gramStart"/>
      <w:r>
        <w:rPr>
          <w:b/>
          <w:bCs/>
          <w:color w:val="1F1F1F"/>
          <w:bdr w:val="none" w:sz="0" w:space="0" w:color="auto" w:frame="1"/>
        </w:rPr>
        <w:t>擬答大綱</w:t>
      </w:r>
      <w:proofErr w:type="gramEnd"/>
    </w:p>
    <w:p w:rsidR="006A329A" w:rsidRDefault="006A329A" w:rsidP="006A329A">
      <w:pPr>
        <w:rPr>
          <w:color w:val="1F1F1F"/>
        </w:rPr>
      </w:pPr>
      <w:r>
        <w:rPr>
          <w:color w:val="1F1F1F"/>
        </w:rPr>
        <w:br/>
      </w:r>
    </w:p>
    <w:p w:rsidR="006A329A" w:rsidRDefault="006A329A" w:rsidP="006A329A">
      <w:pPr>
        <w:widowControl/>
        <w:numPr>
          <w:ilvl w:val="0"/>
          <w:numId w:val="3"/>
        </w:numPr>
        <w:spacing w:before="100" w:beforeAutospacing="1"/>
        <w:ind w:left="0"/>
        <w:rPr>
          <w:color w:val="1F1F1F"/>
        </w:rPr>
      </w:pPr>
      <w:r>
        <w:rPr>
          <w:b/>
          <w:bCs/>
          <w:color w:val="1F1F1F"/>
          <w:bdr w:val="none" w:sz="0" w:space="0" w:color="auto" w:frame="1"/>
        </w:rPr>
        <w:t>壹、前言</w:t>
      </w:r>
    </w:p>
    <w:p w:rsidR="006A329A" w:rsidRDefault="006A329A" w:rsidP="006A329A">
      <w:pPr>
        <w:spacing w:before="100" w:beforeAutospacing="1"/>
        <w:rPr>
          <w:color w:val="1F1F1F"/>
        </w:rPr>
      </w:pPr>
      <w:r>
        <w:rPr>
          <w:color w:val="1F1F1F"/>
        </w:rPr>
        <w:br/>
      </w:r>
    </w:p>
    <w:p w:rsidR="006A329A" w:rsidRDefault="006A329A" w:rsidP="006A329A">
      <w:pPr>
        <w:widowControl/>
        <w:numPr>
          <w:ilvl w:val="1"/>
          <w:numId w:val="3"/>
        </w:numPr>
        <w:spacing w:before="100" w:beforeAutospacing="1"/>
        <w:ind w:left="0"/>
        <w:rPr>
          <w:color w:val="1F1F1F"/>
        </w:rPr>
      </w:pPr>
      <w:r>
        <w:rPr>
          <w:color w:val="1F1F1F"/>
        </w:rPr>
        <w:t>公共行政學系之典範轉移背景（</w:t>
      </w:r>
      <w:proofErr w:type="gramStart"/>
      <w:r>
        <w:rPr>
          <w:color w:val="1F1F1F"/>
        </w:rPr>
        <w:t>1980</w:t>
      </w:r>
      <w:proofErr w:type="gramEnd"/>
      <w:r>
        <w:rPr>
          <w:color w:val="1F1F1F"/>
        </w:rPr>
        <w:t>年代政府失靈與官僚體制批判）。</w:t>
      </w:r>
    </w:p>
    <w:p w:rsidR="006A329A" w:rsidRDefault="006A329A" w:rsidP="006A329A">
      <w:pPr>
        <w:spacing w:before="100" w:beforeAutospacing="1"/>
        <w:rPr>
          <w:color w:val="1F1F1F"/>
        </w:rPr>
      </w:pPr>
    </w:p>
    <w:p w:rsidR="006A329A" w:rsidRDefault="006A329A" w:rsidP="006A329A">
      <w:pPr>
        <w:widowControl/>
        <w:numPr>
          <w:ilvl w:val="1"/>
          <w:numId w:val="3"/>
        </w:numPr>
        <w:spacing w:before="100" w:beforeAutospacing="1"/>
        <w:ind w:left="0"/>
        <w:rPr>
          <w:color w:val="1F1F1F"/>
        </w:rPr>
      </w:pPr>
      <w:r>
        <w:rPr>
          <w:color w:val="1F1F1F"/>
        </w:rPr>
        <w:t>點出 NPM、黑堡宣言與 NPS 為回應傳統官僚典範的三大核心學派，並指出三者在「價值取向」、「公務員角色」與「公民定位」之根本差異。</w:t>
      </w:r>
    </w:p>
    <w:p w:rsidR="006A329A" w:rsidRDefault="006A329A" w:rsidP="006A329A">
      <w:pPr>
        <w:spacing w:before="100" w:beforeAutospacing="1"/>
        <w:rPr>
          <w:color w:val="1F1F1F"/>
        </w:rPr>
      </w:pPr>
    </w:p>
    <w:p w:rsidR="006A329A" w:rsidRDefault="006A329A" w:rsidP="006A329A">
      <w:pPr>
        <w:widowControl/>
        <w:numPr>
          <w:ilvl w:val="0"/>
          <w:numId w:val="3"/>
        </w:numPr>
        <w:spacing w:before="100" w:beforeAutospacing="1"/>
        <w:ind w:left="0"/>
        <w:rPr>
          <w:color w:val="1F1F1F"/>
        </w:rPr>
      </w:pPr>
      <w:r>
        <w:rPr>
          <w:b/>
          <w:bCs/>
          <w:color w:val="1F1F1F"/>
          <w:bdr w:val="none" w:sz="0" w:space="0" w:color="auto" w:frame="1"/>
        </w:rPr>
        <w:t>貳、NPM、黑堡宣言與 NPS 之核心主張與比較</w:t>
      </w:r>
    </w:p>
    <w:p w:rsidR="006A329A" w:rsidRDefault="006A329A" w:rsidP="006A329A">
      <w:pPr>
        <w:spacing w:before="100" w:beforeAutospacing="1"/>
        <w:rPr>
          <w:color w:val="1F1F1F"/>
        </w:rPr>
      </w:pPr>
      <w:r>
        <w:rPr>
          <w:color w:val="1F1F1F"/>
        </w:rPr>
        <w:br/>
      </w:r>
    </w:p>
    <w:p w:rsidR="006A329A" w:rsidRDefault="006A329A" w:rsidP="006A329A">
      <w:pPr>
        <w:widowControl/>
        <w:numPr>
          <w:ilvl w:val="1"/>
          <w:numId w:val="3"/>
        </w:numPr>
        <w:spacing w:before="100" w:beforeAutospacing="1"/>
        <w:ind w:left="0"/>
        <w:rPr>
          <w:color w:val="1F1F1F"/>
        </w:rPr>
      </w:pPr>
      <w:r>
        <w:rPr>
          <w:b/>
          <w:bCs/>
          <w:color w:val="1F1F1F"/>
          <w:bdr w:val="none" w:sz="0" w:space="0" w:color="auto" w:frame="1"/>
        </w:rPr>
        <w:t>一、 新公共管理（NPM）：效率優先與企業型政府</w:t>
      </w:r>
    </w:p>
    <w:p w:rsidR="006A329A" w:rsidRDefault="006A329A" w:rsidP="006A329A">
      <w:pPr>
        <w:spacing w:before="100" w:beforeAutospacing="1"/>
        <w:rPr>
          <w:color w:val="1F1F1F"/>
        </w:rPr>
      </w:pPr>
    </w:p>
    <w:p w:rsidR="006A329A" w:rsidRDefault="006A329A" w:rsidP="006A329A">
      <w:pPr>
        <w:widowControl/>
        <w:numPr>
          <w:ilvl w:val="1"/>
          <w:numId w:val="3"/>
        </w:numPr>
        <w:spacing w:before="100" w:beforeAutospacing="1"/>
        <w:ind w:left="0"/>
        <w:rPr>
          <w:color w:val="1F1F1F"/>
        </w:rPr>
      </w:pPr>
      <w:r>
        <w:rPr>
          <w:b/>
          <w:bCs/>
          <w:color w:val="1F1F1F"/>
          <w:bdr w:val="none" w:sz="0" w:space="0" w:color="auto" w:frame="1"/>
        </w:rPr>
        <w:t>二、 黑堡宣言（Blacksburg Manifesto）：憲政受託與制度正當性</w:t>
      </w:r>
    </w:p>
    <w:p w:rsidR="006A329A" w:rsidRDefault="006A329A" w:rsidP="006A329A">
      <w:pPr>
        <w:spacing w:before="100" w:beforeAutospacing="1"/>
        <w:rPr>
          <w:color w:val="1F1F1F"/>
        </w:rPr>
      </w:pPr>
    </w:p>
    <w:p w:rsidR="006A329A" w:rsidRDefault="006A329A" w:rsidP="006A329A">
      <w:pPr>
        <w:widowControl/>
        <w:numPr>
          <w:ilvl w:val="1"/>
          <w:numId w:val="3"/>
        </w:numPr>
        <w:spacing w:before="100" w:beforeAutospacing="1"/>
        <w:ind w:left="0"/>
        <w:rPr>
          <w:color w:val="1F1F1F"/>
        </w:rPr>
      </w:pPr>
      <w:r>
        <w:rPr>
          <w:b/>
          <w:bCs/>
          <w:color w:val="1F1F1F"/>
          <w:bdr w:val="none" w:sz="0" w:space="0" w:color="auto" w:frame="1"/>
        </w:rPr>
        <w:t>三、 新公共服務（NPS）：民主參與</w:t>
      </w:r>
      <w:proofErr w:type="gramStart"/>
      <w:r>
        <w:rPr>
          <w:b/>
          <w:bCs/>
          <w:color w:val="1F1F1F"/>
          <w:bdr w:val="none" w:sz="0" w:space="0" w:color="auto" w:frame="1"/>
        </w:rPr>
        <w:t>與</w:t>
      </w:r>
      <w:proofErr w:type="gramEnd"/>
      <w:r>
        <w:rPr>
          <w:b/>
          <w:bCs/>
          <w:color w:val="1F1F1F"/>
          <w:bdr w:val="none" w:sz="0" w:space="0" w:color="auto" w:frame="1"/>
        </w:rPr>
        <w:t>服務型政府</w:t>
      </w:r>
    </w:p>
    <w:p w:rsidR="006A329A" w:rsidRDefault="006A329A" w:rsidP="006A329A">
      <w:pPr>
        <w:spacing w:before="100" w:beforeAutospacing="1"/>
        <w:rPr>
          <w:color w:val="1F1F1F"/>
        </w:rPr>
      </w:pPr>
    </w:p>
    <w:p w:rsidR="006A329A" w:rsidRDefault="006A329A" w:rsidP="006A329A">
      <w:pPr>
        <w:widowControl/>
        <w:numPr>
          <w:ilvl w:val="1"/>
          <w:numId w:val="3"/>
        </w:numPr>
        <w:spacing w:before="100" w:beforeAutospacing="1"/>
        <w:ind w:left="0"/>
        <w:rPr>
          <w:color w:val="1F1F1F"/>
        </w:rPr>
      </w:pPr>
      <w:r>
        <w:rPr>
          <w:b/>
          <w:bCs/>
          <w:color w:val="1F1F1F"/>
          <w:bdr w:val="none" w:sz="0" w:space="0" w:color="auto" w:frame="1"/>
        </w:rPr>
        <w:t>三者比較綜合矩陣</w:t>
      </w:r>
      <w:r>
        <w:rPr>
          <w:color w:val="1F1F1F"/>
        </w:rPr>
        <w:t>（以行政活動面貌為維度對照）</w:t>
      </w:r>
    </w:p>
    <w:p w:rsidR="006A329A" w:rsidRDefault="006A329A" w:rsidP="006A329A">
      <w:pPr>
        <w:spacing w:before="100" w:beforeAutospacing="1"/>
        <w:rPr>
          <w:color w:val="1F1F1F"/>
        </w:rPr>
      </w:pPr>
    </w:p>
    <w:p w:rsidR="006A329A" w:rsidRDefault="006A329A" w:rsidP="006A329A">
      <w:pPr>
        <w:widowControl/>
        <w:numPr>
          <w:ilvl w:val="0"/>
          <w:numId w:val="3"/>
        </w:numPr>
        <w:spacing w:before="100" w:beforeAutospacing="1"/>
        <w:ind w:left="0"/>
        <w:rPr>
          <w:color w:val="1F1F1F"/>
        </w:rPr>
      </w:pPr>
      <w:r>
        <w:rPr>
          <w:b/>
          <w:bCs/>
          <w:color w:val="1F1F1F"/>
          <w:bdr w:val="none" w:sz="0" w:space="0" w:color="auto" w:frame="1"/>
        </w:rPr>
        <w:t>參、現代公共行政的整合與反思</w:t>
      </w:r>
    </w:p>
    <w:p w:rsidR="006A329A" w:rsidRDefault="006A329A" w:rsidP="006A329A">
      <w:pPr>
        <w:spacing w:before="100" w:beforeAutospacing="1"/>
        <w:rPr>
          <w:color w:val="1F1F1F"/>
        </w:rPr>
      </w:pPr>
      <w:r>
        <w:rPr>
          <w:color w:val="1F1F1F"/>
        </w:rPr>
        <w:br/>
      </w:r>
    </w:p>
    <w:p w:rsidR="006A329A" w:rsidRDefault="006A329A" w:rsidP="006A329A">
      <w:pPr>
        <w:widowControl/>
        <w:numPr>
          <w:ilvl w:val="1"/>
          <w:numId w:val="3"/>
        </w:numPr>
        <w:spacing w:before="100" w:beforeAutospacing="1"/>
        <w:ind w:left="0"/>
        <w:rPr>
          <w:color w:val="1F1F1F"/>
        </w:rPr>
      </w:pPr>
      <w:r>
        <w:rPr>
          <w:color w:val="1F1F1F"/>
        </w:rPr>
        <w:t>從「劃槳」、「領航」走向「服務與連結」。</w:t>
      </w:r>
    </w:p>
    <w:p w:rsidR="006A329A" w:rsidRDefault="006A329A" w:rsidP="006A329A">
      <w:pPr>
        <w:spacing w:before="100" w:beforeAutospacing="1"/>
        <w:rPr>
          <w:color w:val="1F1F1F"/>
        </w:rPr>
      </w:pPr>
    </w:p>
    <w:p w:rsidR="006A329A" w:rsidRDefault="006A329A" w:rsidP="006A329A">
      <w:pPr>
        <w:widowControl/>
        <w:numPr>
          <w:ilvl w:val="1"/>
          <w:numId w:val="3"/>
        </w:numPr>
        <w:spacing w:before="100" w:beforeAutospacing="1"/>
        <w:ind w:left="0"/>
        <w:rPr>
          <w:color w:val="1F1F1F"/>
        </w:rPr>
      </w:pPr>
      <w:r>
        <w:rPr>
          <w:color w:val="1F1F1F"/>
        </w:rPr>
        <w:t>兼顧工具理性（效率）與價值理性（民主價值）之動態平衡。</w:t>
      </w:r>
    </w:p>
    <w:p w:rsidR="006A329A" w:rsidRDefault="006A329A" w:rsidP="006A329A">
      <w:pPr>
        <w:spacing w:before="100" w:beforeAutospacing="1"/>
        <w:rPr>
          <w:color w:val="1F1F1F"/>
        </w:rPr>
      </w:pPr>
    </w:p>
    <w:p w:rsidR="006A329A" w:rsidRDefault="006A329A" w:rsidP="006A329A">
      <w:pPr>
        <w:widowControl/>
        <w:numPr>
          <w:ilvl w:val="0"/>
          <w:numId w:val="3"/>
        </w:numPr>
        <w:spacing w:before="100" w:beforeAutospacing="1"/>
        <w:ind w:left="0"/>
        <w:rPr>
          <w:color w:val="1F1F1F"/>
        </w:rPr>
      </w:pPr>
      <w:r>
        <w:rPr>
          <w:b/>
          <w:bCs/>
          <w:color w:val="1F1F1F"/>
          <w:bdr w:val="none" w:sz="0" w:space="0" w:color="auto" w:frame="1"/>
        </w:rPr>
        <w:t>肆、結語</w:t>
      </w:r>
    </w:p>
    <w:p w:rsidR="006A329A" w:rsidRDefault="006A329A" w:rsidP="006A329A">
      <w:pPr>
        <w:spacing w:before="100" w:beforeAutospacing="1"/>
        <w:rPr>
          <w:color w:val="1F1F1F"/>
        </w:rPr>
      </w:pPr>
      <w:r>
        <w:rPr>
          <w:color w:val="1F1F1F"/>
        </w:rPr>
        <w:br/>
      </w:r>
    </w:p>
    <w:p w:rsidR="006A329A" w:rsidRDefault="006A329A" w:rsidP="006A329A">
      <w:pPr>
        <w:widowControl/>
        <w:numPr>
          <w:ilvl w:val="1"/>
          <w:numId w:val="3"/>
        </w:numPr>
        <w:spacing w:before="100" w:beforeAutospacing="1"/>
        <w:ind w:left="0"/>
        <w:rPr>
          <w:color w:val="1F1F1F"/>
        </w:rPr>
      </w:pPr>
      <w:r>
        <w:rPr>
          <w:color w:val="1F1F1F"/>
        </w:rPr>
        <w:t>總結三大典範之當代意義與對現代民主治理之啟示。</w:t>
      </w:r>
    </w:p>
    <w:p w:rsidR="006A329A" w:rsidRDefault="006A329A" w:rsidP="006A329A">
      <w:pPr>
        <w:spacing w:before="100" w:beforeAutospacing="1"/>
        <w:rPr>
          <w:color w:val="1F1F1F"/>
        </w:rPr>
      </w:pPr>
    </w:p>
    <w:p w:rsidR="006A329A" w:rsidRDefault="006A329A" w:rsidP="006A329A">
      <w:pPr>
        <w:pStyle w:val="3"/>
        <w:rPr>
          <w:color w:val="1F1F1F"/>
        </w:rPr>
      </w:pPr>
      <w:proofErr w:type="gramStart"/>
      <w:r>
        <w:rPr>
          <w:color w:val="1F1F1F"/>
          <w:bdr w:val="none" w:sz="0" w:space="0" w:color="auto" w:frame="1"/>
        </w:rPr>
        <w:t>擬答精華</w:t>
      </w:r>
      <w:proofErr w:type="gramEnd"/>
      <w:r>
        <w:rPr>
          <w:color w:val="1F1F1F"/>
          <w:bdr w:val="none" w:sz="0" w:space="0" w:color="auto" w:frame="1"/>
        </w:rPr>
        <w:t>內文</w:t>
      </w:r>
    </w:p>
    <w:p w:rsidR="006A329A" w:rsidRDefault="006A329A" w:rsidP="006A329A">
      <w:pPr>
        <w:pStyle w:val="4"/>
        <w:rPr>
          <w:color w:val="1F1F1F"/>
        </w:rPr>
      </w:pPr>
      <w:r>
        <w:rPr>
          <w:color w:val="1F1F1F"/>
        </w:rPr>
        <w:t>壹、前言</w:t>
      </w:r>
    </w:p>
    <w:p w:rsidR="006A329A" w:rsidRDefault="006A329A" w:rsidP="006A329A">
      <w:pPr>
        <w:rPr>
          <w:color w:val="1F1F1F"/>
        </w:rPr>
      </w:pPr>
      <w:proofErr w:type="gramStart"/>
      <w:r>
        <w:rPr>
          <w:color w:val="1F1F1F"/>
        </w:rPr>
        <w:lastRenderedPageBreak/>
        <w:t>1970</w:t>
      </w:r>
      <w:proofErr w:type="gramEnd"/>
      <w:r>
        <w:rPr>
          <w:color w:val="1F1F1F"/>
        </w:rPr>
        <w:t>年代末期，傳統官僚體制面臨效率低下、反應遲鈍與財政赤字等「政府失靈」危機，引發公共行政學界的典範轉移。自</w:t>
      </w:r>
      <w:proofErr w:type="gramStart"/>
      <w:r>
        <w:rPr>
          <w:color w:val="1F1F1F"/>
        </w:rPr>
        <w:t>1980</w:t>
      </w:r>
      <w:proofErr w:type="gramEnd"/>
      <w:r>
        <w:rPr>
          <w:color w:val="1F1F1F"/>
        </w:rPr>
        <w:t>年代起，相繼出現了主張引進市場機制的</w:t>
      </w:r>
      <w:r>
        <w:rPr>
          <w:b/>
          <w:bCs/>
          <w:color w:val="1F1F1F"/>
          <w:bdr w:val="none" w:sz="0" w:space="0" w:color="auto" w:frame="1"/>
        </w:rPr>
        <w:t>新公共管理（NPM）</w:t>
      </w:r>
      <w:r>
        <w:rPr>
          <w:color w:val="1F1F1F"/>
        </w:rPr>
        <w:t>、強調文官正當性與憲政價值的</w:t>
      </w:r>
      <w:r>
        <w:rPr>
          <w:b/>
          <w:bCs/>
          <w:color w:val="1F1F1F"/>
          <w:bdr w:val="none" w:sz="0" w:space="0" w:color="auto" w:frame="1"/>
        </w:rPr>
        <w:t>黑堡宣言（Blacksburg Manifesto）</w:t>
      </w:r>
      <w:r>
        <w:rPr>
          <w:color w:val="1F1F1F"/>
        </w:rPr>
        <w:t>，以及主張回歸民主公民權與公共利益的</w:t>
      </w:r>
      <w:r>
        <w:rPr>
          <w:b/>
          <w:bCs/>
          <w:color w:val="1F1F1F"/>
          <w:bdr w:val="none" w:sz="0" w:space="0" w:color="auto" w:frame="1"/>
        </w:rPr>
        <w:t>新公共服務（NPS）</w:t>
      </w:r>
      <w:r>
        <w:rPr>
          <w:color w:val="1F1F1F"/>
        </w:rPr>
        <w:t>。三者分別代表了「企業型」、「憲政型」與「民主型」的政府運作思維，構成了現代公共行政論述的</w:t>
      </w:r>
      <w:proofErr w:type="gramStart"/>
      <w:r>
        <w:rPr>
          <w:color w:val="1F1F1F"/>
        </w:rPr>
        <w:t>最</w:t>
      </w:r>
      <w:proofErr w:type="gramEnd"/>
      <w:r>
        <w:rPr>
          <w:color w:val="1F1F1F"/>
        </w:rPr>
        <w:t>核心軸線。</w:t>
      </w:r>
    </w:p>
    <w:p w:rsidR="006A329A" w:rsidRDefault="006A329A" w:rsidP="006A329A">
      <w:pPr>
        <w:rPr>
          <w:color w:val="1F1F1F"/>
        </w:rPr>
      </w:pPr>
      <w:r>
        <w:rPr>
          <w:color w:val="1F1F1F"/>
        </w:rPr>
        <w:br/>
      </w:r>
    </w:p>
    <w:p w:rsidR="006A329A" w:rsidRDefault="006A329A" w:rsidP="006A329A">
      <w:pPr>
        <w:pStyle w:val="4"/>
        <w:rPr>
          <w:color w:val="1F1F1F"/>
        </w:rPr>
      </w:pPr>
      <w:r>
        <w:rPr>
          <w:color w:val="1F1F1F"/>
        </w:rPr>
        <w:t>貳、NPM、黑堡宣言與 NPS 之核心主張與比較</w:t>
      </w:r>
    </w:p>
    <w:p w:rsidR="006A329A" w:rsidRDefault="006A329A" w:rsidP="006A329A">
      <w:pPr>
        <w:rPr>
          <w:color w:val="1F1F1F"/>
        </w:rPr>
      </w:pPr>
      <w:r>
        <w:rPr>
          <w:b/>
          <w:bCs/>
          <w:color w:val="1F1F1F"/>
          <w:bdr w:val="none" w:sz="0" w:space="0" w:color="auto" w:frame="1"/>
        </w:rPr>
        <w:t>一、 新公共管理（NPM）：效率優先與企業型政府</w:t>
      </w:r>
    </w:p>
    <w:p w:rsidR="006A329A" w:rsidRDefault="006A329A" w:rsidP="006A329A">
      <w:pPr>
        <w:rPr>
          <w:color w:val="1F1F1F"/>
        </w:rPr>
      </w:pPr>
      <w:r>
        <w:rPr>
          <w:color w:val="1F1F1F"/>
        </w:rPr>
        <w:t xml:space="preserve">由 Osborne, </w:t>
      </w:r>
      <w:proofErr w:type="spellStart"/>
      <w:r>
        <w:rPr>
          <w:color w:val="1F1F1F"/>
        </w:rPr>
        <w:t>Gaebler</w:t>
      </w:r>
      <w:proofErr w:type="spellEnd"/>
      <w:r>
        <w:rPr>
          <w:color w:val="1F1F1F"/>
        </w:rPr>
        <w:t xml:space="preserve"> 及 Hood 等學者提倡，主張以市場競爭與私部門管理技術拯救政府失靈。</w:t>
      </w:r>
    </w:p>
    <w:p w:rsidR="006A329A" w:rsidRDefault="006A329A" w:rsidP="006A329A">
      <w:pPr>
        <w:rPr>
          <w:color w:val="1F1F1F"/>
        </w:rPr>
      </w:pPr>
      <w:r>
        <w:rPr>
          <w:color w:val="1F1F1F"/>
        </w:rPr>
        <w:br/>
      </w:r>
    </w:p>
    <w:p w:rsidR="006A329A" w:rsidRDefault="006A329A" w:rsidP="006A329A">
      <w:pPr>
        <w:widowControl/>
        <w:numPr>
          <w:ilvl w:val="0"/>
          <w:numId w:val="4"/>
        </w:numPr>
        <w:spacing w:before="100" w:beforeAutospacing="1"/>
        <w:ind w:left="0"/>
        <w:rPr>
          <w:color w:val="1F1F1F"/>
        </w:rPr>
      </w:pPr>
      <w:r>
        <w:rPr>
          <w:b/>
          <w:bCs/>
          <w:color w:val="1F1F1F"/>
          <w:bdr w:val="none" w:sz="0" w:space="0" w:color="auto" w:frame="1"/>
        </w:rPr>
        <w:t>核心主張</w:t>
      </w:r>
      <w:r>
        <w:rPr>
          <w:color w:val="1F1F1F"/>
        </w:rPr>
        <w:t>：強調「領航而</w:t>
      </w:r>
      <w:proofErr w:type="gramStart"/>
      <w:r>
        <w:rPr>
          <w:color w:val="1F1F1F"/>
        </w:rPr>
        <w:t>非劃槳</w:t>
      </w:r>
      <w:proofErr w:type="gramEnd"/>
      <w:r>
        <w:rPr>
          <w:color w:val="1F1F1F"/>
        </w:rPr>
        <w:t>（Steering, Not Rowing）」、成果導向、分權與民營化（Privatization）。</w:t>
      </w:r>
    </w:p>
    <w:p w:rsidR="006A329A" w:rsidRDefault="006A329A" w:rsidP="006A329A">
      <w:pPr>
        <w:spacing w:before="100" w:beforeAutospacing="1"/>
        <w:rPr>
          <w:color w:val="1F1F1F"/>
        </w:rPr>
      </w:pPr>
    </w:p>
    <w:p w:rsidR="006A329A" w:rsidRDefault="006A329A" w:rsidP="006A329A">
      <w:pPr>
        <w:widowControl/>
        <w:numPr>
          <w:ilvl w:val="0"/>
          <w:numId w:val="4"/>
        </w:numPr>
        <w:spacing w:before="100" w:beforeAutospacing="1"/>
        <w:ind w:left="0"/>
        <w:rPr>
          <w:color w:val="1F1F1F"/>
        </w:rPr>
      </w:pPr>
      <w:r>
        <w:rPr>
          <w:b/>
          <w:bCs/>
          <w:color w:val="1F1F1F"/>
          <w:bdr w:val="none" w:sz="0" w:space="0" w:color="auto" w:frame="1"/>
        </w:rPr>
        <w:t>角色與價值</w:t>
      </w:r>
      <w:r>
        <w:rPr>
          <w:color w:val="1F1F1F"/>
        </w:rPr>
        <w:t>：將民眾簡化為「顧客（Customers）」，公務員定位為「企業家/經理人」，核心價值追求極致的成本效益與市場效率。</w:t>
      </w:r>
    </w:p>
    <w:p w:rsidR="006A329A" w:rsidRDefault="006A329A" w:rsidP="006A329A">
      <w:pPr>
        <w:spacing w:before="100" w:beforeAutospacing="1"/>
        <w:rPr>
          <w:color w:val="1F1F1F"/>
        </w:rPr>
      </w:pPr>
    </w:p>
    <w:p w:rsidR="006A329A" w:rsidRDefault="006A329A" w:rsidP="006A329A">
      <w:pPr>
        <w:rPr>
          <w:color w:val="1F1F1F"/>
        </w:rPr>
      </w:pPr>
      <w:r>
        <w:rPr>
          <w:b/>
          <w:bCs/>
          <w:color w:val="1F1F1F"/>
          <w:bdr w:val="none" w:sz="0" w:space="0" w:color="auto" w:frame="1"/>
        </w:rPr>
        <w:t>二、 黑堡宣言（Blacksburg Manifesto）：憲政受託與制度正當性</w:t>
      </w:r>
    </w:p>
    <w:p w:rsidR="006A329A" w:rsidRDefault="006A329A" w:rsidP="006A329A">
      <w:pPr>
        <w:rPr>
          <w:color w:val="1F1F1F"/>
        </w:rPr>
      </w:pPr>
      <w:r>
        <w:rPr>
          <w:color w:val="1F1F1F"/>
        </w:rPr>
        <w:t xml:space="preserve">1983年由 </w:t>
      </w:r>
      <w:proofErr w:type="spellStart"/>
      <w:r>
        <w:rPr>
          <w:color w:val="1F1F1F"/>
        </w:rPr>
        <w:t>Wamsley</w:t>
      </w:r>
      <w:proofErr w:type="spellEnd"/>
      <w:r>
        <w:rPr>
          <w:color w:val="1F1F1F"/>
        </w:rPr>
        <w:t xml:space="preserve"> 等學者提出，旨在反擊 NPM 對官僚體制的過度貶低，重新確立文官制度的權威。</w:t>
      </w:r>
    </w:p>
    <w:p w:rsidR="006A329A" w:rsidRDefault="006A329A" w:rsidP="006A329A">
      <w:pPr>
        <w:rPr>
          <w:color w:val="1F1F1F"/>
        </w:rPr>
      </w:pPr>
      <w:r>
        <w:rPr>
          <w:color w:val="1F1F1F"/>
        </w:rPr>
        <w:br/>
      </w:r>
    </w:p>
    <w:p w:rsidR="006A329A" w:rsidRDefault="006A329A" w:rsidP="006A329A">
      <w:pPr>
        <w:widowControl/>
        <w:numPr>
          <w:ilvl w:val="0"/>
          <w:numId w:val="5"/>
        </w:numPr>
        <w:spacing w:before="100" w:beforeAutospacing="1"/>
        <w:ind w:left="0"/>
        <w:rPr>
          <w:color w:val="1F1F1F"/>
        </w:rPr>
      </w:pPr>
      <w:r>
        <w:rPr>
          <w:b/>
          <w:bCs/>
          <w:color w:val="1F1F1F"/>
          <w:bdr w:val="none" w:sz="0" w:space="0" w:color="auto" w:frame="1"/>
        </w:rPr>
        <w:t>核心主張</w:t>
      </w:r>
      <w:r>
        <w:rPr>
          <w:color w:val="1F1F1F"/>
        </w:rPr>
        <w:t>：行政機關為憲政體制下獨立且正當的第四部門，強調文官體制維護國家連續性與公共利益的必要性。</w:t>
      </w:r>
    </w:p>
    <w:p w:rsidR="006A329A" w:rsidRDefault="006A329A" w:rsidP="006A329A">
      <w:pPr>
        <w:spacing w:before="100" w:beforeAutospacing="1"/>
        <w:rPr>
          <w:color w:val="1F1F1F"/>
        </w:rPr>
      </w:pPr>
    </w:p>
    <w:p w:rsidR="006A329A" w:rsidRDefault="006A329A" w:rsidP="006A329A">
      <w:pPr>
        <w:widowControl/>
        <w:numPr>
          <w:ilvl w:val="0"/>
          <w:numId w:val="5"/>
        </w:numPr>
        <w:spacing w:before="100" w:beforeAutospacing="1"/>
        <w:ind w:left="0"/>
        <w:rPr>
          <w:color w:val="1F1F1F"/>
        </w:rPr>
      </w:pPr>
      <w:r>
        <w:rPr>
          <w:b/>
          <w:bCs/>
          <w:color w:val="1F1F1F"/>
          <w:bdr w:val="none" w:sz="0" w:space="0" w:color="auto" w:frame="1"/>
        </w:rPr>
        <w:t>角色與價值</w:t>
      </w:r>
      <w:r>
        <w:rPr>
          <w:color w:val="1F1F1F"/>
        </w:rPr>
        <w:t>：將民眾視為「憲法公民」，公務員定位為「憲政受託人（Trustees of Public Trust）」，核心價值在於依法行政、程序正義與文官專業倫理。</w:t>
      </w:r>
    </w:p>
    <w:p w:rsidR="006A329A" w:rsidRDefault="006A329A" w:rsidP="006A329A">
      <w:pPr>
        <w:spacing w:before="100" w:beforeAutospacing="1"/>
        <w:rPr>
          <w:color w:val="1F1F1F"/>
        </w:rPr>
      </w:pPr>
    </w:p>
    <w:p w:rsidR="006A329A" w:rsidRDefault="006A329A" w:rsidP="006A329A">
      <w:pPr>
        <w:rPr>
          <w:color w:val="1F1F1F"/>
        </w:rPr>
      </w:pPr>
      <w:r>
        <w:rPr>
          <w:b/>
          <w:bCs/>
          <w:color w:val="1F1F1F"/>
          <w:bdr w:val="none" w:sz="0" w:space="0" w:color="auto" w:frame="1"/>
        </w:rPr>
        <w:lastRenderedPageBreak/>
        <w:t>三、 新公共服務（NPS）：民主參與</w:t>
      </w:r>
      <w:proofErr w:type="gramStart"/>
      <w:r>
        <w:rPr>
          <w:b/>
          <w:bCs/>
          <w:color w:val="1F1F1F"/>
          <w:bdr w:val="none" w:sz="0" w:space="0" w:color="auto" w:frame="1"/>
        </w:rPr>
        <w:t>與</w:t>
      </w:r>
      <w:proofErr w:type="gramEnd"/>
      <w:r>
        <w:rPr>
          <w:b/>
          <w:bCs/>
          <w:color w:val="1F1F1F"/>
          <w:bdr w:val="none" w:sz="0" w:space="0" w:color="auto" w:frame="1"/>
        </w:rPr>
        <w:t>服務型政府</w:t>
      </w:r>
    </w:p>
    <w:p w:rsidR="006A329A" w:rsidRDefault="006A329A" w:rsidP="006A329A">
      <w:pPr>
        <w:rPr>
          <w:color w:val="1F1F1F"/>
        </w:rPr>
      </w:pPr>
      <w:r>
        <w:rPr>
          <w:color w:val="1F1F1F"/>
        </w:rPr>
        <w:t>由 Denhardt 夫婦於</w:t>
      </w:r>
      <w:proofErr w:type="gramStart"/>
      <w:r>
        <w:rPr>
          <w:color w:val="1F1F1F"/>
        </w:rPr>
        <w:t>2000</w:t>
      </w:r>
      <w:proofErr w:type="gramEnd"/>
      <w:r>
        <w:rPr>
          <w:color w:val="1F1F1F"/>
        </w:rPr>
        <w:t>年代提出，批判 NPM 的顧客導向矮化公民權，並延續黑堡宣言對公共性的關懷。</w:t>
      </w:r>
    </w:p>
    <w:p w:rsidR="006A329A" w:rsidRDefault="006A329A" w:rsidP="006A329A">
      <w:pPr>
        <w:rPr>
          <w:color w:val="1F1F1F"/>
        </w:rPr>
      </w:pPr>
      <w:r>
        <w:rPr>
          <w:color w:val="1F1F1F"/>
        </w:rPr>
        <w:br/>
      </w:r>
    </w:p>
    <w:p w:rsidR="006A329A" w:rsidRDefault="006A329A" w:rsidP="006A329A">
      <w:pPr>
        <w:widowControl/>
        <w:numPr>
          <w:ilvl w:val="0"/>
          <w:numId w:val="6"/>
        </w:numPr>
        <w:spacing w:before="100" w:beforeAutospacing="1"/>
        <w:ind w:left="0"/>
        <w:rPr>
          <w:color w:val="1F1F1F"/>
        </w:rPr>
      </w:pPr>
      <w:r>
        <w:rPr>
          <w:b/>
          <w:bCs/>
          <w:color w:val="1F1F1F"/>
          <w:bdr w:val="none" w:sz="0" w:space="0" w:color="auto" w:frame="1"/>
        </w:rPr>
        <w:t>核心主張</w:t>
      </w:r>
      <w:r>
        <w:rPr>
          <w:color w:val="1F1F1F"/>
        </w:rPr>
        <w:t>：主張「服務公民，而非顧客（Serve Citizens, Not Customers）」與「服務而非領航（Serving, Not Steering）」。</w:t>
      </w:r>
    </w:p>
    <w:p w:rsidR="006A329A" w:rsidRDefault="006A329A" w:rsidP="006A329A">
      <w:pPr>
        <w:spacing w:before="100" w:beforeAutospacing="1"/>
        <w:rPr>
          <w:color w:val="1F1F1F"/>
        </w:rPr>
      </w:pPr>
    </w:p>
    <w:p w:rsidR="006A329A" w:rsidRDefault="006A329A" w:rsidP="006A329A">
      <w:pPr>
        <w:widowControl/>
        <w:numPr>
          <w:ilvl w:val="0"/>
          <w:numId w:val="6"/>
        </w:numPr>
        <w:spacing w:before="100" w:beforeAutospacing="1"/>
        <w:ind w:left="0"/>
        <w:rPr>
          <w:color w:val="1F1F1F"/>
        </w:rPr>
      </w:pPr>
      <w:r>
        <w:rPr>
          <w:b/>
          <w:bCs/>
          <w:color w:val="1F1F1F"/>
          <w:bdr w:val="none" w:sz="0" w:space="0" w:color="auto" w:frame="1"/>
        </w:rPr>
        <w:t>角色與價值</w:t>
      </w:r>
      <w:r>
        <w:rPr>
          <w:color w:val="1F1F1F"/>
        </w:rPr>
        <w:t>：將民眾視為「國家主人/公民（Citizens）」，公務員定位為「對話斡旋者與連結者（Facilitator &amp; Broker）」，強調審議民主、共享領導與</w:t>
      </w:r>
      <w:proofErr w:type="gramStart"/>
      <w:r>
        <w:rPr>
          <w:color w:val="1F1F1F"/>
        </w:rPr>
        <w:t>多元課責</w:t>
      </w:r>
      <w:proofErr w:type="gramEnd"/>
      <w:r>
        <w:rPr>
          <w:color w:val="1F1F1F"/>
        </w:rPr>
        <w:t>。</w:t>
      </w:r>
    </w:p>
    <w:p w:rsidR="006A329A" w:rsidRDefault="006A329A" w:rsidP="006A329A">
      <w:pPr>
        <w:spacing w:before="100" w:beforeAutospacing="1"/>
        <w:rPr>
          <w:color w:val="1F1F1F"/>
        </w:rPr>
      </w:pPr>
    </w:p>
    <w:p w:rsidR="006A329A" w:rsidRDefault="006A329A" w:rsidP="006A329A">
      <w:pPr>
        <w:rPr>
          <w:color w:val="1F1F1F"/>
        </w:rPr>
      </w:pPr>
      <w:r>
        <w:rPr>
          <w:b/>
          <w:bCs/>
          <w:color w:val="1F1F1F"/>
          <w:bdr w:val="none" w:sz="0" w:space="0" w:color="auto" w:frame="1"/>
        </w:rPr>
        <w:t>三者綜合對照矩陣</w:t>
      </w:r>
    </w:p>
    <w:p w:rsidR="006A329A" w:rsidRDefault="006A329A" w:rsidP="006A329A">
      <w:pPr>
        <w:rPr>
          <w:color w:val="1F1F1F"/>
        </w:rPr>
      </w:pPr>
    </w:p>
    <w:tbl>
      <w:tblPr>
        <w:tblW w:w="0" w:type="auto"/>
        <w:tblCellSpacing w:w="15" w:type="dxa"/>
        <w:tblCellMar>
          <w:left w:w="0" w:type="dxa"/>
          <w:right w:w="0" w:type="dxa"/>
        </w:tblCellMar>
        <w:tblLook w:val="04A0" w:firstRow="1" w:lastRow="0" w:firstColumn="1" w:lastColumn="0" w:noHBand="0" w:noVBand="1"/>
      </w:tblPr>
      <w:tblGrid>
        <w:gridCol w:w="1130"/>
        <w:gridCol w:w="2535"/>
        <w:gridCol w:w="2777"/>
        <w:gridCol w:w="2568"/>
      </w:tblGrid>
      <w:tr w:rsidR="006A329A" w:rsidTr="006A329A">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rStyle w:val="af0"/>
                <w:color w:val="1F1F1F"/>
                <w:bdr w:val="none" w:sz="0" w:space="0" w:color="auto" w:frame="1"/>
              </w:rPr>
              <w:t>比較維度</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rStyle w:val="af0"/>
                <w:color w:val="1F1F1F"/>
                <w:bdr w:val="none" w:sz="0" w:space="0" w:color="auto" w:frame="1"/>
              </w:rPr>
              <w:t>新公共管理（NPM）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rStyle w:val="af0"/>
                <w:color w:val="1F1F1F"/>
                <w:bdr w:val="none" w:sz="0" w:space="0" w:color="auto" w:frame="1"/>
              </w:rPr>
              <w:t>黑堡宣言（Blacksburg Manifesto）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rStyle w:val="af0"/>
                <w:color w:val="1F1F1F"/>
                <w:bdr w:val="none" w:sz="0" w:space="0" w:color="auto" w:frame="1"/>
              </w:rPr>
              <w:t>新公共服務（NPS）</w:t>
            </w:r>
          </w:p>
        </w:tc>
      </w:tr>
      <w:tr w:rsidR="006A329A" w:rsidTr="006A329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理論基礎</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經濟學、私部門管理學</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政治學、憲政理論、法學</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民主理論、批判理論、組織人文學</w:t>
            </w:r>
          </w:p>
        </w:tc>
      </w:tr>
      <w:tr w:rsidR="006A329A" w:rsidTr="006A329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公民定位</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顧客（Customers）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憲法公民（Citizens）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國家主人/公民（Citizens）</w:t>
            </w:r>
          </w:p>
        </w:tc>
      </w:tr>
      <w:tr w:rsidR="006A329A" w:rsidTr="006A329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公務員角色</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企業家 / 經理人</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憲政受託人 / 制度捍衛者</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對話斡旋者 / 服務者</w:t>
            </w:r>
          </w:p>
        </w:tc>
      </w:tr>
      <w:tr w:rsidR="006A329A" w:rsidTr="006A329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政府運作職能</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領航（Steering）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實質治理合夥人</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服務與連結（Serving）</w:t>
            </w:r>
          </w:p>
        </w:tc>
      </w:tr>
      <w:tr w:rsidR="006A329A" w:rsidTr="006A329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公共利益定義</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個人利益之加總（市場結果）</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憲政規範與長遠制度價值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共享價值與對話共識之成果</w:t>
            </w:r>
          </w:p>
        </w:tc>
      </w:tr>
      <w:tr w:rsidR="006A329A" w:rsidTr="006A329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proofErr w:type="gramStart"/>
            <w:r>
              <w:rPr>
                <w:b/>
                <w:bCs/>
                <w:color w:val="1F1F1F"/>
                <w:bdr w:val="none" w:sz="0" w:space="0" w:color="auto" w:frame="1"/>
              </w:rPr>
              <w:t>課責機制</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市場與績效指標（KPI）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t>憲法、法律與專業標準</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proofErr w:type="gramStart"/>
            <w:r>
              <w:rPr>
                <w:color w:val="1F1F1F"/>
                <w:bdr w:val="none" w:sz="0" w:space="0" w:color="auto" w:frame="1"/>
              </w:rPr>
              <w:t>多重課責</w:t>
            </w:r>
            <w:proofErr w:type="gramEnd"/>
            <w:r>
              <w:rPr>
                <w:color w:val="1F1F1F"/>
                <w:bdr w:val="none" w:sz="0" w:space="0" w:color="auto" w:frame="1"/>
              </w:rPr>
              <w:t>（法律、社區、公民）</w:t>
            </w:r>
          </w:p>
        </w:tc>
      </w:tr>
    </w:tbl>
    <w:p w:rsidR="006A329A" w:rsidRDefault="006A329A" w:rsidP="006A329A">
      <w:pPr>
        <w:pStyle w:val="4"/>
        <w:rPr>
          <w:color w:val="1F1F1F"/>
        </w:rPr>
      </w:pPr>
      <w:r>
        <w:rPr>
          <w:color w:val="1F1F1F"/>
        </w:rPr>
        <w:t>參、現代公共行政的整合與反思</w:t>
      </w:r>
    </w:p>
    <w:p w:rsidR="006A329A" w:rsidRDefault="006A329A" w:rsidP="006A329A">
      <w:pPr>
        <w:rPr>
          <w:color w:val="1F1F1F"/>
        </w:rPr>
      </w:pPr>
      <w:r>
        <w:rPr>
          <w:color w:val="1F1F1F"/>
        </w:rPr>
        <w:lastRenderedPageBreak/>
        <w:t>從 NPM 到 NPS 的演進，反映了公共行政對「工具理性」</w:t>
      </w:r>
      <w:r>
        <w:rPr>
          <w:b/>
          <w:bCs/>
          <w:color w:val="1F1F1F"/>
          <w:bdr w:val="none" w:sz="0" w:space="0" w:color="auto" w:frame="1"/>
        </w:rPr>
        <w:t>與</w:t>
      </w:r>
      <w:r>
        <w:rPr>
          <w:color w:val="1F1F1F"/>
        </w:rPr>
        <w:t>「價值理性」的拉鋸與調和：</w:t>
      </w:r>
    </w:p>
    <w:p w:rsidR="006A329A" w:rsidRDefault="006A329A" w:rsidP="006A329A">
      <w:pPr>
        <w:rPr>
          <w:color w:val="1F1F1F"/>
        </w:rPr>
      </w:pPr>
      <w:r>
        <w:rPr>
          <w:color w:val="1F1F1F"/>
        </w:rPr>
        <w:br/>
      </w:r>
    </w:p>
    <w:p w:rsidR="006A329A" w:rsidRDefault="006A329A" w:rsidP="006A329A">
      <w:pPr>
        <w:widowControl/>
        <w:numPr>
          <w:ilvl w:val="0"/>
          <w:numId w:val="7"/>
        </w:numPr>
        <w:spacing w:before="100" w:beforeAutospacing="1"/>
        <w:ind w:left="0"/>
        <w:rPr>
          <w:color w:val="1F1F1F"/>
        </w:rPr>
      </w:pPr>
      <w:r>
        <w:rPr>
          <w:b/>
          <w:bCs/>
          <w:color w:val="1F1F1F"/>
          <w:bdr w:val="none" w:sz="0" w:space="0" w:color="auto" w:frame="1"/>
        </w:rPr>
        <w:t>從「領航」轉向「服務」</w:t>
      </w:r>
      <w:r>
        <w:rPr>
          <w:color w:val="1F1F1F"/>
        </w:rPr>
        <w:t>：NPM 劃清了政策與執行的界線，但過度追求效率反而導致公共性流失與社會公平被忽視；NPS 則提醒政府，治理的核心不在於控制與驅動市場，而在於建構平台，促進公民參與</w:t>
      </w:r>
      <w:proofErr w:type="gramStart"/>
      <w:r>
        <w:rPr>
          <w:color w:val="1F1F1F"/>
        </w:rPr>
        <w:t>與</w:t>
      </w:r>
      <w:proofErr w:type="gramEnd"/>
      <w:r>
        <w:rPr>
          <w:color w:val="1F1F1F"/>
        </w:rPr>
        <w:t>民主對話。</w:t>
      </w:r>
    </w:p>
    <w:p w:rsidR="006A329A" w:rsidRDefault="006A329A" w:rsidP="006A329A">
      <w:pPr>
        <w:spacing w:before="100" w:beforeAutospacing="1"/>
        <w:rPr>
          <w:color w:val="1F1F1F"/>
        </w:rPr>
      </w:pPr>
    </w:p>
    <w:p w:rsidR="006A329A" w:rsidRDefault="006A329A" w:rsidP="006A329A">
      <w:pPr>
        <w:widowControl/>
        <w:numPr>
          <w:ilvl w:val="0"/>
          <w:numId w:val="7"/>
        </w:numPr>
        <w:spacing w:before="100" w:beforeAutospacing="1"/>
        <w:ind w:left="0"/>
        <w:rPr>
          <w:color w:val="1F1F1F"/>
        </w:rPr>
      </w:pPr>
      <w:r>
        <w:rPr>
          <w:b/>
          <w:bCs/>
          <w:color w:val="1F1F1F"/>
          <w:bdr w:val="none" w:sz="0" w:space="0" w:color="auto" w:frame="1"/>
        </w:rPr>
        <w:t>微觀技術與巨觀價值的調和</w:t>
      </w:r>
      <w:r>
        <w:rPr>
          <w:color w:val="1F1F1F"/>
        </w:rPr>
        <w:t>：現代政府（如數位治理時代）在</w:t>
      </w:r>
      <w:r>
        <w:rPr>
          <w:b/>
          <w:bCs/>
          <w:color w:val="1F1F1F"/>
          <w:bdr w:val="none" w:sz="0" w:space="0" w:color="auto" w:frame="1"/>
        </w:rPr>
        <w:t>微觀管理層面</w:t>
      </w:r>
      <w:r>
        <w:rPr>
          <w:color w:val="1F1F1F"/>
        </w:rPr>
        <w:t>（技術應用、流程優化）可吸收 NPM 的企業效率；但在</w:t>
      </w:r>
      <w:r>
        <w:rPr>
          <w:b/>
          <w:bCs/>
          <w:color w:val="1F1F1F"/>
          <w:bdr w:val="none" w:sz="0" w:space="0" w:color="auto" w:frame="1"/>
        </w:rPr>
        <w:t>巨觀價值層面</w:t>
      </w:r>
      <w:r>
        <w:rPr>
          <w:color w:val="1F1F1F"/>
        </w:rPr>
        <w:t>（公私界線、民主課責），則必須堅守黑堡宣言與 NPS 所強調的憲政法治、程序正義與公民權利，避免演算法或市場力量凌駕於民主價值之上。</w:t>
      </w:r>
    </w:p>
    <w:p w:rsidR="006A329A" w:rsidRDefault="006A329A" w:rsidP="006A329A">
      <w:pPr>
        <w:spacing w:before="100" w:beforeAutospacing="1"/>
        <w:rPr>
          <w:color w:val="1F1F1F"/>
        </w:rPr>
      </w:pPr>
    </w:p>
    <w:p w:rsidR="006A329A" w:rsidRDefault="006A329A" w:rsidP="006A329A">
      <w:pPr>
        <w:pStyle w:val="4"/>
        <w:rPr>
          <w:color w:val="1F1F1F"/>
        </w:rPr>
      </w:pPr>
      <w:r>
        <w:rPr>
          <w:color w:val="1F1F1F"/>
        </w:rPr>
        <w:t>肆、結語</w:t>
      </w:r>
    </w:p>
    <w:p w:rsidR="006A329A" w:rsidRDefault="006A329A" w:rsidP="006A329A">
      <w:pPr>
        <w:rPr>
          <w:color w:val="1F1F1F"/>
        </w:rPr>
      </w:pPr>
      <w:r>
        <w:rPr>
          <w:color w:val="1F1F1F"/>
        </w:rPr>
        <w:t>綜上所述，NPM、黑堡宣言與 NPS 並非絕對對立，而是回應不同時代治理危機的理論解答。現代公共行政學者與實務工作者，應擺脫單一學派的盲目崇拜，在</w:t>
      </w:r>
      <w:r>
        <w:rPr>
          <w:b/>
          <w:bCs/>
          <w:color w:val="1F1F1F"/>
          <w:bdr w:val="none" w:sz="0" w:space="0" w:color="auto" w:frame="1"/>
        </w:rPr>
        <w:t>效率、法治與民主</w:t>
      </w:r>
      <w:r>
        <w:rPr>
          <w:color w:val="1F1F1F"/>
        </w:rPr>
        <w:t>三者之間尋求動態平衡，以建立具備彈性效率、堅持憲政倫理，且能深切回應公民需求的現代回應性政府。</w:t>
      </w:r>
    </w:p>
    <w:p w:rsidR="006A329A" w:rsidRDefault="006A329A"/>
    <w:p w:rsidR="006A329A" w:rsidRDefault="006A329A">
      <w:pPr>
        <w:rPr>
          <w:rFonts w:ascii="Arial" w:hAnsi="Arial" w:cs="Arial"/>
          <w:color w:val="1F1F1F"/>
          <w:sz w:val="26"/>
          <w:szCs w:val="26"/>
          <w:shd w:val="clear" w:color="auto" w:fill="F2F0F0"/>
        </w:rPr>
      </w:pPr>
      <w:r>
        <w:rPr>
          <w:rFonts w:ascii="Arial" w:hAnsi="Arial" w:cs="Arial"/>
          <w:color w:val="1F1F1F"/>
          <w:sz w:val="26"/>
          <w:szCs w:val="26"/>
          <w:shd w:val="clear" w:color="auto" w:fill="F2F0F0"/>
        </w:rPr>
        <w:t>請依據</w:t>
      </w:r>
      <w:r>
        <w:rPr>
          <w:rFonts w:ascii="Arial" w:hAnsi="Arial" w:cs="Arial"/>
          <w:color w:val="1F1F1F"/>
          <w:sz w:val="26"/>
          <w:szCs w:val="26"/>
          <w:shd w:val="clear" w:color="auto" w:fill="F2F0F0"/>
        </w:rPr>
        <w:t xml:space="preserve"> NPM</w:t>
      </w:r>
      <w:r>
        <w:rPr>
          <w:rFonts w:ascii="Arial" w:hAnsi="Arial" w:cs="Arial"/>
          <w:color w:val="1F1F1F"/>
          <w:sz w:val="26"/>
          <w:szCs w:val="26"/>
          <w:shd w:val="clear" w:color="auto" w:fill="F2F0F0"/>
        </w:rPr>
        <w:t>、黑堡宣言與</w:t>
      </w:r>
      <w:r>
        <w:rPr>
          <w:rFonts w:ascii="Arial" w:hAnsi="Arial" w:cs="Arial"/>
          <w:color w:val="1F1F1F"/>
          <w:sz w:val="26"/>
          <w:szCs w:val="26"/>
          <w:shd w:val="clear" w:color="auto" w:fill="F2F0F0"/>
        </w:rPr>
        <w:t xml:space="preserve"> NPS </w:t>
      </w:r>
      <w:r>
        <w:rPr>
          <w:rFonts w:ascii="Arial" w:hAnsi="Arial" w:cs="Arial"/>
          <w:color w:val="1F1F1F"/>
          <w:sz w:val="26"/>
          <w:szCs w:val="26"/>
          <w:shd w:val="clear" w:color="auto" w:fill="F2F0F0"/>
        </w:rPr>
        <w:t>的三方比較架構，分析當前政府導入</w:t>
      </w:r>
      <w:r>
        <w:rPr>
          <w:rFonts w:ascii="Arial" w:hAnsi="Arial" w:cs="Arial"/>
          <w:color w:val="1F1F1F"/>
          <w:sz w:val="26"/>
          <w:szCs w:val="26"/>
          <w:shd w:val="clear" w:color="auto" w:fill="F2F0F0"/>
        </w:rPr>
        <w:t xml:space="preserve"> AI </w:t>
      </w:r>
      <w:r>
        <w:rPr>
          <w:rFonts w:ascii="Arial" w:hAnsi="Arial" w:cs="Arial"/>
          <w:color w:val="1F1F1F"/>
          <w:sz w:val="26"/>
          <w:szCs w:val="26"/>
          <w:shd w:val="clear" w:color="auto" w:fill="F2F0F0"/>
        </w:rPr>
        <w:t>輔助決策時，在工具效率、憲政法治與民主參與三個面向的衝擊與因應。</w:t>
      </w:r>
    </w:p>
    <w:p w:rsidR="006A329A" w:rsidRDefault="006A329A" w:rsidP="006A329A">
      <w:pPr>
        <w:widowControl/>
        <w:rPr>
          <w:color w:val="1F1F1F"/>
        </w:rPr>
      </w:pPr>
      <w:r>
        <w:rPr>
          <w:color w:val="1F1F1F"/>
        </w:rPr>
        <w:t>以</w:t>
      </w:r>
      <w:r>
        <w:rPr>
          <w:b/>
          <w:bCs/>
          <w:color w:val="1F1F1F"/>
          <w:bdr w:val="none" w:sz="0" w:space="0" w:color="auto" w:frame="1"/>
        </w:rPr>
        <w:t>新公共管理（NPM）</w:t>
      </w:r>
      <w:r>
        <w:rPr>
          <w:color w:val="1F1F1F"/>
        </w:rPr>
        <w:t>、</w:t>
      </w:r>
      <w:r>
        <w:rPr>
          <w:b/>
          <w:bCs/>
          <w:color w:val="1F1F1F"/>
          <w:bdr w:val="none" w:sz="0" w:space="0" w:color="auto" w:frame="1"/>
        </w:rPr>
        <w:t>黑堡宣言（Blacksburg Manifesto）與新公共服務（NPS）構成的三方比較架構，能精</w:t>
      </w:r>
      <w:proofErr w:type="gramStart"/>
      <w:r>
        <w:rPr>
          <w:b/>
          <w:bCs/>
          <w:color w:val="1F1F1F"/>
          <w:bdr w:val="none" w:sz="0" w:space="0" w:color="auto" w:frame="1"/>
        </w:rPr>
        <w:t>準</w:t>
      </w:r>
      <w:proofErr w:type="gramEnd"/>
      <w:r>
        <w:rPr>
          <w:b/>
          <w:bCs/>
          <w:color w:val="1F1F1F"/>
          <w:bdr w:val="none" w:sz="0" w:space="0" w:color="auto" w:frame="1"/>
        </w:rPr>
        <w:t>剖析當前政府導入 AI 輔助決策系統時，在「工具效率」</w:t>
      </w:r>
      <w:r>
        <w:rPr>
          <w:color w:val="1F1F1F"/>
        </w:rPr>
        <w:t>、「憲政法治」</w:t>
      </w:r>
      <w:r>
        <w:rPr>
          <w:b/>
          <w:bCs/>
          <w:color w:val="1F1F1F"/>
          <w:bdr w:val="none" w:sz="0" w:space="0" w:color="auto" w:frame="1"/>
        </w:rPr>
        <w:t>與</w:t>
      </w:r>
      <w:r>
        <w:rPr>
          <w:color w:val="1F1F1F"/>
        </w:rPr>
        <w:t>「民主參與」三個面向所面臨的結構性衝擊與因應策略。</w:t>
      </w:r>
    </w:p>
    <w:p w:rsidR="006A329A" w:rsidRDefault="006A329A" w:rsidP="006A329A">
      <w:pPr>
        <w:rPr>
          <w:color w:val="1F1F1F"/>
        </w:rPr>
      </w:pPr>
      <w:r>
        <w:rPr>
          <w:color w:val="1F1F1F"/>
        </w:rPr>
        <w:br/>
      </w:r>
    </w:p>
    <w:p w:rsidR="006A329A" w:rsidRDefault="006A329A" w:rsidP="006A329A">
      <w:pPr>
        <w:pStyle w:val="3"/>
        <w:rPr>
          <w:color w:val="1F1F1F"/>
        </w:rPr>
      </w:pPr>
      <w:r>
        <w:rPr>
          <w:color w:val="1F1F1F"/>
        </w:rPr>
        <w:t>一、 三方架構下的 AI 治理衝擊與因應分析</w:t>
      </w:r>
    </w:p>
    <w:tbl>
      <w:tblPr>
        <w:tblW w:w="0" w:type="auto"/>
        <w:tblCellSpacing w:w="15" w:type="dxa"/>
        <w:tblCellMar>
          <w:left w:w="0" w:type="dxa"/>
          <w:right w:w="0" w:type="dxa"/>
        </w:tblCellMar>
        <w:tblLook w:val="04A0" w:firstRow="1" w:lastRow="0" w:firstColumn="1" w:lastColumn="0" w:noHBand="0" w:noVBand="1"/>
      </w:tblPr>
      <w:tblGrid>
        <w:gridCol w:w="726"/>
        <w:gridCol w:w="2565"/>
        <w:gridCol w:w="3207"/>
        <w:gridCol w:w="2512"/>
      </w:tblGrid>
      <w:tr w:rsidR="006A329A" w:rsidTr="006A329A">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rStyle w:val="af0"/>
                <w:color w:val="1F1F1F"/>
                <w:bdr w:val="none" w:sz="0" w:space="0" w:color="auto" w:frame="1"/>
              </w:rPr>
              <w:t>剖析面向</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rStyle w:val="af0"/>
                <w:color w:val="1F1F1F"/>
                <w:bdr w:val="none" w:sz="0" w:space="0" w:color="auto" w:frame="1"/>
              </w:rPr>
              <w:t>新公共管理（NPM）視角焦點：工具效率</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rStyle w:val="af0"/>
                <w:color w:val="1F1F1F"/>
                <w:bdr w:val="none" w:sz="0" w:space="0" w:color="auto" w:frame="1"/>
              </w:rPr>
              <w:t>黑堡宣言（Blacksburg Manifesto）視角焦點：憲政法治與文官專業</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rStyle w:val="af0"/>
                <w:color w:val="1F1F1F"/>
                <w:bdr w:val="none" w:sz="0" w:space="0" w:color="auto" w:frame="1"/>
              </w:rPr>
              <w:t>新公共服務（NPS）視角焦點：民主參與</w:t>
            </w:r>
            <w:proofErr w:type="gramStart"/>
            <w:r>
              <w:rPr>
                <w:rStyle w:val="af0"/>
                <w:color w:val="1F1F1F"/>
                <w:bdr w:val="none" w:sz="0" w:space="0" w:color="auto" w:frame="1"/>
              </w:rPr>
              <w:t>與</w:t>
            </w:r>
            <w:proofErr w:type="gramEnd"/>
            <w:r>
              <w:rPr>
                <w:rStyle w:val="af0"/>
                <w:color w:val="1F1F1F"/>
                <w:bdr w:val="none" w:sz="0" w:space="0" w:color="auto" w:frame="1"/>
              </w:rPr>
              <w:t>公民權</w:t>
            </w:r>
          </w:p>
        </w:tc>
      </w:tr>
      <w:tr w:rsidR="006A329A" w:rsidTr="006A329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理</w:t>
            </w:r>
            <w:r>
              <w:rPr>
                <w:b/>
                <w:bCs/>
                <w:color w:val="1F1F1F"/>
                <w:bdr w:val="none" w:sz="0" w:space="0" w:color="auto" w:frame="1"/>
              </w:rPr>
              <w:lastRenderedPageBreak/>
              <w:t>論關懷</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lastRenderedPageBreak/>
              <w:t>自動化審查、精</w:t>
            </w:r>
            <w:proofErr w:type="gramStart"/>
            <w:r>
              <w:rPr>
                <w:color w:val="1F1F1F"/>
                <w:bdr w:val="none" w:sz="0" w:space="0" w:color="auto" w:frame="1"/>
              </w:rPr>
              <w:t>準</w:t>
            </w:r>
            <w:proofErr w:type="gramEnd"/>
            <w:r>
              <w:rPr>
                <w:color w:val="1F1F1F"/>
                <w:bdr w:val="none" w:sz="0" w:space="0" w:color="auto" w:frame="1"/>
              </w:rPr>
              <w:t>打</w:t>
            </w:r>
            <w:r>
              <w:rPr>
                <w:color w:val="1F1F1F"/>
                <w:bdr w:val="none" w:sz="0" w:space="0" w:color="auto" w:frame="1"/>
              </w:rPr>
              <w:lastRenderedPageBreak/>
              <w:t>擊犯罪、極致化流程與成本效益。</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lastRenderedPageBreak/>
              <w:t>演算法黑箱威脅「依法行</w:t>
            </w:r>
            <w:r>
              <w:rPr>
                <w:color w:val="1F1F1F"/>
                <w:bdr w:val="none" w:sz="0" w:space="0" w:color="auto" w:frame="1"/>
              </w:rPr>
              <w:lastRenderedPageBreak/>
              <w:t>政」、削弱公務員專業裁量權。</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color w:val="1F1F1F"/>
                <w:bdr w:val="none" w:sz="0" w:space="0" w:color="auto" w:frame="1"/>
              </w:rPr>
              <w:lastRenderedPageBreak/>
              <w:t>將民眾簡化為數據</w:t>
            </w:r>
            <w:r>
              <w:rPr>
                <w:color w:val="1F1F1F"/>
                <w:bdr w:val="none" w:sz="0" w:space="0" w:color="auto" w:frame="1"/>
              </w:rPr>
              <w:lastRenderedPageBreak/>
              <w:t>點、演算法偏見侵蝕社會公平與公民對話。</w:t>
            </w:r>
          </w:p>
        </w:tc>
      </w:tr>
      <w:tr w:rsidR="006A329A" w:rsidTr="006A329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lastRenderedPageBreak/>
              <w:t>核心衝擊</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自動化盲點與技術依賴</w:t>
            </w:r>
          </w:p>
          <w:p w:rsidR="006A329A" w:rsidRDefault="006A329A">
            <w:pPr>
              <w:rPr>
                <w:color w:val="1F1F1F"/>
              </w:rPr>
            </w:pPr>
            <w:r>
              <w:rPr>
                <w:color w:val="1F1F1F"/>
              </w:rPr>
              <w:br/>
            </w:r>
          </w:p>
          <w:p w:rsidR="006A329A" w:rsidRDefault="006A329A">
            <w:pPr>
              <w:rPr>
                <w:color w:val="1F1F1F"/>
              </w:rPr>
            </w:pPr>
            <w:r>
              <w:rPr>
                <w:color w:val="1F1F1F"/>
              </w:rPr>
              <w:t>過度追求 KPI 與辦理速度，導致 AI 系統忽略脈絡性特例，甚至出現系統性錯誤（如演算法詐領判斷誤判）。</w:t>
            </w:r>
          </w:p>
          <w:p w:rsidR="006A329A" w:rsidRDefault="006A329A">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憲政審查危機與權責流失</w:t>
            </w:r>
          </w:p>
          <w:p w:rsidR="006A329A" w:rsidRDefault="006A329A">
            <w:pPr>
              <w:rPr>
                <w:color w:val="1F1F1F"/>
              </w:rPr>
            </w:pPr>
            <w:r>
              <w:rPr>
                <w:color w:val="1F1F1F"/>
              </w:rPr>
              <w:br/>
            </w:r>
          </w:p>
          <w:p w:rsidR="006A329A" w:rsidRDefault="006A329A">
            <w:pPr>
              <w:rPr>
                <w:color w:val="1F1F1F"/>
              </w:rPr>
            </w:pPr>
            <w:r>
              <w:rPr>
                <w:color w:val="1F1F1F"/>
              </w:rPr>
              <w:t>AI 的黑箱決策（Black Box）侵犯民眾的「程序正義」與「理由書告知權」；</w:t>
            </w:r>
            <w:proofErr w:type="gramStart"/>
            <w:r>
              <w:rPr>
                <w:color w:val="1F1F1F"/>
              </w:rPr>
              <w:t>公務員演判變成</w:t>
            </w:r>
            <w:proofErr w:type="gramEnd"/>
            <w:r>
              <w:rPr>
                <w:color w:val="1F1F1F"/>
              </w:rPr>
              <w:t>「形式核章」，導致常任文官的憲政受託責任空洞化。</w:t>
            </w:r>
          </w:p>
          <w:p w:rsidR="006A329A" w:rsidRDefault="006A329A">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數位鴻溝與審議排斥</w:t>
            </w:r>
          </w:p>
          <w:p w:rsidR="006A329A" w:rsidRDefault="006A329A">
            <w:pPr>
              <w:rPr>
                <w:color w:val="1F1F1F"/>
              </w:rPr>
            </w:pPr>
            <w:r>
              <w:rPr>
                <w:color w:val="1F1F1F"/>
              </w:rPr>
              <w:br/>
            </w:r>
          </w:p>
          <w:p w:rsidR="006A329A" w:rsidRDefault="006A329A">
            <w:pPr>
              <w:rPr>
                <w:color w:val="1F1F1F"/>
              </w:rPr>
            </w:pPr>
            <w:r>
              <w:rPr>
                <w:color w:val="1F1F1F"/>
              </w:rPr>
              <w:t>封閉式的演算法提案壟斷公共議題，弱勢族群因缺少數據足跡而遭決策邊緣化，公共領域被技術威權取代。</w:t>
            </w:r>
          </w:p>
          <w:p w:rsidR="006A329A" w:rsidRDefault="006A329A">
            <w:pPr>
              <w:rPr>
                <w:color w:val="1F1F1F"/>
              </w:rPr>
            </w:pPr>
          </w:p>
        </w:tc>
      </w:tr>
      <w:tr w:rsidR="006A329A" w:rsidTr="006A329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因應策略</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成果驗證與韌性維護</w:t>
            </w:r>
          </w:p>
          <w:p w:rsidR="006A329A" w:rsidRDefault="006A329A">
            <w:pPr>
              <w:rPr>
                <w:color w:val="1F1F1F"/>
              </w:rPr>
            </w:pPr>
            <w:r>
              <w:rPr>
                <w:color w:val="1F1F1F"/>
              </w:rPr>
              <w:br/>
            </w:r>
          </w:p>
          <w:p w:rsidR="006A329A" w:rsidRDefault="006A329A">
            <w:pPr>
              <w:rPr>
                <w:color w:val="1F1F1F"/>
              </w:rPr>
            </w:pPr>
            <w:r>
              <w:rPr>
                <w:color w:val="1F1F1F"/>
              </w:rPr>
              <w:t>建立 AI 系統的成本效益評估與可解釋性 AI（XAI）的量化追蹤，確保自動化帶來的確實是「實質效益」而非系統性風險。</w:t>
            </w:r>
          </w:p>
          <w:p w:rsidR="006A329A" w:rsidRDefault="006A329A">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文官異議保障與資料履歷</w:t>
            </w:r>
          </w:p>
          <w:p w:rsidR="006A329A" w:rsidRDefault="006A329A">
            <w:pPr>
              <w:rPr>
                <w:color w:val="1F1F1F"/>
              </w:rPr>
            </w:pPr>
            <w:r>
              <w:rPr>
                <w:color w:val="1F1F1F"/>
              </w:rPr>
              <w:br/>
            </w:r>
          </w:p>
          <w:p w:rsidR="006A329A" w:rsidRDefault="006A329A">
            <w:pPr>
              <w:rPr>
                <w:color w:val="1F1F1F"/>
              </w:rPr>
            </w:pPr>
            <w:proofErr w:type="gramStart"/>
            <w:r>
              <w:rPr>
                <w:color w:val="1F1F1F"/>
              </w:rPr>
              <w:t>採</w:t>
            </w:r>
            <w:proofErr w:type="gramEnd"/>
            <w:r>
              <w:rPr>
                <w:color w:val="1F1F1F"/>
              </w:rPr>
              <w:t>行「人為監督（Human-in-the-loop）」，建立法定的</w:t>
            </w:r>
            <w:r>
              <w:rPr>
                <w:b/>
                <w:bCs/>
                <w:color w:val="1F1F1F"/>
                <w:bdr w:val="none" w:sz="0" w:space="0" w:color="auto" w:frame="1"/>
              </w:rPr>
              <w:t>公務員專業異議權</w:t>
            </w:r>
            <w:r>
              <w:rPr>
                <w:color w:val="1F1F1F"/>
              </w:rPr>
              <w:t>；落實 AI 採購中的採購稽核權、資訊公開權與強制停止權。</w:t>
            </w:r>
          </w:p>
          <w:p w:rsidR="006A329A" w:rsidRDefault="006A329A">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A329A" w:rsidRDefault="006A329A">
            <w:pPr>
              <w:rPr>
                <w:color w:val="1F1F1F"/>
              </w:rPr>
            </w:pPr>
            <w:r>
              <w:rPr>
                <w:b/>
                <w:bCs/>
                <w:color w:val="1F1F1F"/>
                <w:bdr w:val="none" w:sz="0" w:space="0" w:color="auto" w:frame="1"/>
              </w:rPr>
              <w:t>公民審議與可解釋對話</w:t>
            </w:r>
          </w:p>
          <w:p w:rsidR="006A329A" w:rsidRDefault="006A329A">
            <w:pPr>
              <w:rPr>
                <w:color w:val="1F1F1F"/>
              </w:rPr>
            </w:pPr>
            <w:r>
              <w:rPr>
                <w:color w:val="1F1F1F"/>
              </w:rPr>
              <w:br/>
            </w:r>
          </w:p>
          <w:p w:rsidR="006A329A" w:rsidRDefault="006A329A">
            <w:pPr>
              <w:rPr>
                <w:color w:val="1F1F1F"/>
              </w:rPr>
            </w:pPr>
            <w:r>
              <w:rPr>
                <w:color w:val="1F1F1F"/>
              </w:rPr>
              <w:t>引進審議民主機制（如公民合議庭），將可解釋 AI（XAI）作為對話工具而非決策機器，確保公民能對演算法提問與挑戰。</w:t>
            </w:r>
          </w:p>
          <w:p w:rsidR="006A329A" w:rsidRDefault="006A329A">
            <w:pPr>
              <w:rPr>
                <w:color w:val="1F1F1F"/>
              </w:rPr>
            </w:pPr>
          </w:p>
        </w:tc>
      </w:tr>
    </w:tbl>
    <w:p w:rsidR="006A329A" w:rsidRDefault="006A329A" w:rsidP="006A329A">
      <w:pPr>
        <w:pStyle w:val="3"/>
        <w:rPr>
          <w:color w:val="1F1F1F"/>
        </w:rPr>
      </w:pPr>
      <w:r>
        <w:rPr>
          <w:color w:val="1F1F1F"/>
        </w:rPr>
        <w:t>二、 答題論述與實務脈絡深化</w:t>
      </w:r>
    </w:p>
    <w:p w:rsidR="006A329A" w:rsidRDefault="006A329A" w:rsidP="006A329A">
      <w:pPr>
        <w:rPr>
          <w:color w:val="1F1F1F"/>
        </w:rPr>
      </w:pPr>
      <w:r>
        <w:rPr>
          <w:color w:val="1F1F1F"/>
        </w:rPr>
        <w:t>在寫作申論題或學術論文時，可將上述三方架構進一步提煉為「 AI 導入政府的縱向</w:t>
      </w:r>
      <w:proofErr w:type="gramStart"/>
      <w:r>
        <w:rPr>
          <w:color w:val="1F1F1F"/>
        </w:rPr>
        <w:t>三</w:t>
      </w:r>
      <w:proofErr w:type="gramEnd"/>
      <w:r>
        <w:rPr>
          <w:color w:val="1F1F1F"/>
        </w:rPr>
        <w:t>防線」：</w:t>
      </w:r>
    </w:p>
    <w:p w:rsidR="006A329A" w:rsidRDefault="006A329A" w:rsidP="006A329A">
      <w:pPr>
        <w:rPr>
          <w:color w:val="1F1F1F"/>
        </w:rPr>
      </w:pPr>
      <w:r>
        <w:rPr>
          <w:color w:val="1F1F1F"/>
        </w:rPr>
        <w:br/>
      </w:r>
    </w:p>
    <w:p w:rsidR="006A329A" w:rsidRDefault="006A329A" w:rsidP="006A329A">
      <w:pPr>
        <w:widowControl/>
        <w:numPr>
          <w:ilvl w:val="0"/>
          <w:numId w:val="8"/>
        </w:numPr>
        <w:spacing w:before="100" w:beforeAutospacing="1"/>
        <w:ind w:left="0"/>
        <w:rPr>
          <w:color w:val="1F1F1F"/>
        </w:rPr>
      </w:pPr>
      <w:r>
        <w:rPr>
          <w:b/>
          <w:bCs/>
          <w:color w:val="1F1F1F"/>
          <w:bdr w:val="none" w:sz="0" w:space="0" w:color="auto" w:frame="1"/>
        </w:rPr>
        <w:lastRenderedPageBreak/>
        <w:t>第一道防線：NPM 的效率工具優化（技術操作層）</w:t>
      </w:r>
    </w:p>
    <w:p w:rsidR="006A329A" w:rsidRDefault="006A329A" w:rsidP="006A329A">
      <w:pPr>
        <w:spacing w:before="100" w:beforeAutospacing="1"/>
        <w:rPr>
          <w:color w:val="1F1F1F"/>
        </w:rPr>
      </w:pPr>
      <w:r>
        <w:rPr>
          <w:color w:val="1F1F1F"/>
        </w:rPr>
        <w:br/>
      </w:r>
    </w:p>
    <w:p w:rsidR="006A329A" w:rsidRDefault="006A329A" w:rsidP="006A329A">
      <w:pPr>
        <w:widowControl/>
        <w:numPr>
          <w:ilvl w:val="1"/>
          <w:numId w:val="8"/>
        </w:numPr>
        <w:spacing w:before="100" w:beforeAutospacing="1"/>
        <w:ind w:left="0"/>
        <w:rPr>
          <w:color w:val="1F1F1F"/>
        </w:rPr>
      </w:pPr>
      <w:r>
        <w:rPr>
          <w:rStyle w:val="citation-53"/>
          <w:b/>
          <w:bCs/>
          <w:color w:val="1F1F1F"/>
          <w:bdr w:val="none" w:sz="0" w:space="0" w:color="auto" w:frame="1"/>
        </w:rPr>
        <w:t>衝擊</w:t>
      </w:r>
      <w:r>
        <w:rPr>
          <w:rStyle w:val="citation-53"/>
          <w:color w:val="1F1F1F"/>
          <w:bdr w:val="none" w:sz="0" w:space="0" w:color="auto" w:frame="1"/>
        </w:rPr>
        <w:t>：</w:t>
      </w:r>
      <w:r>
        <w:rPr>
          <w:color w:val="1F1F1F"/>
        </w:rPr>
        <w:t xml:space="preserve">政府若僅以 NPM 的成本效益視角導入 AI，極易落入「速度至上」的陷阱，導致演算法偏見在公務流程中被自動化放大。 </w:t>
      </w:r>
    </w:p>
    <w:p w:rsidR="006A329A" w:rsidRDefault="006A329A" w:rsidP="006A329A">
      <w:pPr>
        <w:spacing w:before="100" w:beforeAutospacing="1"/>
        <w:rPr>
          <w:color w:val="1F1F1F"/>
        </w:rPr>
      </w:pPr>
    </w:p>
    <w:p w:rsidR="006A329A" w:rsidRDefault="006A329A" w:rsidP="006A329A">
      <w:pPr>
        <w:widowControl/>
        <w:numPr>
          <w:ilvl w:val="1"/>
          <w:numId w:val="8"/>
        </w:numPr>
        <w:spacing w:before="100" w:beforeAutospacing="1"/>
        <w:ind w:left="0"/>
        <w:rPr>
          <w:color w:val="1F1F1F"/>
        </w:rPr>
      </w:pPr>
      <w:r>
        <w:rPr>
          <w:rStyle w:val="citation-52"/>
          <w:b/>
          <w:bCs/>
          <w:color w:val="1F1F1F"/>
          <w:bdr w:val="none" w:sz="0" w:space="0" w:color="auto" w:frame="1"/>
        </w:rPr>
        <w:t>因應</w:t>
      </w:r>
      <w:r>
        <w:rPr>
          <w:rStyle w:val="citation-52"/>
          <w:color w:val="1F1F1F"/>
          <w:bdr w:val="none" w:sz="0" w:space="0" w:color="auto" w:frame="1"/>
        </w:rPr>
        <w:t>：</w:t>
      </w:r>
      <w:r>
        <w:rPr>
          <w:color w:val="1F1F1F"/>
        </w:rPr>
        <w:t>導入「可解釋性 AI（XAI）」與動態稽核，將技術重點從「替代人力」轉向「輔助精</w:t>
      </w:r>
      <w:proofErr w:type="gramStart"/>
      <w:r>
        <w:rPr>
          <w:color w:val="1F1F1F"/>
        </w:rPr>
        <w:t>準</w:t>
      </w:r>
      <w:proofErr w:type="gramEnd"/>
      <w:r>
        <w:rPr>
          <w:color w:val="1F1F1F"/>
        </w:rPr>
        <w:t xml:space="preserve">服務」。 </w:t>
      </w:r>
    </w:p>
    <w:p w:rsidR="006A329A" w:rsidRDefault="006A329A" w:rsidP="006A329A">
      <w:pPr>
        <w:spacing w:before="100" w:beforeAutospacing="1"/>
        <w:rPr>
          <w:color w:val="1F1F1F"/>
        </w:rPr>
      </w:pPr>
    </w:p>
    <w:p w:rsidR="006A329A" w:rsidRDefault="006A329A" w:rsidP="006A329A">
      <w:pPr>
        <w:widowControl/>
        <w:numPr>
          <w:ilvl w:val="0"/>
          <w:numId w:val="8"/>
        </w:numPr>
        <w:spacing w:before="100" w:beforeAutospacing="1"/>
        <w:ind w:left="0"/>
        <w:rPr>
          <w:color w:val="1F1F1F"/>
        </w:rPr>
      </w:pPr>
      <w:r>
        <w:rPr>
          <w:b/>
          <w:bCs/>
          <w:color w:val="1F1F1F"/>
          <w:bdr w:val="none" w:sz="0" w:space="0" w:color="auto" w:frame="1"/>
        </w:rPr>
        <w:t>第二道防線：黑堡宣言的法治與文官主體性（憲政治理層）</w:t>
      </w:r>
    </w:p>
    <w:p w:rsidR="006A329A" w:rsidRDefault="006A329A" w:rsidP="006A329A">
      <w:pPr>
        <w:spacing w:before="100" w:beforeAutospacing="1"/>
        <w:rPr>
          <w:color w:val="1F1F1F"/>
        </w:rPr>
      </w:pPr>
      <w:r>
        <w:rPr>
          <w:color w:val="1F1F1F"/>
        </w:rPr>
        <w:br/>
      </w:r>
    </w:p>
    <w:p w:rsidR="006A329A" w:rsidRDefault="006A329A" w:rsidP="006A329A">
      <w:pPr>
        <w:widowControl/>
        <w:numPr>
          <w:ilvl w:val="1"/>
          <w:numId w:val="8"/>
        </w:numPr>
        <w:spacing w:before="100" w:beforeAutospacing="1"/>
        <w:ind w:left="0"/>
        <w:rPr>
          <w:color w:val="1F1F1F"/>
        </w:rPr>
      </w:pPr>
      <w:r>
        <w:rPr>
          <w:rStyle w:val="citation-51"/>
          <w:b/>
          <w:bCs/>
          <w:color w:val="1F1F1F"/>
          <w:bdr w:val="none" w:sz="0" w:space="0" w:color="auto" w:frame="1"/>
        </w:rPr>
        <w:t>衝擊</w:t>
      </w:r>
      <w:r>
        <w:rPr>
          <w:rStyle w:val="citation-51"/>
          <w:color w:val="1F1F1F"/>
          <w:bdr w:val="none" w:sz="0" w:space="0" w:color="auto" w:frame="1"/>
        </w:rPr>
        <w:t>：</w:t>
      </w:r>
      <w:r>
        <w:rPr>
          <w:rStyle w:val="citation-50"/>
          <w:color w:val="1F1F1F"/>
          <w:bdr w:val="none" w:sz="0" w:space="0" w:color="auto" w:frame="1"/>
        </w:rPr>
        <w:t>當演算法給出風險評估報告時，文官若因恐懼責任而全盤照單全收，文官作為「憲政受託人」的正當性將被技術壟斷所腐蝕。</w:t>
      </w:r>
      <w:r>
        <w:rPr>
          <w:color w:val="1F1F1F"/>
        </w:rPr>
        <w:t xml:space="preserve"> </w:t>
      </w:r>
    </w:p>
    <w:p w:rsidR="006A329A" w:rsidRDefault="006A329A" w:rsidP="006A329A">
      <w:pPr>
        <w:spacing w:before="100" w:beforeAutospacing="1"/>
        <w:rPr>
          <w:color w:val="1F1F1F"/>
        </w:rPr>
      </w:pPr>
    </w:p>
    <w:p w:rsidR="006A329A" w:rsidRDefault="006A329A" w:rsidP="006A329A">
      <w:pPr>
        <w:widowControl/>
        <w:numPr>
          <w:ilvl w:val="1"/>
          <w:numId w:val="8"/>
        </w:numPr>
        <w:spacing w:before="100" w:beforeAutospacing="1"/>
        <w:ind w:left="0"/>
        <w:rPr>
          <w:color w:val="1F1F1F"/>
        </w:rPr>
      </w:pPr>
      <w:r>
        <w:rPr>
          <w:rStyle w:val="citation-49"/>
          <w:b/>
          <w:bCs/>
          <w:color w:val="1F1F1F"/>
          <w:bdr w:val="none" w:sz="0" w:space="0" w:color="auto" w:frame="1"/>
        </w:rPr>
        <w:t>因應</w:t>
      </w:r>
      <w:r>
        <w:rPr>
          <w:rStyle w:val="citation-49"/>
          <w:color w:val="1F1F1F"/>
          <w:bdr w:val="none" w:sz="0" w:space="0" w:color="auto" w:frame="1"/>
        </w:rPr>
        <w:t>：</w:t>
      </w:r>
      <w:r>
        <w:rPr>
          <w:color w:val="1F1F1F"/>
        </w:rPr>
        <w:t xml:space="preserve">賦予公務員在個案中實質拒絕或修正 AI 建議的「專業異議能力」，並在採購階段劃清資訊權與強制終止權，確保國家機關始終保有最終控制權。 </w:t>
      </w:r>
    </w:p>
    <w:p w:rsidR="006A329A" w:rsidRDefault="006A329A" w:rsidP="006A329A">
      <w:pPr>
        <w:spacing w:before="100" w:beforeAutospacing="1"/>
        <w:rPr>
          <w:color w:val="1F1F1F"/>
        </w:rPr>
      </w:pPr>
    </w:p>
    <w:p w:rsidR="006A329A" w:rsidRDefault="006A329A" w:rsidP="006A329A">
      <w:pPr>
        <w:widowControl/>
        <w:numPr>
          <w:ilvl w:val="0"/>
          <w:numId w:val="8"/>
        </w:numPr>
        <w:spacing w:before="100" w:beforeAutospacing="1"/>
        <w:ind w:left="0"/>
        <w:rPr>
          <w:color w:val="1F1F1F"/>
        </w:rPr>
      </w:pPr>
      <w:r>
        <w:rPr>
          <w:b/>
          <w:bCs/>
          <w:color w:val="1F1F1F"/>
          <w:bdr w:val="none" w:sz="0" w:space="0" w:color="auto" w:frame="1"/>
        </w:rPr>
        <w:t>第三道防線：NPS 的民主參與</w:t>
      </w:r>
      <w:proofErr w:type="gramStart"/>
      <w:r>
        <w:rPr>
          <w:b/>
          <w:bCs/>
          <w:color w:val="1F1F1F"/>
          <w:bdr w:val="none" w:sz="0" w:space="0" w:color="auto" w:frame="1"/>
        </w:rPr>
        <w:t>與</w:t>
      </w:r>
      <w:proofErr w:type="gramEnd"/>
      <w:r>
        <w:rPr>
          <w:b/>
          <w:bCs/>
          <w:color w:val="1F1F1F"/>
          <w:bdr w:val="none" w:sz="0" w:space="0" w:color="auto" w:frame="1"/>
        </w:rPr>
        <w:t>公共價值（公共性層）</w:t>
      </w:r>
    </w:p>
    <w:p w:rsidR="006A329A" w:rsidRDefault="006A329A" w:rsidP="006A329A">
      <w:pPr>
        <w:spacing w:before="100" w:beforeAutospacing="1"/>
        <w:rPr>
          <w:color w:val="1F1F1F"/>
        </w:rPr>
      </w:pPr>
      <w:r>
        <w:rPr>
          <w:color w:val="1F1F1F"/>
        </w:rPr>
        <w:br/>
      </w:r>
    </w:p>
    <w:p w:rsidR="006A329A" w:rsidRDefault="006A329A" w:rsidP="006A329A">
      <w:pPr>
        <w:widowControl/>
        <w:numPr>
          <w:ilvl w:val="1"/>
          <w:numId w:val="8"/>
        </w:numPr>
        <w:spacing w:before="100" w:beforeAutospacing="1"/>
        <w:ind w:left="0"/>
        <w:rPr>
          <w:color w:val="1F1F1F"/>
        </w:rPr>
      </w:pPr>
      <w:r>
        <w:rPr>
          <w:rStyle w:val="citation-48"/>
          <w:b/>
          <w:bCs/>
          <w:color w:val="1F1F1F"/>
          <w:bdr w:val="none" w:sz="0" w:space="0" w:color="auto" w:frame="1"/>
        </w:rPr>
        <w:t>衝擊</w:t>
      </w:r>
      <w:r>
        <w:rPr>
          <w:rStyle w:val="citation-48"/>
          <w:color w:val="1F1F1F"/>
          <w:bdr w:val="none" w:sz="0" w:space="0" w:color="auto" w:frame="1"/>
        </w:rPr>
        <w:t>：</w:t>
      </w:r>
      <w:r>
        <w:rPr>
          <w:color w:val="1F1F1F"/>
        </w:rPr>
        <w:t>演算法決策容易將「公民」降格為</w:t>
      </w:r>
      <w:proofErr w:type="gramStart"/>
      <w:r>
        <w:rPr>
          <w:color w:val="1F1F1F"/>
        </w:rPr>
        <w:t>數據庫裡的</w:t>
      </w:r>
      <w:proofErr w:type="gramEnd"/>
      <w:r>
        <w:rPr>
          <w:color w:val="1F1F1F"/>
        </w:rPr>
        <w:t xml:space="preserve">「服務對象/顧客」，削弱了公民社會集體審議與價值溝通的能力。 </w:t>
      </w:r>
    </w:p>
    <w:p w:rsidR="006A329A" w:rsidRDefault="006A329A" w:rsidP="006A329A">
      <w:pPr>
        <w:spacing w:before="100" w:beforeAutospacing="1"/>
        <w:rPr>
          <w:color w:val="1F1F1F"/>
        </w:rPr>
      </w:pPr>
    </w:p>
    <w:p w:rsidR="006A329A" w:rsidRDefault="006A329A" w:rsidP="006A329A">
      <w:pPr>
        <w:widowControl/>
        <w:numPr>
          <w:ilvl w:val="1"/>
          <w:numId w:val="8"/>
        </w:numPr>
        <w:spacing w:before="100" w:beforeAutospacing="1"/>
        <w:ind w:left="0"/>
        <w:rPr>
          <w:color w:val="1F1F1F"/>
        </w:rPr>
      </w:pPr>
      <w:r>
        <w:rPr>
          <w:rStyle w:val="citation-47"/>
          <w:b/>
          <w:bCs/>
          <w:color w:val="1F1F1F"/>
          <w:bdr w:val="none" w:sz="0" w:space="0" w:color="auto" w:frame="1"/>
        </w:rPr>
        <w:lastRenderedPageBreak/>
        <w:t>因應</w:t>
      </w:r>
      <w:r>
        <w:rPr>
          <w:rStyle w:val="citation-47"/>
          <w:color w:val="1F1F1F"/>
          <w:bdr w:val="none" w:sz="0" w:space="0" w:color="auto" w:frame="1"/>
        </w:rPr>
        <w:t>：</w:t>
      </w:r>
      <w:r>
        <w:rPr>
          <w:color w:val="1F1F1F"/>
        </w:rPr>
        <w:t xml:space="preserve">AI 應作為「促進民主對話的基礎設施（Facilitation Infrastructure）」。政府應推動資訊透明、資料履歷與公民參與式評估，讓演算法成為凝聚社會共識的對話媒介，而非閉門造車的權力工具。 </w:t>
      </w:r>
    </w:p>
    <w:p w:rsidR="006A329A" w:rsidRDefault="006A329A" w:rsidP="006A329A">
      <w:pPr>
        <w:spacing w:before="100" w:beforeAutospacing="1"/>
        <w:rPr>
          <w:color w:val="1F1F1F"/>
        </w:rPr>
      </w:pPr>
    </w:p>
    <w:p w:rsidR="006A329A" w:rsidRDefault="006A329A" w:rsidP="006A329A">
      <w:pPr>
        <w:pStyle w:val="3"/>
        <w:rPr>
          <w:color w:val="1F1F1F"/>
        </w:rPr>
      </w:pPr>
      <w:r>
        <w:rPr>
          <w:color w:val="1F1F1F"/>
        </w:rPr>
        <w:t>三、 結論與前瞻</w:t>
      </w:r>
    </w:p>
    <w:p w:rsidR="006A329A" w:rsidRDefault="006A329A" w:rsidP="006A329A">
      <w:pPr>
        <w:rPr>
          <w:color w:val="1F1F1F"/>
        </w:rPr>
      </w:pPr>
      <w:r>
        <w:rPr>
          <w:rStyle w:val="citation-46"/>
          <w:color w:val="1F1F1F"/>
          <w:bdr w:val="none" w:sz="0" w:space="0" w:color="auto" w:frame="1"/>
        </w:rPr>
        <w:t>政府導入 AI 不僅是技術升級，更是</w:t>
      </w:r>
      <w:r>
        <w:rPr>
          <w:rStyle w:val="citation-46"/>
          <w:b/>
          <w:bCs/>
          <w:color w:val="1F1F1F"/>
          <w:bdr w:val="none" w:sz="0" w:space="0" w:color="auto" w:frame="1"/>
        </w:rPr>
        <w:t>公共行政學典範衝擊的試金石</w:t>
      </w:r>
      <w:r>
        <w:rPr>
          <w:rStyle w:val="citation-46"/>
          <w:color w:val="1F1F1F"/>
          <w:bdr w:val="none" w:sz="0" w:space="0" w:color="auto" w:frame="1"/>
        </w:rPr>
        <w:t xml:space="preserve">。健全的 AI 治理體系，必須在 NPM 所追求的「工具效率」基礎上，建構 </w:t>
      </w:r>
      <w:r>
        <w:rPr>
          <w:rStyle w:val="citation-46"/>
          <w:b/>
          <w:bCs/>
          <w:color w:val="1F1F1F"/>
          <w:bdr w:val="none" w:sz="0" w:space="0" w:color="auto" w:frame="1"/>
        </w:rPr>
        <w:t>黑堡宣言所堅持的「憲政法治與文官保障」</w:t>
      </w:r>
      <w:r>
        <w:rPr>
          <w:rStyle w:val="citation-46"/>
          <w:color w:val="1F1F1F"/>
          <w:bdr w:val="none" w:sz="0" w:space="0" w:color="auto" w:frame="1"/>
        </w:rPr>
        <w:t xml:space="preserve">，並最終回歸 </w:t>
      </w:r>
      <w:r>
        <w:rPr>
          <w:rStyle w:val="citation-46"/>
          <w:b/>
          <w:bCs/>
          <w:color w:val="1F1F1F"/>
          <w:bdr w:val="none" w:sz="0" w:space="0" w:color="auto" w:frame="1"/>
        </w:rPr>
        <w:t>NPS 所主張的「民主參與</w:t>
      </w:r>
      <w:proofErr w:type="gramStart"/>
      <w:r>
        <w:rPr>
          <w:rStyle w:val="citation-46"/>
          <w:b/>
          <w:bCs/>
          <w:color w:val="1F1F1F"/>
          <w:bdr w:val="none" w:sz="0" w:space="0" w:color="auto" w:frame="1"/>
        </w:rPr>
        <w:t>與</w:t>
      </w:r>
      <w:proofErr w:type="gramEnd"/>
      <w:r>
        <w:rPr>
          <w:rStyle w:val="citation-46"/>
          <w:b/>
          <w:bCs/>
          <w:color w:val="1F1F1F"/>
          <w:bdr w:val="none" w:sz="0" w:space="0" w:color="auto" w:frame="1"/>
        </w:rPr>
        <w:t>公共價值」</w:t>
      </w:r>
      <w:r>
        <w:rPr>
          <w:rStyle w:val="citation-46"/>
          <w:color w:val="1F1F1F"/>
          <w:bdr w:val="none" w:sz="0" w:space="0" w:color="auto" w:frame="1"/>
        </w:rPr>
        <w:t>。唯有此三方架構維持動態平衡，AI 輔助決策才能真正轉化為強化民主回應性與國家治理能力的防衛性力量。</w:t>
      </w:r>
      <w:r>
        <w:rPr>
          <w:color w:val="1F1F1F"/>
        </w:rPr>
        <w:t xml:space="preserve"> </w:t>
      </w:r>
    </w:p>
    <w:p w:rsidR="006A329A" w:rsidRDefault="006A329A" w:rsidP="006A329A">
      <w:pPr>
        <w:rPr>
          <w:color w:val="1F1F1F"/>
        </w:rPr>
      </w:pPr>
    </w:p>
    <w:p w:rsidR="006A329A" w:rsidRDefault="006A329A" w:rsidP="006A329A">
      <w:pPr>
        <w:rPr>
          <w:color w:val="1F1F1F"/>
        </w:rPr>
      </w:pPr>
      <w:r>
        <w:rPr>
          <w:rStyle w:val="citation-45"/>
          <w:color w:val="1F1F1F"/>
          <w:bdr w:val="none" w:sz="0" w:space="0" w:color="auto" w:frame="1"/>
        </w:rPr>
        <w:t xml:space="preserve">如需了解教學與研究相關的理論應用，可參考專門探討 </w:t>
      </w:r>
      <w:hyperlink r:id="rId7" w:tgtFrame="_blank" w:history="1">
        <w:r>
          <w:rPr>
            <w:rStyle w:val="citation-45"/>
            <w:color w:val="000000"/>
            <w:u w:val="single"/>
            <w:bdr w:val="none" w:sz="0" w:space="0" w:color="auto" w:frame="1"/>
          </w:rPr>
          <w:t>新公共服務（NPS）與 AI 治理</w:t>
        </w:r>
      </w:hyperlink>
      <w:r>
        <w:rPr>
          <w:rStyle w:val="citation-45"/>
          <w:color w:val="1F1F1F"/>
          <w:bdr w:val="none" w:sz="0" w:space="0" w:color="auto" w:frame="1"/>
        </w:rPr>
        <w:t xml:space="preserve"> </w:t>
      </w:r>
      <w:proofErr w:type="gramStart"/>
      <w:r>
        <w:rPr>
          <w:rStyle w:val="citation-45"/>
          <w:color w:val="1F1F1F"/>
          <w:bdr w:val="none" w:sz="0" w:space="0" w:color="auto" w:frame="1"/>
        </w:rPr>
        <w:t>的線上演講</w:t>
      </w:r>
      <w:proofErr w:type="gramEnd"/>
      <w:r>
        <w:rPr>
          <w:rStyle w:val="citation-45"/>
          <w:color w:val="1F1F1F"/>
          <w:bdr w:val="none" w:sz="0" w:space="0" w:color="auto" w:frame="1"/>
        </w:rPr>
        <w:t>影片，該內容詳細分析了從 NPM 轉向 NPS 過程中，民主行政如何重新定位技術的角色。</w:t>
      </w:r>
      <w:r>
        <w:rPr>
          <w:color w:val="1F1F1F"/>
        </w:rPr>
        <w:t xml:space="preserve"> </w:t>
      </w:r>
    </w:p>
    <w:p w:rsidR="006A329A" w:rsidRPr="006A329A" w:rsidRDefault="006A329A">
      <w:pPr>
        <w:rPr>
          <w:rFonts w:hint="eastAsia"/>
        </w:rPr>
      </w:pPr>
      <w:bookmarkStart w:id="0" w:name="_GoBack"/>
      <w:bookmarkEnd w:id="0"/>
    </w:p>
    <w:sectPr w:rsidR="006A329A" w:rsidRPr="006A329A">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343" w:rsidRDefault="007B3343" w:rsidP="006A329A">
      <w:r>
        <w:separator/>
      </w:r>
    </w:p>
  </w:endnote>
  <w:endnote w:type="continuationSeparator" w:id="0">
    <w:p w:rsidR="007B3343" w:rsidRDefault="007B3343" w:rsidP="006A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343" w:rsidRDefault="007B3343" w:rsidP="006A329A">
      <w:r>
        <w:separator/>
      </w:r>
    </w:p>
  </w:footnote>
  <w:footnote w:type="continuationSeparator" w:id="0">
    <w:p w:rsidR="007B3343" w:rsidRDefault="007B3343" w:rsidP="006A3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524F3"/>
    <w:multiLevelType w:val="multilevel"/>
    <w:tmpl w:val="89BA2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51F98"/>
    <w:multiLevelType w:val="hybridMultilevel"/>
    <w:tmpl w:val="88E41DA4"/>
    <w:lvl w:ilvl="0" w:tplc="72687D5E">
      <w:start w:val="1"/>
      <w:numFmt w:val="bullet"/>
      <w:lvlText w:val="•"/>
      <w:lvlJc w:val="left"/>
      <w:pPr>
        <w:ind w:left="648" w:hanging="288"/>
      </w:pPr>
    </w:lvl>
    <w:lvl w:ilvl="1" w:tplc="1DCC5D04">
      <w:start w:val="1"/>
      <w:numFmt w:val="bullet"/>
      <w:lvlText w:val="◦"/>
      <w:lvlJc w:val="left"/>
      <w:pPr>
        <w:ind w:left="1080" w:hanging="288"/>
      </w:pPr>
    </w:lvl>
    <w:lvl w:ilvl="2" w:tplc="BB4CF072">
      <w:numFmt w:val="decimal"/>
      <w:lvlText w:val=""/>
      <w:lvlJc w:val="left"/>
    </w:lvl>
    <w:lvl w:ilvl="3" w:tplc="0D82A8AE">
      <w:numFmt w:val="decimal"/>
      <w:lvlText w:val=""/>
      <w:lvlJc w:val="left"/>
    </w:lvl>
    <w:lvl w:ilvl="4" w:tplc="BD888DF8">
      <w:numFmt w:val="decimal"/>
      <w:lvlText w:val=""/>
      <w:lvlJc w:val="left"/>
    </w:lvl>
    <w:lvl w:ilvl="5" w:tplc="E6888F56">
      <w:numFmt w:val="decimal"/>
      <w:lvlText w:val=""/>
      <w:lvlJc w:val="left"/>
    </w:lvl>
    <w:lvl w:ilvl="6" w:tplc="577CB9C8">
      <w:numFmt w:val="decimal"/>
      <w:lvlText w:val=""/>
      <w:lvlJc w:val="left"/>
    </w:lvl>
    <w:lvl w:ilvl="7" w:tplc="B8CACA04">
      <w:numFmt w:val="decimal"/>
      <w:lvlText w:val=""/>
      <w:lvlJc w:val="left"/>
    </w:lvl>
    <w:lvl w:ilvl="8" w:tplc="7B76BC30">
      <w:numFmt w:val="decimal"/>
      <w:lvlText w:val=""/>
      <w:lvlJc w:val="left"/>
    </w:lvl>
  </w:abstractNum>
  <w:abstractNum w:abstractNumId="2" w15:restartNumberingAfterBreak="0">
    <w:nsid w:val="126E4A5C"/>
    <w:multiLevelType w:val="multilevel"/>
    <w:tmpl w:val="F6E2FD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084499"/>
    <w:multiLevelType w:val="multilevel"/>
    <w:tmpl w:val="AEAA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E70FB"/>
    <w:multiLevelType w:val="hybridMultilevel"/>
    <w:tmpl w:val="155E3F6C"/>
    <w:lvl w:ilvl="0" w:tplc="6234E8A2">
      <w:start w:val="1"/>
      <w:numFmt w:val="bullet"/>
      <w:lvlText w:val="●"/>
      <w:lvlJc w:val="left"/>
      <w:pPr>
        <w:ind w:left="720" w:hanging="360"/>
      </w:pPr>
    </w:lvl>
    <w:lvl w:ilvl="1" w:tplc="48F65E20">
      <w:start w:val="1"/>
      <w:numFmt w:val="bullet"/>
      <w:lvlText w:val="○"/>
      <w:lvlJc w:val="left"/>
      <w:pPr>
        <w:ind w:left="1440" w:hanging="360"/>
      </w:pPr>
    </w:lvl>
    <w:lvl w:ilvl="2" w:tplc="7974C77A">
      <w:start w:val="1"/>
      <w:numFmt w:val="bullet"/>
      <w:lvlText w:val="■"/>
      <w:lvlJc w:val="left"/>
      <w:pPr>
        <w:ind w:left="2160" w:hanging="360"/>
      </w:pPr>
    </w:lvl>
    <w:lvl w:ilvl="3" w:tplc="0616F75C">
      <w:start w:val="1"/>
      <w:numFmt w:val="bullet"/>
      <w:lvlText w:val="●"/>
      <w:lvlJc w:val="left"/>
      <w:pPr>
        <w:ind w:left="2880" w:hanging="360"/>
      </w:pPr>
    </w:lvl>
    <w:lvl w:ilvl="4" w:tplc="2FFAE1C8">
      <w:start w:val="1"/>
      <w:numFmt w:val="bullet"/>
      <w:lvlText w:val="○"/>
      <w:lvlJc w:val="left"/>
      <w:pPr>
        <w:ind w:left="3600" w:hanging="360"/>
      </w:pPr>
    </w:lvl>
    <w:lvl w:ilvl="5" w:tplc="34D8B27C">
      <w:start w:val="1"/>
      <w:numFmt w:val="bullet"/>
      <w:lvlText w:val="■"/>
      <w:lvlJc w:val="left"/>
      <w:pPr>
        <w:ind w:left="4320" w:hanging="360"/>
      </w:pPr>
    </w:lvl>
    <w:lvl w:ilvl="6" w:tplc="E820A78C">
      <w:start w:val="1"/>
      <w:numFmt w:val="bullet"/>
      <w:lvlText w:val="●"/>
      <w:lvlJc w:val="left"/>
      <w:pPr>
        <w:ind w:left="5040" w:hanging="360"/>
      </w:pPr>
    </w:lvl>
    <w:lvl w:ilvl="7" w:tplc="5ADC2F18">
      <w:start w:val="1"/>
      <w:numFmt w:val="bullet"/>
      <w:lvlText w:val="●"/>
      <w:lvlJc w:val="left"/>
      <w:pPr>
        <w:ind w:left="5760" w:hanging="360"/>
      </w:pPr>
    </w:lvl>
    <w:lvl w:ilvl="8" w:tplc="1AC2D9E8">
      <w:start w:val="1"/>
      <w:numFmt w:val="bullet"/>
      <w:lvlText w:val="●"/>
      <w:lvlJc w:val="left"/>
      <w:pPr>
        <w:ind w:left="6480" w:hanging="360"/>
      </w:pPr>
    </w:lvl>
  </w:abstractNum>
  <w:abstractNum w:abstractNumId="5" w15:restartNumberingAfterBreak="0">
    <w:nsid w:val="338541C3"/>
    <w:multiLevelType w:val="multilevel"/>
    <w:tmpl w:val="431C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860B04"/>
    <w:multiLevelType w:val="multilevel"/>
    <w:tmpl w:val="923A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6614AD"/>
    <w:multiLevelType w:val="multilevel"/>
    <w:tmpl w:val="C5FE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num>
  <w:num w:numId="2">
    <w:abstractNumId w:val="1"/>
    <w:lvlOverride w:ilvl="0">
      <w:startOverride w:val="1"/>
    </w:lvlOverride>
  </w:num>
  <w:num w:numId="3">
    <w:abstractNumId w:val="0"/>
  </w:num>
  <w:num w:numId="4">
    <w:abstractNumId w:val="6"/>
  </w:num>
  <w:num w:numId="5">
    <w:abstractNumId w:val="3"/>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39"/>
    <w:rsid w:val="00574D39"/>
    <w:rsid w:val="006A329A"/>
    <w:rsid w:val="007B33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33BF1"/>
  <w15:docId w15:val="{643982E2-A551-499B-A9D5-7145C76B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微軟正黑體" w:eastAsia="微軟正黑體" w:hAnsi="微軟正黑體" w:cs="微軟正黑體"/>
        <w:sz w:val="22"/>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ac">
    <w:name w:val="header"/>
    <w:basedOn w:val="a"/>
    <w:link w:val="ad"/>
    <w:uiPriority w:val="99"/>
    <w:unhideWhenUsed/>
    <w:rsid w:val="006A329A"/>
    <w:pPr>
      <w:tabs>
        <w:tab w:val="center" w:pos="4153"/>
        <w:tab w:val="right" w:pos="8306"/>
      </w:tabs>
      <w:snapToGrid w:val="0"/>
    </w:pPr>
    <w:rPr>
      <w:sz w:val="20"/>
      <w:szCs w:val="20"/>
    </w:rPr>
  </w:style>
  <w:style w:type="character" w:customStyle="1" w:styleId="ad">
    <w:name w:val="頁首 字元"/>
    <w:basedOn w:val="a0"/>
    <w:link w:val="ac"/>
    <w:uiPriority w:val="99"/>
    <w:rsid w:val="006A329A"/>
    <w:rPr>
      <w:sz w:val="20"/>
      <w:szCs w:val="20"/>
    </w:rPr>
  </w:style>
  <w:style w:type="paragraph" w:styleId="ae">
    <w:name w:val="footer"/>
    <w:basedOn w:val="a"/>
    <w:link w:val="af"/>
    <w:uiPriority w:val="99"/>
    <w:unhideWhenUsed/>
    <w:rsid w:val="006A329A"/>
    <w:pPr>
      <w:tabs>
        <w:tab w:val="center" w:pos="4153"/>
        <w:tab w:val="right" w:pos="8306"/>
      </w:tabs>
      <w:snapToGrid w:val="0"/>
    </w:pPr>
    <w:rPr>
      <w:sz w:val="20"/>
      <w:szCs w:val="20"/>
    </w:rPr>
  </w:style>
  <w:style w:type="character" w:customStyle="1" w:styleId="af">
    <w:name w:val="頁尾 字元"/>
    <w:basedOn w:val="a0"/>
    <w:link w:val="ae"/>
    <w:uiPriority w:val="99"/>
    <w:rsid w:val="006A329A"/>
    <w:rPr>
      <w:sz w:val="20"/>
      <w:szCs w:val="20"/>
    </w:rPr>
  </w:style>
  <w:style w:type="character" w:styleId="af0">
    <w:name w:val="Strong"/>
    <w:basedOn w:val="a0"/>
    <w:uiPriority w:val="22"/>
    <w:qFormat/>
    <w:rsid w:val="006A329A"/>
    <w:rPr>
      <w:b/>
      <w:bCs/>
    </w:rPr>
  </w:style>
  <w:style w:type="character" w:customStyle="1" w:styleId="citation-53">
    <w:name w:val="citation-53"/>
    <w:basedOn w:val="a0"/>
    <w:rsid w:val="006A329A"/>
  </w:style>
  <w:style w:type="character" w:customStyle="1" w:styleId="citation-52">
    <w:name w:val="citation-52"/>
    <w:basedOn w:val="a0"/>
    <w:rsid w:val="006A329A"/>
  </w:style>
  <w:style w:type="character" w:customStyle="1" w:styleId="citation-51">
    <w:name w:val="citation-51"/>
    <w:basedOn w:val="a0"/>
    <w:rsid w:val="006A329A"/>
  </w:style>
  <w:style w:type="character" w:customStyle="1" w:styleId="citation-50">
    <w:name w:val="citation-50"/>
    <w:basedOn w:val="a0"/>
    <w:rsid w:val="006A329A"/>
  </w:style>
  <w:style w:type="character" w:customStyle="1" w:styleId="citation-49">
    <w:name w:val="citation-49"/>
    <w:basedOn w:val="a0"/>
    <w:rsid w:val="006A329A"/>
  </w:style>
  <w:style w:type="character" w:customStyle="1" w:styleId="citation-48">
    <w:name w:val="citation-48"/>
    <w:basedOn w:val="a0"/>
    <w:rsid w:val="006A329A"/>
  </w:style>
  <w:style w:type="character" w:customStyle="1" w:styleId="citation-47">
    <w:name w:val="citation-47"/>
    <w:basedOn w:val="a0"/>
    <w:rsid w:val="006A329A"/>
  </w:style>
  <w:style w:type="character" w:customStyle="1" w:styleId="citation-46">
    <w:name w:val="citation-46"/>
    <w:basedOn w:val="a0"/>
    <w:rsid w:val="006A329A"/>
  </w:style>
  <w:style w:type="character" w:customStyle="1" w:styleId="citation-45">
    <w:name w:val="citation-45"/>
    <w:basedOn w:val="a0"/>
    <w:rsid w:val="006A3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750451">
      <w:bodyDiv w:val="1"/>
      <w:marLeft w:val="0"/>
      <w:marRight w:val="0"/>
      <w:marTop w:val="0"/>
      <w:marBottom w:val="0"/>
      <w:divBdr>
        <w:top w:val="none" w:sz="0" w:space="0" w:color="auto"/>
        <w:left w:val="none" w:sz="0" w:space="0" w:color="auto"/>
        <w:bottom w:val="none" w:sz="0" w:space="0" w:color="auto"/>
        <w:right w:val="none" w:sz="0" w:space="0" w:color="auto"/>
      </w:divBdr>
    </w:div>
    <w:div w:id="1607688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T0DNjETukq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2650</Words>
  <Characters>15108</Characters>
  <Application>Microsoft Office Word</Application>
  <DocSecurity>0</DocSecurity>
  <Lines>125</Lines>
  <Paragraphs>35</Paragraphs>
  <ScaleCrop>false</ScaleCrop>
  <Company/>
  <LinksUpToDate>false</LinksUpToDate>
  <CharactersWithSpaces>17723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2026-09-03T07:46:00Z</dcterms:created>
  <dcterms:modified xsi:type="dcterms:W3CDTF">2026-09-04T07:36:00Z</dcterms:modified>
</cp:coreProperties>
</file>