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20"/>
        <w:jc w:val="center"/>
      </w:pPr>
      <w:r>
        <w:rPr>
          <w:rFonts w:ascii="Calibri" w:hAnsi="Calibri" w:eastAsia="Noto Sans CJK TC"/>
          <w:b/>
          <w:color w:val="0B2545"/>
          <w:sz w:val="42"/>
        </w:rPr>
        <w:t>AI治理公共行政課程教師操作手冊</w:t>
      </w:r>
    </w:p>
    <w:p>
      <w:pPr>
        <w:jc w:val="center"/>
      </w:pPr>
      <w:r>
        <w:rPr>
          <w:rFonts w:ascii="Calibri" w:hAnsi="Calibri" w:eastAsia="Noto Sans CJK TC"/>
          <w:color w:val="555555"/>
          <w:sz w:val="22"/>
        </w:rPr>
        <w:t>與〈翻轉工具論：AI治理下的大學公共行政課程規劃〉搭配使用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本手冊不是另一篇理論論文。它為需要在課程委員會提出AI相關課程、模組或工作坊的教師，提供可直接調整的起步方案、作業格式與提案檢核。教師不必一次採用完整架構；先選一個符合本系條件的方案即可。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一、先作選擇：本系今年可以做哪一種？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151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方案</w:t>
            </w:r>
          </w:p>
        </w:tc>
        <w:tc>
          <w:tcPr>
            <w:tcW w:type="dxa" w:w="252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何時選它</w:t>
            </w:r>
          </w:p>
        </w:tc>
        <w:tc>
          <w:tcPr>
            <w:tcW w:type="dxa" w:w="194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最小規模</w:t>
            </w:r>
          </w:p>
        </w:tc>
        <w:tc>
          <w:tcPr>
            <w:tcW w:type="dxa" w:w="32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首學期成果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A. 既有課程模組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沒有新增學分空間，但已有行政學、公共政策、數位政府或公務倫理課。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3–4週；一位原授課教師。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一個政府AI案例；每位學生交一頁P1–P3判斷備忘錄。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B. 學士班選修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有3學分空間，學生需要非技術取向的AI課。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3學分；公共行政教師主授。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三組個案報告；各組提出一項可追蹤的制度修正。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C. 跨域共授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可由公共行政、資訊或法律教師合作。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3學分；至少兩位教師分工。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同一案例的行政、技術與法制三種證據。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D. 碩士研討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已有專題研討或政策分析課。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2–3學分；公開文件個案。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完整稽核卷宗，含NA與反證說明。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E. 在職短課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面向主管、文官或跨機關訓練。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12–18小時；跨專業帶領。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一頁式導入、覆核、例外處理與停止條件。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二、最低可行課程：一個案例、三個問題、一項作業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若系所只願意先試辦，請從A方案開始。選一個公開政府AI情境，例如生成式AI協助草擬涉及人民權利義務的文書。學生只需回答三題：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這個系統或工具如何決定哪些資料、分類或情境被看見？（P1）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誰仍在作判斷？系統的排序、建議或草稿如何影響其取捨？（P2）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最後結果是否已直接或近似直接影響人民的權利義務？若無法證實，請標示NA。（P3）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作業長度以一頁為原則。學生必須附一項證據，例如規範條文、公開流程圖、文書版本或機關公告；不能以「AI可能有風險」取代證據。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三、課程委員會一頁式提案檢核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32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委員會會問什麼</w:t>
            </w:r>
          </w:p>
        </w:tc>
        <w:tc>
          <w:tcPr>
            <w:tcW w:type="dxa" w:w="597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提案教師應先備妥什麼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本課補足何種既有缺口？</w:t>
            </w:r>
          </w:p>
        </w:tc>
        <w:tc>
          <w:tcPr>
            <w:tcW w:type="dxa" w:w="59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指出與行政學、公共政策、資訊管理或公務倫理課的具體差別。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學生修畢後能完成什麼？</w:t>
            </w:r>
          </w:p>
        </w:tc>
        <w:tc>
          <w:tcPr>
            <w:tcW w:type="dxa" w:w="59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一項可保存成果：P1–P3備忘錄、四鏈圖或稽核報告。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誰負責教學？</w:t>
            </w:r>
          </w:p>
        </w:tc>
        <w:tc>
          <w:tcPr>
            <w:tcW w:type="dxa" w:w="59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授課教師、協同教師或受邀實務者的週次與責任。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案例與資料從何而來？</w:t>
            </w:r>
          </w:p>
        </w:tc>
        <w:tc>
          <w:tcPr>
            <w:tcW w:type="dxa" w:w="59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公開規範、公開案例或去識別化流程；不可取得者標示NA。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發生資料或學習爭議時如何處理？</w:t>
            </w:r>
          </w:p>
        </w:tc>
        <w:tc>
          <w:tcPr>
            <w:tcW w:type="dxa" w:w="597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資料保護、學術誠信、例外處理與停止使用的安排。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四、12週選修課範例（可改為4週模組）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c>
          <w:tcPr>
            <w:tcW w:type="dxa" w:w="151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週次</w:t>
            </w:r>
          </w:p>
        </w:tc>
        <w:tc>
          <w:tcPr>
            <w:tcW w:type="dxa" w:w="338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主題</w:t>
            </w:r>
          </w:p>
        </w:tc>
        <w:tc>
          <w:tcPr>
            <w:tcW w:type="dxa" w:w="424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學生產出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1–2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AI不是單純工具：行政事實、裁量與責任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一頁案例事實表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3–4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25治理座標與P1：資料、分類、門檻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座標定位圖＋P1證據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5–6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P2與P3：裁量、覆核與形式化核章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P2／P3判斷備忘錄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7–8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四條治理鏈：情境、權威、理由、責任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四鏈流程圖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9–10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七項治理稽核與制度修正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稽核表＋修正建議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11–12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個案發表、反例與停止條件</w:t>
            </w:r>
          </w:p>
        </w:tc>
        <w:tc>
          <w:tcPr>
            <w:tcW w:type="dxa" w:w="42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完整個案報告與同儕評議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五、教師提醒：不要把「有人覆核」當作答案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人工覆核有其必要，但簽名不等於獨立判斷。教師應追問：覆核者能否理解輸入與理由？是否有時間與權限推翻輸出？是否留下修訂紀錄？若不能回答，覆核很可能只是形式化核章。這就是本課所要讓學生看見的制度落差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六、何時停止、何時再擴充？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第一年結束後，教師只需檢視三件事：學生是否能區分P1、P2與P3；是否能以證據標示NA；是否能提出一項具責任主體與停止條件的修正。三項皆未達成，先修正案例與鷹架，不急著增加技術內容。三項大致達成，再考慮跨域共授、碩士研討或在職訓練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本手冊的任務是降低第一步的門檻；它不取代文章中的理論判斷，也不要求系所一次完成全部改革。</w:t>
      </w:r>
    </w:p>
    <w:sectPr w:rsidR="00FC693F" w:rsidRPr="0006063C" w:rsidSect="00034616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Noto Sans CJK T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Noto Sans CJK TC"/>
      <w:b/>
      <w:bCs/>
      <w:color w:val="1F4D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Noto Sans CJK TC"/>
      <w:b/>
      <w:bCs/>
      <w:color w:val="1F4D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Noto Sans CJK TC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