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1600"/>
      </w:pPr>
      <w:r>
        <w:rPr>
          <w:b/>
          <w:bCs/>
          <w:sz w:val="36"/>
          <w:szCs w:val="36"/>
        </w:rPr>
        <w:t xml:space="preserve">037　從私人平台到準公共基礎設施：</w:t>
      </w:r>
    </w:p>
    <w:p>
      <w:pPr>
        <w:spacing w:after="200"/>
      </w:pPr>
      <w:r>
        <w:rPr>
          <w:b/>
          <w:bCs/>
          <w:sz w:val="36"/>
          <w:szCs w:val="36"/>
        </w:rPr>
        <w:t xml:space="preserve">數位平台國家化治理的制度邊界</w:t>
      </w:r>
    </w:p>
    <w:p>
      <w:pPr>
        <w:spacing w:after="400"/>
      </w:pPr>
      <w:r>
        <w:rPr>
          <w:i/>
          <w:iCs/>
          <w:color w:val="595959"/>
          <w:sz w:val="22"/>
          <w:szCs w:val="22"/>
        </w:rPr>
        <w:t xml:space="preserve">From Private Platforms to Quasi-Public Infrastructure: Institutional Boundaries of State Governance of Digital Platforms</w:t>
      </w:r>
    </w:p>
    <w:p>
      <w:pPr>
        <w:spacing w:after="120"/>
      </w:pPr>
      <w:r>
        <w:rPr>
          <w:color w:val="595959"/>
          <w:sz w:val="22"/>
          <w:szCs w:val="22"/>
        </w:rPr>
        <w:t xml:space="preserve">工作論文｜全章合併完整草稿｜承接 036〈資訊社會中公共行政的新議題：三十年後的重訪〉，並為 038 預留理論接口</w:t>
      </w:r>
    </w:p>
    <w:p>
      <w:pPr>
        <w:spacing w:after="600"/>
      </w:pPr>
      <w:r>
        <w:rPr>
          <w:color w:val="595959"/>
          <w:sz w:val="22"/>
          <w:szCs w:val="22"/>
        </w:rPr>
        <w:t xml:space="preserve">整理日期：2026 年 8 月 28 日</w:t>
      </w:r>
    </w:p>
    <w:p>
      <w:pPr>
        <w:pBdr>
          <w:left w:val="single" w:color="BFBFBF" w:sz="12" w:space="8"/>
        </w:pBdr>
        <w:spacing w:after="200" w:line="276"/>
        <w:ind w:left="200"/>
      </w:pPr>
      <w:r>
        <w:rPr>
          <w:i/>
          <w:iCs/>
          <w:color w:val="595959"/>
          <w:sz w:val="20"/>
          <w:szCs w:val="20"/>
        </w:rPr>
        <w:t xml:space="preserve">工作論文，事實截至 2026 年 8 月 28 日。本篇由「037_outline_v18」大綱稿整併而成：移除大綱寫作過程中的版本鎖定備註（如「【v18 鎖定】」），將其中屬於實質論證內容者併入正文（詳見陸章「三、公共服務的平台依賴」之 LINE／NCDR 個案說明），純屬進度紀錄者則不再保留；並修正原稿中一處標題重複的編排問題（原「捌、結論」標題誤植於柒章「備援、替代與退場」小節中間，已移除，僅保留柒章末段內容，捌章結論仍完整置於柒章之後）。全文論證、判準、個案分析與參考文獻均直接承接原大綱，未新增未經原稿支持的實質主張。</w:t>
      </w:r>
    </w:p>
    <w:p>
      <w:pPr>
        <w:pBdr>
          <w:left w:val="single" w:color="BFBFBF" w:sz="12" w:space="8"/>
        </w:pBdr>
        <w:spacing w:after="200" w:line="276"/>
        <w:ind w:left="200"/>
      </w:pPr>
      <w:r>
        <w:rPr>
          <w:i/>
          <w:iCs/>
          <w:color w:val="595959"/>
          <w:sz w:val="20"/>
          <w:szCs w:val="20"/>
        </w:rPr>
        <w:t xml:space="preserve">英文標題中的 State Governance，在本文僅指公共規制與能力建構（public regulation and capacity-building），不是 state ownership 或對平台日常營運的直接控制。中文「平台國家化治理」亦同此限縮。</w:t>
      </w:r>
    </w:p>
    <w:p>
      <w:pPr>
        <w:spacing w:after="140" w:before="280"/>
      </w:pPr>
      <w:r>
        <w:rPr>
          <w:b/>
          <w:bCs/>
          <w:color w:val="1F4E79"/>
          <w:sz w:val="24"/>
          <w:szCs w:val="24"/>
        </w:rPr>
        <w:t xml:space="preserve">中文摘要</w:t>
      </w:r>
    </w:p>
    <w:p>
      <w:pPr>
        <w:spacing w:after="160" w:line="320"/>
        <w:ind w:firstLine="431"/>
      </w:pPr>
      <w:r>
        <w:t xml:space="preserve">本文為銜接 036〈資訊社會中公共行政的新議題：三十年後的重訪〉之工作論文，將分析焦點由資訊社會總論縮小至外部市場平台，探討當 Google、Meta、LINE 等私人數位平台因市場集中、網絡效應、公共依賴與資訊控制能力，逐漸承擔原屬公共機構之功能時，規制型國家應如何重構制度邊界。本文提出「準公共基礎設施」作為分析概念，以市場集中、公共依賴、功能不可替代性、資訊與規則控制、跨境性及公共價值影響六項座標，建立可操作化的分級判定規則，並以課責鏈、負責鏈、透明鏈、公正鏈「四條治理鏈」作為診斷國家治理能力的分析工具。研究採規範性制度分析、制度比較與過程追蹤之混合設計，比較歐盟事前規範、美國憲法界線與事後執法、臺灣碎片化與依賴並存三種規制型國家回應模式，並以臺灣《數位中介服務法》草案興衰及 2026 年國家通訊傳播委員會零委員狀態為核心個案，說明制度設計合理與政治過程落實之間的落差。研究發現，平台治理困境不僅源於法律授權不足，更在於監理機關自身之組織能力與制度韌性，須區分「行政續航能力」與「合議決策能力」。本文主張「平台國家化治理」不等於平台國有化：國家毋須取得平台所有權或一般內容決定權，但應依分級規則保留理解、監督、介入、替代與退場五項核心能力，並為後續研究（038）探討能源、資料中心、海底電纜等物質性運算基礎設施預留理論接口。</w:t>
      </w:r>
    </w:p>
    <w:p>
      <w:pPr>
        <w:spacing w:after="160" w:line="320"/>
      </w:pPr>
      <w:r>
        <w:rPr>
          <w:b/>
          <w:bCs/>
        </w:rPr>
        <w:t xml:space="preserve">關鍵詞：</w:t>
      </w:r>
      <w:r>
        <w:t xml:space="preserve">準公共基礎設施、平台國家化治理、治理鏈、規制型國家、數位中介服務法、平台課責</w:t>
      </w:r>
    </w:p>
    <w:p>
      <w:pPr>
        <w:spacing w:after="140" w:before="280"/>
      </w:pPr>
      <w:r>
        <w:rPr>
          <w:b/>
          <w:bCs/>
          <w:color w:val="1F4E79"/>
          <w:sz w:val="24"/>
          <w:szCs w:val="24"/>
        </w:rPr>
        <w:t xml:space="preserve">Abstract</w:t>
      </w:r>
    </w:p>
    <w:p>
      <w:pPr>
        <w:spacing w:after="160" w:line="320"/>
      </w:pPr>
      <w:r>
        <w:t xml:space="preserve">This working paper continues 036 (“New Issues in Public Administration in the Information Society: A Thirty-Year Revisit”), narrowing the analytic focus from the information society in general to external market platforms. It examines how, as private digital platforms such as Google, Meta, and LINE gradually assume functions once carried by public institutions—owing to market concentration, network effects, public dependence, and control over information—the regulatory state should reconstruct its institutional boundaries. The paper proposes “quasi-public infrastructure” as an analytical concept, operationalized through six coordinates—market concentration, public dependence, functional irreplaceability, control over information and rules, cross-border reach, and public-value impact—that together form a tiered classification rule, and develops “four governance chains” (accountability, responsibility, transparency, and fairness) as diagnostic tools for assessing state governance capacity. Using a mixed design of normative institutional analysis, comparative institutional analysis, and process-tracing, the paper compares three regulatory-state responses—the European Union’s ex ante regulation, the United States’ constitutional boundaries and ex post enforcement, and Taiwan’s fragmented institutions coupled with pre-existing public dependence—centering on the rise and withdrawal of Taiwan’s draft Digital Intermediary Services Act and the 2026 vacancy crisis at the National Communications Commission (NCC). The findings show that platform governance difficulties stem not only from insufficient legal authorization but also from the regulator’s own organizational capacity and institutional resilience, requiring a distinction between administrative continuity and collegial decision-making capacity. The paper argues that “state governance of platforms” is not “platform nationalization”: rather than acquiring ownership or general content-decision authority, the state should retain five core capacities—understanding, monitoring, intervention, substitution, and exit—calibrated through the tiered classification rule, laying theoretical groundwork for a forthcoming paper (038) on the material computing infrastructure, such as energy, data centers, and submarine cables, that underlies these platforms.</w:t>
      </w:r>
    </w:p>
    <w:p>
      <w:pPr>
        <w:spacing w:after="160" w:line="320"/>
      </w:pPr>
      <w:r>
        <w:rPr>
          <w:b/>
          <w:bCs/>
        </w:rPr>
        <w:t xml:space="preserve">Keywords: </w:t>
      </w:r>
      <w:r>
        <w:t xml:space="preserve">Quasi-Public Infrastructure; State Governance of Platforms; Governance Chains; Regulatory State; Digital Intermediary Services Act; Platform Accountability</w:t>
      </w:r>
    </w:p>
    <w:p>
      <w:pPr>
        <w:spacing w:after="140" w:before="280"/>
      </w:pPr>
      <w:r>
        <w:rPr>
          <w:b/>
          <w:bCs/>
          <w:color w:val="1F4E79"/>
          <w:sz w:val="24"/>
          <w:szCs w:val="24"/>
        </w:rPr>
        <w:t xml:space="preserve">研究定位</w:t>
      </w:r>
    </w:p>
    <w:p>
      <w:pPr>
        <w:spacing w:after="160" w:line="320"/>
        <w:ind w:firstLine="431"/>
      </w:pPr>
      <w:r>
        <w:t xml:space="preserve">本文承接 036〈資訊社會中公共行政的新議題：三十年後的重訪〉所提出的「平台集中」「規制型國家」與「準公共基礎設施」問題，但將分析焦點由資訊社會總論進一步縮小至外部市場平台。</w:t>
      </w:r>
    </w:p>
    <w:p>
      <w:pPr>
        <w:spacing w:after="160" w:line="320"/>
        <w:ind w:firstLine="431"/>
      </w:pPr>
      <w:r>
        <w:t xml:space="preserve">本文不探討政府內部的 AI 輔助行政決策、行政裁量、人工覆核或公務員責任分工，也不處理一般性的社群媒體假訊息治理。研究核心在於分析：當 Google、Meta、LINE 等私人數位平台，因市場集中、網絡效應、公共依賴、功能不可替代性及資訊控制能力，逐漸承擔原本由公共機構或公共基礎設施承擔的功能時，國家是否仍能保有有效的理解、監督、介入、替代與退場能力。</w:t>
      </w:r>
    </w:p>
    <w:p>
      <w:pPr>
        <w:spacing w:after="160" w:line="320"/>
        <w:ind w:firstLine="431"/>
      </w:pPr>
      <w:r>
        <w:t xml:space="preserve">因此，本文的核心問題不是平台是否屬於國有，而是：當私人平台產生廣泛公共效果時，規制型國家如何重構制度邊界，使平台承擔相應公共責任，同時保留國家的最終治理能力？</w:t>
      </w:r>
    </w:p>
    <w:p>
      <w:pPr>
        <w:spacing w:after="160" w:line="320"/>
        <w:ind w:firstLine="431"/>
      </w:pPr>
      <w:r>
        <w:t xml:space="preserve">原研究大綱將本文定位為「市場平台」與「國家治理」的交界研究，並為 038 所處理的能源、土地、水資源、資料中心及其他物質性運算基礎設施預留理論接口。</w:t>
      </w:r>
    </w:p>
    <w:p>
      <w:pPr>
        <w:spacing w:after="140" w:before="280"/>
      </w:pPr>
      <w:r>
        <w:rPr>
          <w:b/>
          <w:bCs/>
          <w:color w:val="1F4E79"/>
          <w:sz w:val="24"/>
          <w:szCs w:val="24"/>
        </w:rPr>
        <w:t xml:space="preserve">目錄</w:t>
      </w:r>
    </w:p>
    <w:p>
      <w:pPr>
        <w:spacing w:after="100"/>
      </w:pPr>
      <w:r>
        <w:rPr>
          <w:sz w:val="22"/>
          <w:szCs w:val="22"/>
        </w:rPr>
        <w:t xml:space="preserve">壹、緒論</w:t>
      </w:r>
    </w:p>
    <w:p>
      <w:pPr>
        <w:spacing w:after="100"/>
      </w:pPr>
      <w:r>
        <w:rPr>
          <w:sz w:val="22"/>
          <w:szCs w:val="22"/>
        </w:rPr>
        <w:t xml:space="preserve">貳、文獻回顧與理論框架</w:t>
      </w:r>
    </w:p>
    <w:p>
      <w:pPr>
        <w:spacing w:after="100"/>
      </w:pPr>
      <w:r>
        <w:rPr>
          <w:sz w:val="22"/>
          <w:szCs w:val="22"/>
        </w:rPr>
        <w:t xml:space="preserve">參、準公共基礎設施的概念操作化（判定規則）</w:t>
      </w:r>
    </w:p>
    <w:p>
      <w:pPr>
        <w:spacing w:after="100"/>
      </w:pPr>
      <w:r>
        <w:rPr>
          <w:sz w:val="22"/>
          <w:szCs w:val="22"/>
        </w:rPr>
        <w:t xml:space="preserve">肆、平台公共化與國家能力落差</w:t>
      </w:r>
    </w:p>
    <w:p>
      <w:pPr>
        <w:spacing w:after="100"/>
      </w:pPr>
      <w:r>
        <w:rPr>
          <w:sz w:val="22"/>
          <w:szCs w:val="22"/>
        </w:rPr>
        <w:t xml:space="preserve">伍、歐盟、美國與臺灣的制度比較</w:t>
      </w:r>
    </w:p>
    <w:p>
      <w:pPr>
        <w:spacing w:after="100"/>
      </w:pPr>
      <w:r>
        <w:rPr>
          <w:sz w:val="22"/>
          <w:szCs w:val="22"/>
        </w:rPr>
        <w:t xml:space="preserve">陸、臺灣個案研究</w:t>
      </w:r>
    </w:p>
    <w:p>
      <w:pPr>
        <w:spacing w:after="100"/>
      </w:pPr>
      <w:r>
        <w:rPr>
          <w:sz w:val="22"/>
          <w:szCs w:val="22"/>
        </w:rPr>
        <w:t xml:space="preserve">柒、制度設計</w:t>
      </w:r>
    </w:p>
    <w:p>
      <w:pPr>
        <w:spacing w:after="100"/>
      </w:pPr>
      <w:r>
        <w:rPr>
          <w:sz w:val="22"/>
          <w:szCs w:val="22"/>
        </w:rPr>
        <w:t xml:space="preserve">捌、結論</w:t>
      </w:r>
    </w:p>
    <w:p>
      <w:pPr>
        <w:spacing w:after="100"/>
      </w:pPr>
      <w:r>
        <w:rPr>
          <w:sz w:val="22"/>
          <w:szCs w:val="22"/>
        </w:rPr>
        <w:t xml:space="preserve">玖、參考文獻</w:t>
      </w:r>
    </w:p>
    <w:p>
      <w:pPr>
        <w:pStyle w:val="Heading1"/>
        <w:pageBreakBefore/>
        <w:spacing w:after="200" w:before="420"/>
      </w:pPr>
      <w:r>
        <w:t xml:space="preserve">壹、緒論</w:t>
      </w:r>
    </w:p>
    <w:p>
      <w:pPr>
        <w:spacing w:after="140" w:before="280"/>
      </w:pPr>
      <w:r>
        <w:rPr>
          <w:b/>
          <w:bCs/>
          <w:color w:val="1F4E79"/>
          <w:sz w:val="24"/>
          <w:szCs w:val="24"/>
        </w:rPr>
        <w:t xml:space="preserve">一、問題背景與研究動機</w:t>
      </w:r>
    </w:p>
    <w:p>
      <w:pPr>
        <w:spacing w:after="160" w:line="320"/>
        <w:ind w:firstLine="431"/>
      </w:pPr>
      <w:r>
        <w:t xml:space="preserve">在數位轉型與資訊社會的深度演進下，大型私人數位平台已不再只是市場上的商業服務提供者。透過網絡效應、資料累積、使用者鎖定及演算法控制，平台逐漸成為社會通訊、新聞資訊傳播、數位身分驗證、交易活動，甚至政府緊急災害通報與公共政策宣導的重要中介。</w:t>
      </w:r>
    </w:p>
    <w:p>
      <w:pPr>
        <w:spacing w:after="160" w:line="320"/>
        <w:ind w:firstLine="431"/>
      </w:pPr>
      <w:r>
        <w:t xml:space="preserve">當平台的營運決策、服務條款、演算法排序或帳號處置，能直接影響公民的言論自由、資訊取得、公共參與及服務連續性時，私人權力便產生了顯著的公共效果。此一情形形成私人所有權與公共功能之間的結構性落差：平台由私人企業所有；平台規則主要透過私人契約形成；平台決策卻可能影響大規模公共生活；國家公共服務又可能反過來依賴這些私人平台。因此，傳統以「市場失靈」為中心的管制思維，可能不足以處理平台已經成為治理節點的情況。國家面對的不是單一企業違法問題，而是公共資訊、公共服務與基本權利逐漸依賴私人治理系統的制度風險。</w:t>
      </w:r>
    </w:p>
    <w:p>
      <w:pPr>
        <w:spacing w:after="140" w:before="280"/>
      </w:pPr>
      <w:r>
        <w:rPr>
          <w:b/>
          <w:bCs/>
          <w:color w:val="1F4E79"/>
          <w:sz w:val="24"/>
          <w:szCs w:val="24"/>
        </w:rPr>
        <w:t xml:space="preserve">二、核心概念與研究命題</w:t>
      </w:r>
    </w:p>
    <w:p>
      <w:pPr>
        <w:spacing w:after="160" w:line="320"/>
        <w:ind w:firstLine="431"/>
      </w:pPr>
      <w:r>
        <w:t xml:space="preserve">本文提出「準公共基礎設施」作為分析概念：私人數位平台若在市場集中、公共依賴、功能不可替代性、資訊與規則控制、跨境性及公共價值影響等六項座標上達到一定組合程度（判定規則詳見參章六步流程），其所有權雖仍為私人所有，實際承擔的功能卻已逼近傳統公共基礎設施。本文並提出「四條治理鏈」——課責鏈、負責鏈、透明鏈、公正鏈（詳見貳章）——作為診斷國家能否有效治理此類平台的分析工具。在此基礎上，本文提出三項核心命題，作為全文論證與後續實證比較的引導。</w:t>
      </w:r>
    </w:p>
    <w:p>
      <w:pPr>
        <w:pBdr>
          <w:left w:val="single" w:color="BFBFBF" w:sz="12" w:space="8"/>
        </w:pBdr>
        <w:spacing w:after="200" w:line="276"/>
        <w:ind w:left="200"/>
      </w:pPr>
      <w:r>
        <w:rPr>
          <w:i/>
          <w:iCs/>
          <w:color w:val="595959"/>
          <w:sz w:val="20"/>
          <w:szCs w:val="20"/>
        </w:rPr>
        <w:t xml:space="preserve">需特別說明的是，本文所稱「國家化」，僅指國家將平台的公共效果重新納入監理與能力建構的範圍，包括理解、監督、要求說明、建立備援及必要時介入等能力；並不表示國家將取得平台所有權、內容決定權或一般營運權。「平台國家化治理」一詞中的「國家化」，指涉的是治理責任的重新配置，而非財產權或經營權的移轉。「四條治理鏈」在方法論上定位為四個制度分析維度，而非四個同質性的因果鏈：「鏈」僅取其分析隱喻上的一致性與可讀性。四者理論層次並不相同——課責鏈處理事後制度關係與後果，負責鏈處理事前責任配置，透明鏈處理資訊條件，公正鏈處理程序正義與權利保障（詳見貳章）。</w:t>
      </w:r>
    </w:p>
    <w:p>
      <w:pPr>
        <w:spacing w:after="160" w:line="320"/>
        <w:ind w:firstLine="431"/>
      </w:pPr>
      <w:r>
        <w:t xml:space="preserve">若將全文核心主張收斂為一句話：當私人平台承擔高度公共依賴功能時，國家應以分級方式建立責任配置、透明、程序公正與備援能力，而不應僅以市場支配或使用者數量作為規制依據。以下三項命題，即是此一核心主張在公共功能判定、國家能力與制度韌性三個層次的具體展開；競爭法、內容治理、跨境管轄、監理機關組織能力等議題，均作為支持此一核心主張的分析材料，而非同等地位的獨立命題。</w:t>
      </w:r>
    </w:p>
    <w:p>
      <w:pPr>
        <w:spacing w:after="160" w:line="320"/>
        <w:ind w:firstLine="431"/>
      </w:pPr>
      <w:r>
        <w:rPr>
          <w:b/>
          <w:bCs/>
        </w:rPr>
        <w:t xml:space="preserve">命題一（公共功能命題）：平台是否具有準公共性，不應由所有權或平台整體規模單獨決定，而應依其特定公共功能（如資訊發布、身分驗證、災防通報）所造成的公共依賴、不可替代性與公共價值影響，並綜合市場集中、規則控制及跨境性判斷（詳見參章）。</w:t>
      </w:r>
    </w:p>
    <w:p>
      <w:pPr>
        <w:spacing w:after="160" w:line="320"/>
        <w:ind w:firstLine="431"/>
      </w:pPr>
      <w:r>
        <w:rPr>
          <w:b/>
          <w:bCs/>
        </w:rPr>
        <w:t xml:space="preserve">命題二（國家能力命題）：平台治理的主要困難不只是法律授權不足，而是國家在資訊取得、技術理解、跨境執法、跨機關協調及公共服務替代方面存在能力落差（詳見肆章）。</w:t>
      </w:r>
    </w:p>
    <w:p>
      <w:pPr>
        <w:spacing w:after="160" w:line="320"/>
        <w:ind w:firstLine="431"/>
      </w:pPr>
      <w:r>
        <w:rPr>
          <w:b/>
          <w:bCs/>
        </w:rPr>
        <w:t xml:space="preserve">命題三（制度韌性命題）：準公共平台治理的有效性，取決於責任配置、課責、透明、程序公正與備援退場是否形成相互支撐的制度組合；單獨強化其中一項，可能無法避免公共依賴與國家能力之間的結構性失衡（詳見柒章的制度設計與陸章的個案驗證）。</w:t>
      </w:r>
    </w:p>
    <w:p>
      <w:pPr>
        <w:spacing w:after="160" w:line="320"/>
        <w:ind w:firstLine="431"/>
      </w:pPr>
      <w:r>
        <w:t xml:space="preserve">監理機關自身的人事與預算韌性，是課責鏈能夠作為「論壇」運作的前提：對平台的法定義務即使存在，也可能在國家端因合議決策能力中斷而先告斷裂。以下各章即依此三項命題，依序開展文獻回顧、概念操作化、國家能力落差分析、跨國比較、臺灣個案研究，最終回到制度設計的具體建議。</w:t>
      </w:r>
    </w:p>
    <w:p>
      <w:pPr>
        <w:spacing w:after="140" w:before="280"/>
      </w:pPr>
      <w:r>
        <w:rPr>
          <w:b/>
          <w:bCs/>
          <w:color w:val="1F4E79"/>
          <w:sz w:val="24"/>
          <w:szCs w:val="24"/>
        </w:rPr>
        <w:t xml:space="preserve">三、研究問題</w:t>
      </w:r>
    </w:p>
    <w:p>
      <w:pPr>
        <w:spacing w:after="160" w:line="320"/>
        <w:ind w:firstLine="431"/>
      </w:pPr>
      <w:r>
        <w:t xml:space="preserve">本文提出七項主要研究問題（RQ1–RQ7），並進一步轉化為五組操作化子問題（SQ1–SQ5）。RQ1–RQ2 處理準公共性判定與操作化；RQ3 處理治理權力配置；RQ4 處理國家能力落差；RQ5 處理制度邊界；RQ6 處理監理機關制度韌性；RQ7 則透過歐盟、美國與臺灣的制度比較，歸納制度邊界原則及其脈絡條件。SQ1–SQ5 是把對應 RQ 轉成研究設計工具的操作化子問題，不是新增的主要研究問題，全文不以 8–12 作為研究問題編號。</w:t>
      </w:r>
    </w:p>
    <w:p>
      <w:pPr>
        <w:pStyle w:val="ListParagraph"/>
        <w:numPr>
          <w:ilvl w:val="0"/>
          <w:numId w:val="2"/>
        </w:numPr>
        <w:spacing w:after="100" w:line="276"/>
      </w:pPr>
      <w:r>
        <w:t xml:space="preserve">RQ1：私人數位平台在何種條件下，會由一般市場服務提供者轉變為具有準公共基礎設施性質的治理對象？</w:t>
      </w:r>
    </w:p>
    <w:p>
      <w:pPr>
        <w:pStyle w:val="ListParagraph"/>
        <w:numPr>
          <w:ilvl w:val="0"/>
          <w:numId w:val="2"/>
        </w:numPr>
        <w:spacing w:after="100" w:line="276"/>
      </w:pPr>
      <w:r>
        <w:t xml:space="preserve">RQ2：「準公共基礎設施」應如何操作化，其判定是否應包括市場集中、公共依賴、功能不可替代性、資訊與規則控制、跨境性及公共價值影響等面向？</w:t>
      </w:r>
    </w:p>
    <w:p>
      <w:pPr>
        <w:pStyle w:val="ListParagraph"/>
        <w:numPr>
          <w:ilvl w:val="0"/>
          <w:numId w:val="2"/>
        </w:numPr>
        <w:spacing w:after="100" w:line="276"/>
      </w:pPr>
      <w:r>
        <w:t xml:space="preserve">RQ3：當平台掌握公共資訊、交易、通訊或服務分配的重要節點時，國家治理權力應如何重新配置？</w:t>
      </w:r>
    </w:p>
    <w:p>
      <w:pPr>
        <w:pStyle w:val="ListParagraph"/>
        <w:numPr>
          <w:ilvl w:val="0"/>
          <w:numId w:val="2"/>
        </w:numPr>
        <w:spacing w:after="100" w:line="276"/>
      </w:pPr>
      <w:r>
        <w:t xml:space="preserve">RQ4：平台的跨境性、技術黑箱與資訊不對稱，如何造成傳統規制型國家的能力落差？</w:t>
      </w:r>
    </w:p>
    <w:p>
      <w:pPr>
        <w:pStyle w:val="ListParagraph"/>
        <w:numPr>
          <w:ilvl w:val="0"/>
          <w:numId w:val="2"/>
        </w:numPr>
        <w:spacing w:after="100" w:line="276"/>
      </w:pPr>
      <w:r>
        <w:t xml:space="preserve">RQ5：國家應如何在競爭政策、平台規制、公共服務、資料治理與公共價值之間建立制度邊界？</w:t>
      </w:r>
    </w:p>
    <w:p>
      <w:pPr>
        <w:pStyle w:val="ListParagraph"/>
        <w:numPr>
          <w:ilvl w:val="0"/>
          <w:numId w:val="2"/>
        </w:numPr>
        <w:spacing w:after="100" w:line="276"/>
      </w:pPr>
      <w:r>
        <w:t xml:space="preserve">RQ6（制度韌性問題）：監理機關自身的組織能力與制度韌性，如何影響準公共平台治理的持續性？當合議制獨立機關因人事同意權空窗而無法召開委員會議（如 2026 年 8 月起 NCC 零委員狀態）時，行政院雖得指派機關代表人維持部分行政發文，依法須委員會議決的裁罰、許可與政策分類仍停擺。國家「保留最終治理能力」的主張，應如何區分行政續航能力與合議決策能力，並據以修正或補充？</w:t>
      </w:r>
    </w:p>
    <w:p>
      <w:pPr>
        <w:pStyle w:val="ListParagraph"/>
        <w:numPr>
          <w:ilvl w:val="0"/>
          <w:numId w:val="2"/>
        </w:numPr>
        <w:spacing w:after="100" w:line="276"/>
      </w:pPr>
      <w:r>
        <w:t xml:space="preserve">RQ7（制度邊界歸納問題）：從歐盟、美國與臺灣三個制度場域的比較中，可歸納出何種「制度邊界」設計原則，足供臺灣分級治理立法參照？此一歸納的適用範圍與條件為何？</w:t>
      </w:r>
    </w:p>
    <w:p>
      <w:pPr>
        <w:spacing w:after="160" w:line="320"/>
        <w:ind w:firstLine="431"/>
      </w:pPr>
      <w:r>
        <w:t xml:space="preserve">為強化可操作性，RQ1–RQ5 進一步轉化為下列五組操作化子問題（SQ1–SQ5），並於各章對應處理：</w:t>
      </w:r>
    </w:p>
    <w:p>
      <w:pPr>
        <w:pStyle w:val="ListParagraph"/>
        <w:numPr>
          <w:ilvl w:val="0"/>
          <w:numId w:val="3"/>
        </w:numPr>
        <w:spacing w:after="100" w:line="276"/>
      </w:pPr>
      <w:r>
        <w:t xml:space="preserve">SQ1（對應 RQ1）：何種「特定公共功能」（資訊發布、身分驗證、災防通報等）最易觸發準公共性？功能層次與平台整體層次的判定結果是否可能分歧？</w:t>
      </w:r>
    </w:p>
    <w:p>
      <w:pPr>
        <w:pStyle w:val="ListParagraph"/>
        <w:numPr>
          <w:ilvl w:val="0"/>
          <w:numId w:val="3"/>
        </w:numPr>
        <w:spacing w:after="100" w:line="276"/>
      </w:pPr>
      <w:r>
        <w:t xml:space="preserve">SQ2（對應 RQ2）：六項座標中，核心面向（公共依賴、不可替代、公共價值）與加重面向（市場集中、規則控制、跨境）應如何加權？功能不可替代性之「優先觸發效果」應如何操作化，且如何避免與準公共平台正式認定標準相混淆？</w:t>
      </w:r>
    </w:p>
    <w:p>
      <w:pPr>
        <w:pStyle w:val="ListParagraph"/>
        <w:numPr>
          <w:ilvl w:val="0"/>
          <w:numId w:val="3"/>
        </w:numPr>
        <w:spacing w:after="100" w:line="276"/>
      </w:pPr>
      <w:r>
        <w:t xml:space="preserve">SQ3（對應 RQ3）：國家治理權力之重新配置，應落於立法、行政或司法哪一層次？分級義務應由專法、行政規則或政策白皮書承載？</w:t>
      </w:r>
    </w:p>
    <w:p>
      <w:pPr>
        <w:pStyle w:val="ListParagraph"/>
        <w:numPr>
          <w:ilvl w:val="0"/>
          <w:numId w:val="3"/>
        </w:numPr>
        <w:spacing w:after="100" w:line="276"/>
      </w:pPr>
      <w:r>
        <w:t xml:space="preserve">SQ4（對應 RQ4）：資訊黑箱、跨境管轄、公私法界線與公共價值衝突四項能力落差，分別對應五項國家能力指標（理解、監督、介入、替代、退場）之何者？</w:t>
      </w:r>
    </w:p>
    <w:p>
      <w:pPr>
        <w:pStyle w:val="ListParagraph"/>
        <w:numPr>
          <w:ilvl w:val="0"/>
          <w:numId w:val="3"/>
        </w:numPr>
        <w:spacing w:after="100" w:line="276"/>
      </w:pPr>
      <w:r>
        <w:t xml:space="preserve">SQ5（對應 RQ5）：制度邊界應如何在競爭政策、平台規制、公共服務、資料治理與公共價值之間劃設，以避免過度介入或規制真空？</w:t>
      </w:r>
    </w:p>
    <w:p>
      <w:pPr>
        <w:spacing w:after="160" w:line="320"/>
        <w:ind w:firstLine="431"/>
      </w:pPr>
      <w:r>
        <w:t xml:space="preserve">下表整理各研究問題所對應之分析工具與主要處理章節：</w:t>
      </w:r>
    </w:p>
    <w:tbl>
      <w:tblPr>
        <w:tblW w:type="dxa" w:w="8000"/>
        <w:tblBorders>
          <w:top w:val="single" w:color="auto" w:sz="4"/>
          <w:left w:val="single" w:color="auto" w:sz="4"/>
          <w:bottom w:val="single" w:color="auto" w:sz="4"/>
          <w:right w:val="single" w:color="auto" w:sz="4"/>
          <w:insideH w:val="single" w:color="auto" w:sz="4"/>
          <w:insideV w:val="single" w:color="auto" w:sz="4"/>
        </w:tblBorders>
      </w:tblPr>
      <w:tblGrid>
        <w:gridCol w:w="2600"/>
        <w:gridCol w:w="3200"/>
        <w:gridCol w:w="2200"/>
      </w:tblGrid>
      <w:tr>
        <w:tc>
          <w:tcPr>
            <w:tcW w:type="dxa" w:w="2600"/>
            <w:shd w:fill="DEEAF6" w:val="clear"/>
            <w:tcMar>
              <w:top w:type="dxa" w:w="80"/>
              <w:left w:type="dxa" w:w="120"/>
              <w:bottom w:type="dxa" w:w="80"/>
              <w:right w:type="dxa" w:w="120"/>
            </w:tcMar>
          </w:tcPr>
          <w:p>
            <w:pPr>
              <w:spacing w:after="0"/>
            </w:pPr>
            <w:r>
              <w:rPr>
                <w:b/>
                <w:bCs/>
                <w:sz w:val="20"/>
                <w:szCs w:val="20"/>
              </w:rPr>
              <w:t xml:space="preserve">研究問題</w:t>
            </w:r>
          </w:p>
        </w:tc>
        <w:tc>
          <w:tcPr>
            <w:tcW w:type="dxa" w:w="3200"/>
            <w:shd w:fill="DEEAF6" w:val="clear"/>
            <w:tcMar>
              <w:top w:type="dxa" w:w="80"/>
              <w:left w:type="dxa" w:w="120"/>
              <w:bottom w:type="dxa" w:w="80"/>
              <w:right w:type="dxa" w:w="120"/>
            </w:tcMar>
          </w:tcPr>
          <w:p>
            <w:pPr>
              <w:spacing w:after="0"/>
            </w:pPr>
            <w:r>
              <w:rPr>
                <w:b/>
                <w:bCs/>
                <w:sz w:val="20"/>
                <w:szCs w:val="20"/>
              </w:rPr>
              <w:t xml:space="preserve">對應分析工具</w:t>
            </w:r>
          </w:p>
        </w:tc>
        <w:tc>
          <w:tcPr>
            <w:tcW w:type="dxa" w:w="2200"/>
            <w:shd w:fill="DEEAF6" w:val="clear"/>
            <w:tcMar>
              <w:top w:type="dxa" w:w="80"/>
              <w:left w:type="dxa" w:w="120"/>
              <w:bottom w:type="dxa" w:w="80"/>
              <w:right w:type="dxa" w:w="120"/>
            </w:tcMar>
          </w:tcPr>
          <w:p>
            <w:pPr>
              <w:spacing w:after="0"/>
            </w:pPr>
            <w:r>
              <w:rPr>
                <w:b/>
                <w:bCs/>
                <w:sz w:val="20"/>
                <w:szCs w:val="20"/>
              </w:rPr>
              <w:t xml:space="preserve">對應章節</w:t>
            </w:r>
          </w:p>
        </w:tc>
      </w:tr>
      <w:tr>
        <w:tc>
          <w:tcPr>
            <w:tcW w:type="dxa" w:w="2600"/>
            <w:tcMar>
              <w:top w:type="dxa" w:w="80"/>
              <w:left w:type="dxa" w:w="120"/>
              <w:bottom w:type="dxa" w:w="80"/>
              <w:right w:type="dxa" w:w="120"/>
            </w:tcMar>
          </w:tcPr>
          <w:p>
            <w:pPr>
              <w:spacing w:after="0"/>
            </w:pPr>
            <w:r>
              <w:rPr>
                <w:b w:val="false"/>
                <w:bCs w:val="false"/>
                <w:sz w:val="20"/>
                <w:szCs w:val="20"/>
              </w:rPr>
              <w:t xml:space="preserve">RQ1 何時形成準公共性</w:t>
            </w:r>
          </w:p>
        </w:tc>
        <w:tc>
          <w:tcPr>
            <w:tcW w:type="dxa" w:w="3200"/>
            <w:tcMar>
              <w:top w:type="dxa" w:w="80"/>
              <w:left w:type="dxa" w:w="120"/>
              <w:bottom w:type="dxa" w:w="80"/>
              <w:right w:type="dxa" w:w="120"/>
            </w:tcMar>
          </w:tcPr>
          <w:p>
            <w:pPr>
              <w:spacing w:after="0"/>
            </w:pPr>
            <w:r>
              <w:rPr>
                <w:b w:val="false"/>
                <w:bCs w:val="false"/>
                <w:sz w:val="20"/>
                <w:szCs w:val="20"/>
              </w:rPr>
              <w:t xml:space="preserve">六項判定座標</w:t>
            </w:r>
          </w:p>
        </w:tc>
        <w:tc>
          <w:tcPr>
            <w:tcW w:type="dxa" w:w="2200"/>
            <w:tcMar>
              <w:top w:type="dxa" w:w="80"/>
              <w:left w:type="dxa" w:w="120"/>
              <w:bottom w:type="dxa" w:w="80"/>
              <w:right w:type="dxa" w:w="120"/>
            </w:tcMar>
          </w:tcPr>
          <w:p>
            <w:pPr>
              <w:spacing w:after="0"/>
            </w:pPr>
            <w:r>
              <w:rPr>
                <w:b w:val="false"/>
                <w:bCs w:val="false"/>
                <w:sz w:val="20"/>
                <w:szCs w:val="20"/>
              </w:rPr>
              <w:t xml:space="preserve">參章</w:t>
            </w:r>
          </w:p>
        </w:tc>
      </w:tr>
      <w:tr>
        <w:tc>
          <w:tcPr>
            <w:tcW w:type="dxa" w:w="2600"/>
            <w:tcMar>
              <w:top w:type="dxa" w:w="80"/>
              <w:left w:type="dxa" w:w="120"/>
              <w:bottom w:type="dxa" w:w="80"/>
              <w:right w:type="dxa" w:w="120"/>
            </w:tcMar>
          </w:tcPr>
          <w:p>
            <w:pPr>
              <w:spacing w:after="0"/>
            </w:pPr>
            <w:r>
              <w:rPr>
                <w:b w:val="false"/>
                <w:bCs w:val="false"/>
                <w:sz w:val="20"/>
                <w:szCs w:val="20"/>
              </w:rPr>
              <w:t xml:space="preserve">RQ2 如何操作化</w:t>
            </w:r>
          </w:p>
        </w:tc>
        <w:tc>
          <w:tcPr>
            <w:tcW w:type="dxa" w:w="3200"/>
            <w:tcMar>
              <w:top w:type="dxa" w:w="80"/>
              <w:left w:type="dxa" w:w="120"/>
              <w:bottom w:type="dxa" w:w="80"/>
              <w:right w:type="dxa" w:w="120"/>
            </w:tcMar>
          </w:tcPr>
          <w:p>
            <w:pPr>
              <w:spacing w:after="0"/>
            </w:pPr>
            <w:r>
              <w:rPr>
                <w:b w:val="false"/>
                <w:bCs w:val="false"/>
                <w:sz w:val="20"/>
                <w:szCs w:val="20"/>
              </w:rPr>
              <w:t xml:space="preserve">分級判斷模型</w:t>
            </w:r>
          </w:p>
        </w:tc>
        <w:tc>
          <w:tcPr>
            <w:tcW w:type="dxa" w:w="2200"/>
            <w:tcMar>
              <w:top w:type="dxa" w:w="80"/>
              <w:left w:type="dxa" w:w="120"/>
              <w:bottom w:type="dxa" w:w="80"/>
              <w:right w:type="dxa" w:w="120"/>
            </w:tcMar>
          </w:tcPr>
          <w:p>
            <w:pPr>
              <w:spacing w:after="0"/>
            </w:pPr>
            <w:r>
              <w:rPr>
                <w:b w:val="false"/>
                <w:bCs w:val="false"/>
                <w:sz w:val="20"/>
                <w:szCs w:val="20"/>
              </w:rPr>
              <w:t xml:space="preserve">參-4</w:t>
            </w:r>
          </w:p>
        </w:tc>
      </w:tr>
      <w:tr>
        <w:tc>
          <w:tcPr>
            <w:tcW w:type="dxa" w:w="2600"/>
            <w:tcMar>
              <w:top w:type="dxa" w:w="80"/>
              <w:left w:type="dxa" w:w="120"/>
              <w:bottom w:type="dxa" w:w="80"/>
              <w:right w:type="dxa" w:w="120"/>
            </w:tcMar>
          </w:tcPr>
          <w:p>
            <w:pPr>
              <w:spacing w:after="0"/>
            </w:pPr>
            <w:r>
              <w:rPr>
                <w:b w:val="false"/>
                <w:bCs w:val="false"/>
                <w:sz w:val="20"/>
                <w:szCs w:val="20"/>
              </w:rPr>
              <w:t xml:space="preserve">RQ3 治理權力如何配置</w:t>
            </w:r>
          </w:p>
        </w:tc>
        <w:tc>
          <w:tcPr>
            <w:tcW w:type="dxa" w:w="3200"/>
            <w:tcMar>
              <w:top w:type="dxa" w:w="80"/>
              <w:left w:type="dxa" w:w="120"/>
              <w:bottom w:type="dxa" w:w="80"/>
              <w:right w:type="dxa" w:w="120"/>
            </w:tcMar>
          </w:tcPr>
          <w:p>
            <w:pPr>
              <w:spacing w:after="0"/>
            </w:pPr>
            <w:r>
              <w:rPr>
                <w:b w:val="false"/>
                <w:bCs w:val="false"/>
                <w:sz w:val="20"/>
                <w:szCs w:val="20"/>
              </w:rPr>
              <w:t xml:space="preserve">四條治理鏈</w:t>
            </w:r>
          </w:p>
        </w:tc>
        <w:tc>
          <w:tcPr>
            <w:tcW w:type="dxa" w:w="2200"/>
            <w:tcMar>
              <w:top w:type="dxa" w:w="80"/>
              <w:left w:type="dxa" w:w="120"/>
              <w:bottom w:type="dxa" w:w="80"/>
              <w:right w:type="dxa" w:w="120"/>
            </w:tcMar>
          </w:tcPr>
          <w:p>
            <w:pPr>
              <w:spacing w:after="0"/>
            </w:pPr>
            <w:r>
              <w:rPr>
                <w:b w:val="false"/>
                <w:bCs w:val="false"/>
                <w:sz w:val="20"/>
                <w:szCs w:val="20"/>
              </w:rPr>
              <w:t xml:space="preserve">柒章</w:t>
            </w:r>
          </w:p>
        </w:tc>
      </w:tr>
      <w:tr>
        <w:tc>
          <w:tcPr>
            <w:tcW w:type="dxa" w:w="2600"/>
            <w:tcMar>
              <w:top w:type="dxa" w:w="80"/>
              <w:left w:type="dxa" w:w="120"/>
              <w:bottom w:type="dxa" w:w="80"/>
              <w:right w:type="dxa" w:w="120"/>
            </w:tcMar>
          </w:tcPr>
          <w:p>
            <w:pPr>
              <w:spacing w:after="0"/>
            </w:pPr>
            <w:r>
              <w:rPr>
                <w:b w:val="false"/>
                <w:bCs w:val="false"/>
                <w:sz w:val="20"/>
                <w:szCs w:val="20"/>
              </w:rPr>
              <w:t xml:space="preserve">RQ4 能力落差如何形成</w:t>
            </w:r>
          </w:p>
        </w:tc>
        <w:tc>
          <w:tcPr>
            <w:tcW w:type="dxa" w:w="3200"/>
            <w:tcMar>
              <w:top w:type="dxa" w:w="80"/>
              <w:left w:type="dxa" w:w="120"/>
              <w:bottom w:type="dxa" w:w="80"/>
              <w:right w:type="dxa" w:w="120"/>
            </w:tcMar>
          </w:tcPr>
          <w:p>
            <w:pPr>
              <w:spacing w:after="0"/>
            </w:pPr>
            <w:r>
              <w:rPr>
                <w:b w:val="false"/>
                <w:bCs w:val="false"/>
                <w:sz w:val="20"/>
                <w:szCs w:val="20"/>
              </w:rPr>
              <w:t xml:space="preserve">五項國家能力指標</w:t>
            </w:r>
          </w:p>
        </w:tc>
        <w:tc>
          <w:tcPr>
            <w:tcW w:type="dxa" w:w="2200"/>
            <w:tcMar>
              <w:top w:type="dxa" w:w="80"/>
              <w:left w:type="dxa" w:w="120"/>
              <w:bottom w:type="dxa" w:w="80"/>
              <w:right w:type="dxa" w:w="120"/>
            </w:tcMar>
          </w:tcPr>
          <w:p>
            <w:pPr>
              <w:spacing w:after="0"/>
            </w:pPr>
            <w:r>
              <w:rPr>
                <w:b w:val="false"/>
                <w:bCs w:val="false"/>
                <w:sz w:val="20"/>
                <w:szCs w:val="20"/>
              </w:rPr>
              <w:t xml:space="preserve">肆章</w:t>
            </w:r>
          </w:p>
        </w:tc>
      </w:tr>
      <w:tr>
        <w:tc>
          <w:tcPr>
            <w:tcW w:type="dxa" w:w="2600"/>
            <w:tcMar>
              <w:top w:type="dxa" w:w="80"/>
              <w:left w:type="dxa" w:w="120"/>
              <w:bottom w:type="dxa" w:w="80"/>
              <w:right w:type="dxa" w:w="120"/>
            </w:tcMar>
          </w:tcPr>
          <w:p>
            <w:pPr>
              <w:spacing w:after="0"/>
            </w:pPr>
            <w:r>
              <w:rPr>
                <w:b w:val="false"/>
                <w:bCs w:val="false"/>
                <w:sz w:val="20"/>
                <w:szCs w:val="20"/>
              </w:rPr>
              <w:t xml:space="preserve">RQ5 制度邊界如何建立</w:t>
            </w:r>
          </w:p>
        </w:tc>
        <w:tc>
          <w:tcPr>
            <w:tcW w:type="dxa" w:w="3200"/>
            <w:tcMar>
              <w:top w:type="dxa" w:w="80"/>
              <w:left w:type="dxa" w:w="120"/>
              <w:bottom w:type="dxa" w:w="80"/>
              <w:right w:type="dxa" w:w="120"/>
            </w:tcMar>
          </w:tcPr>
          <w:p>
            <w:pPr>
              <w:spacing w:after="0"/>
            </w:pPr>
            <w:r>
              <w:rPr>
                <w:b w:val="false"/>
                <w:bCs w:val="false"/>
                <w:sz w:val="20"/>
                <w:szCs w:val="20"/>
              </w:rPr>
              <w:t xml:space="preserve">四條治理鏈＋分級治理</w:t>
            </w:r>
          </w:p>
        </w:tc>
        <w:tc>
          <w:tcPr>
            <w:tcW w:type="dxa" w:w="2200"/>
            <w:tcMar>
              <w:top w:type="dxa" w:w="80"/>
              <w:left w:type="dxa" w:w="120"/>
              <w:bottom w:type="dxa" w:w="80"/>
              <w:right w:type="dxa" w:w="120"/>
            </w:tcMar>
          </w:tcPr>
          <w:p>
            <w:pPr>
              <w:spacing w:after="0"/>
            </w:pPr>
            <w:r>
              <w:rPr>
                <w:b w:val="false"/>
                <w:bCs w:val="false"/>
                <w:sz w:val="20"/>
                <w:szCs w:val="20"/>
              </w:rPr>
              <w:t xml:space="preserve">柒章</w:t>
            </w:r>
          </w:p>
        </w:tc>
      </w:tr>
      <w:tr>
        <w:tc>
          <w:tcPr>
            <w:tcW w:type="dxa" w:w="2600"/>
            <w:tcMar>
              <w:top w:type="dxa" w:w="80"/>
              <w:left w:type="dxa" w:w="120"/>
              <w:bottom w:type="dxa" w:w="80"/>
              <w:right w:type="dxa" w:w="120"/>
            </w:tcMar>
          </w:tcPr>
          <w:p>
            <w:pPr>
              <w:spacing w:after="0"/>
            </w:pPr>
            <w:r>
              <w:rPr>
                <w:b w:val="false"/>
                <w:bCs w:val="false"/>
                <w:sz w:val="20"/>
                <w:szCs w:val="20"/>
              </w:rPr>
              <w:t xml:space="preserve">RQ6 監理機關制度韌性</w:t>
            </w:r>
          </w:p>
        </w:tc>
        <w:tc>
          <w:tcPr>
            <w:tcW w:type="dxa" w:w="3200"/>
            <w:tcMar>
              <w:top w:type="dxa" w:w="80"/>
              <w:left w:type="dxa" w:w="120"/>
              <w:bottom w:type="dxa" w:w="80"/>
              <w:right w:type="dxa" w:w="120"/>
            </w:tcMar>
          </w:tcPr>
          <w:p>
            <w:pPr>
              <w:spacing w:after="0"/>
            </w:pPr>
            <w:r>
              <w:rPr>
                <w:b w:val="false"/>
                <w:bCs w:val="false"/>
                <w:sz w:val="20"/>
                <w:szCs w:val="20"/>
              </w:rPr>
              <w:t xml:space="preserve">課責鏈（延伸至國家自身）</w:t>
            </w:r>
          </w:p>
        </w:tc>
        <w:tc>
          <w:tcPr>
            <w:tcW w:type="dxa" w:w="2200"/>
            <w:tcMar>
              <w:top w:type="dxa" w:w="80"/>
              <w:left w:type="dxa" w:w="120"/>
              <w:bottom w:type="dxa" w:w="80"/>
              <w:right w:type="dxa" w:w="120"/>
            </w:tcMar>
          </w:tcPr>
          <w:p>
            <w:pPr>
              <w:spacing w:after="0"/>
            </w:pPr>
            <w:r>
              <w:rPr>
                <w:b w:val="false"/>
                <w:bCs w:val="false"/>
                <w:sz w:val="20"/>
                <w:szCs w:val="20"/>
              </w:rPr>
              <w:t xml:space="preserve">陸-2、捌章</w:t>
            </w:r>
          </w:p>
        </w:tc>
      </w:tr>
      <w:tr>
        <w:tc>
          <w:tcPr>
            <w:tcW w:type="dxa" w:w="2600"/>
            <w:tcMar>
              <w:top w:type="dxa" w:w="80"/>
              <w:left w:type="dxa" w:w="120"/>
              <w:bottom w:type="dxa" w:w="80"/>
              <w:right w:type="dxa" w:w="120"/>
            </w:tcMar>
          </w:tcPr>
          <w:p>
            <w:pPr>
              <w:spacing w:after="0"/>
            </w:pPr>
            <w:r>
              <w:rPr>
                <w:b w:val="false"/>
                <w:bCs w:val="false"/>
                <w:sz w:val="20"/>
                <w:szCs w:val="20"/>
              </w:rPr>
              <w:t xml:space="preserve">RQ7 制度邊界歸納</w:t>
            </w:r>
          </w:p>
        </w:tc>
        <w:tc>
          <w:tcPr>
            <w:tcW w:type="dxa" w:w="3200"/>
            <w:tcMar>
              <w:top w:type="dxa" w:w="80"/>
              <w:left w:type="dxa" w:w="120"/>
              <w:bottom w:type="dxa" w:w="80"/>
              <w:right w:type="dxa" w:w="120"/>
            </w:tcMar>
          </w:tcPr>
          <w:p>
            <w:pPr>
              <w:spacing w:after="0"/>
            </w:pPr>
            <w:r>
              <w:rPr>
                <w:b w:val="false"/>
                <w:bCs w:val="false"/>
                <w:sz w:val="20"/>
                <w:szCs w:val="20"/>
              </w:rPr>
              <w:t xml:space="preserve">跨國比較（雙軸設計）</w:t>
            </w:r>
          </w:p>
        </w:tc>
        <w:tc>
          <w:tcPr>
            <w:tcW w:type="dxa" w:w="2200"/>
            <w:tcMar>
              <w:top w:type="dxa" w:w="80"/>
              <w:left w:type="dxa" w:w="120"/>
              <w:bottom w:type="dxa" w:w="80"/>
              <w:right w:type="dxa" w:w="120"/>
            </w:tcMar>
          </w:tcPr>
          <w:p>
            <w:pPr>
              <w:spacing w:after="0"/>
            </w:pPr>
            <w:r>
              <w:rPr>
                <w:b w:val="false"/>
                <w:bCs w:val="false"/>
                <w:sz w:val="20"/>
                <w:szCs w:val="20"/>
              </w:rPr>
              <w:t xml:space="preserve">伍章</w:t>
            </w:r>
          </w:p>
        </w:tc>
      </w:tr>
    </w:tbl>
    <w:p>
      <w:pPr>
        <w:spacing w:after="140" w:before="280"/>
      </w:pPr>
      <w:r>
        <w:rPr>
          <w:b/>
          <w:bCs/>
          <w:color w:val="1F4E79"/>
          <w:sz w:val="24"/>
          <w:szCs w:val="24"/>
        </w:rPr>
        <w:t xml:space="preserve">四、研究方法與資料來源</w:t>
      </w:r>
    </w:p>
    <w:p>
      <w:pPr>
        <w:spacing w:after="160" w:line="320"/>
        <w:ind w:firstLine="431"/>
      </w:pPr>
      <w:r>
        <w:t xml:space="preserve">本文採取規範性制度分析（normative institutional analysis）、制度比較（comparative institutional analysis）與臺灣個案過程追蹤（process-tracing）之混合研究設計，而非嚴格意義上以歐盟、美國、臺灣為並列個案的比較個案研究——因為歐盟屬超國家法律建制、美國為聯邦憲政與訴訟體系、臺灣則為單一國家法域，三者制度性質並不相同。規範性層次在於提出「六項判定座標」與「四條治理鏈」作為評估平台是否應承擔公共責任、國家應保留何種治理能力的分析架構；實證層次則透過歐盟、美國與臺灣三個制度場域的法規與執法實踐，以及臺灣《數位中介服務法》草案的過程個案，評估此一架構的解釋力、適用範圍與侷限，避免全文流於單純的規範性主張。</w:t>
      </w:r>
    </w:p>
    <w:p>
      <w:pPr>
        <w:spacing w:after="160" w:line="320"/>
        <w:ind w:firstLine="431"/>
      </w:pPr>
      <w:r>
        <w:t xml:space="preserve">此一混合設計包含三個方法論層次，各有其功能：規範性層次以「六項判定座標」與「四條治理鏈」建構評估架構，回答『平台應如何被判定、國家應保留何種能力』；比較層次以制度比較檢視歐盟、美國、臺灣三種規制型國家回應模式，回答『不同制度脈絡下架構之普遍性與侷限』；個案層次則以臺灣《數位中介服務法》草案之過程追蹤，回答『制度為何無法落實』。</w:t>
      </w:r>
    </w:p>
    <w:p>
      <w:pPr>
        <w:spacing w:after="160" w:line="320"/>
        <w:ind w:firstLine="431"/>
      </w:pPr>
      <w:r>
        <w:t xml:space="preserve">比較對象之選擇：歐盟、美國與臺灣分別代表伍章所述「事前規範」、「憲法界線與事後競爭法」及「高度依賴與制度碎片化」三種不同的規制型國家回應模式，三者的憲政傳統與行政能力差異，恰可用以檢視六項座標與四條治理鏈在不同制度脈絡下的普遍性與侷限性，而非僅適用於單一法域下的個別觀察。</w:t>
      </w:r>
    </w:p>
    <w:p>
      <w:pPr>
        <w:spacing w:after="160" w:line="320"/>
        <w:ind w:firstLine="431"/>
      </w:pPr>
      <w:r>
        <w:t xml:space="preserve">就方法論定位而言，本文之跨國比較屬『理論導向的差異比較』（theory-driven comparison），可視為『最不同系統設計』（most-different systems design）之變體——三個場域在憲政傳統、行政能力與法律建制上差異極大，若六項座標與四條治理鏈仍能於其中產生一致之診斷，即可初步支持架構之跨制度適用性；比較之目的不在於統計推論，而在於『分析性歸納』（analytic generalization），即透過三個制度場域之對照，界定『準公共基礎設施』概念之適用範圍與邊界條件，而非推論至母體之代表性通則。RQ7 不以三個場域的制度優劣排序為目的，而是比較其在四個治理維度上的制度安排、能力條件與限制，從中歸納可移植的制度原則及不可移植的脈絡條件。</w:t>
      </w:r>
    </w:p>
    <w:p>
      <w:pPr>
        <w:spacing w:after="160" w:line="320"/>
        <w:ind w:firstLine="431"/>
      </w:pPr>
      <w:r>
        <w:t xml:space="preserve">個案選擇：臺灣《數位中介服務法》草案是臺灣近年最完整、且最接近本文所討論分級平台治理模式的一次立法嘗試，涵蓋分級義務、透明揭露、風險評估及跨機關監理等要素（見陸章），其興衰過程完整呈現六項座標與四條治理鏈在真實政治過程中的運作與失靈，因此作為過程追蹤（process-tracing）之核心個案，而非僅為背景描述。</w:t>
      </w:r>
    </w:p>
    <w:p>
      <w:pPr>
        <w:spacing w:after="160" w:line="320"/>
        <w:ind w:firstLine="431"/>
      </w:pPr>
      <w:r>
        <w:t xml:space="preserve">就過程追蹤之因果機制而言，本文以『政策事件』為分析單位，沿時間軸（2022 年草案形成至 2026 年監理機關癱瘓）追蹤因果機制，其主要因果鏈為：公正鏈配套缺乏→政治動員→制度撤回→課責鏈與負責鏈所需法定授權被擱置→監理機關自身組織能力失能（詳見陸章各節）；徵引相關證據時，區分官方文件、立法院紀錄、政黨聲明、平台或公民團體意見與媒體報導等不同類型，並標註其相對權重，避免僅以單一來源推論因果（見陸-2之補充說明）。</w:t>
      </w:r>
    </w:p>
    <w:p>
      <w:pPr>
        <w:spacing w:after="160" w:line="320"/>
        <w:ind w:firstLine="431"/>
      </w:pPr>
      <w:r>
        <w:t xml:space="preserve">分析單位：本文以「平台」及其「特定公共功能」（如資訊發布、身分驗證、災防通報）作為主要分析單位，而非以國家或產業整體為單位；六項座標即是逐一檢視個別平台在特定公共功能上的市場集中、公共依賴等程度，避免以「大型平台」的籠統規模描述取代逐項判斷。</w:t>
      </w:r>
    </w:p>
    <w:p>
      <w:pPr>
        <w:spacing w:after="160" w:line="320"/>
        <w:ind w:firstLine="431"/>
      </w:pPr>
      <w:r>
        <w:t xml:space="preserve">資料來源：本文主要資料來源包括法律文本與法規草案（如《數位中介服務法》草案、歐盟 DSA／DMA 條文）、官方政策文件與決定（如歐盟執委會決定、NCC 政策白皮書及會方說明）、司法判決（如 Moody v. NetChoice）、學術文獻（見貳章及陸-1所補臺灣本土研究），以及具公信力之新聞媒體報導。其中新聞報導僅用於補充尚未形成正式判決或完整官方公告之最新執法動態（如 NCC 零委員空窗及其後續最低度續航），並於徵引時明確標註其為報導性資料，與前述官方一手文件及學術文獻性質有別。</w:t>
      </w:r>
    </w:p>
    <w:p>
      <w:pPr>
        <w:spacing w:after="160" w:line="320"/>
        <w:ind w:firstLine="431"/>
      </w:pPr>
      <w:r>
        <w:t xml:space="preserve">為降低單一來源偏誤，本文對同一制度事實（如 DMA 裁罰、Moody v. NetChoice 判決狀態、NCC 零委員狀態）盡量以官方文件、司法判決與具公信力媒體三方交叉核對；所使用之資料均為公開之法律文本、官方文件、判決與媒體報導，不涉及人體研究或個人隱私資料，惟對涉及政治爭議之個案（如中介法草案），書寫時應避免價值預設，並明確區分『事實描述』與『作者判斷』。</w:t>
      </w:r>
    </w:p>
    <w:p>
      <w:pPr>
        <w:spacing w:after="160" w:line="320"/>
        <w:ind w:firstLine="431"/>
      </w:pPr>
      <w:r>
        <w:t xml:space="preserve">編碼與比較方式：本文以六項判定座標作為橫向比較之共同量尺，逐一檢視各國、各平台於六項座標上的強弱分佈；並以四條治理鏈作為縱向診斷工具，追蹤特定制度安排於課責、負責、透明、公正四個環節上斷裂發生的具體節點。伍章之跨國比較與陸章之臺灣個案分析，均依循此一「橫向座標比較、縱向鏈條診斷」的雙軸設計。</w:t>
      </w:r>
    </w:p>
    <w:p>
      <w:pPr>
        <w:spacing w:after="160" w:line="320"/>
        <w:ind w:firstLine="431"/>
      </w:pPr>
      <w:r>
        <w:t xml:space="preserve">為使上述設計具體可執行，下表整理三個子研究問題所對應的資料類型、分析方法與觀察指標：</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2200"/>
        <w:gridCol w:w="2200"/>
      </w:tblGrid>
      <w:tr>
        <w:tc>
          <w:tcPr>
            <w:tcW w:type="dxa" w:w="2400"/>
            <w:shd w:fill="DEEAF6" w:val="clear"/>
            <w:tcMar>
              <w:top w:type="dxa" w:w="80"/>
              <w:left w:type="dxa" w:w="120"/>
              <w:bottom w:type="dxa" w:w="80"/>
              <w:right w:type="dxa" w:w="120"/>
            </w:tcMar>
          </w:tcPr>
          <w:p>
            <w:pPr>
              <w:spacing w:after="0"/>
            </w:pPr>
            <w:r>
              <w:rPr>
                <w:b/>
                <w:bCs/>
                <w:sz w:val="20"/>
                <w:szCs w:val="20"/>
              </w:rPr>
              <w:t xml:space="preserve">研究問題</w:t>
            </w:r>
          </w:p>
        </w:tc>
        <w:tc>
          <w:tcPr>
            <w:tcW w:type="dxa" w:w="2400"/>
            <w:shd w:fill="DEEAF6" w:val="clear"/>
            <w:tcMar>
              <w:top w:type="dxa" w:w="80"/>
              <w:left w:type="dxa" w:w="120"/>
              <w:bottom w:type="dxa" w:w="80"/>
              <w:right w:type="dxa" w:w="120"/>
            </w:tcMar>
          </w:tcPr>
          <w:p>
            <w:pPr>
              <w:spacing w:after="0"/>
            </w:pPr>
            <w:r>
              <w:rPr>
                <w:b/>
                <w:bCs/>
                <w:sz w:val="20"/>
                <w:szCs w:val="20"/>
              </w:rPr>
              <w:t xml:space="preserve">資料</w:t>
            </w:r>
          </w:p>
        </w:tc>
        <w:tc>
          <w:tcPr>
            <w:tcW w:type="dxa" w:w="2200"/>
            <w:shd w:fill="DEEAF6" w:val="clear"/>
            <w:tcMar>
              <w:top w:type="dxa" w:w="80"/>
              <w:left w:type="dxa" w:w="120"/>
              <w:bottom w:type="dxa" w:w="80"/>
              <w:right w:type="dxa" w:w="120"/>
            </w:tcMar>
          </w:tcPr>
          <w:p>
            <w:pPr>
              <w:spacing w:after="0"/>
            </w:pPr>
            <w:r>
              <w:rPr>
                <w:b/>
                <w:bCs/>
                <w:sz w:val="20"/>
                <w:szCs w:val="20"/>
              </w:rPr>
              <w:t xml:space="preserve">分析方法</w:t>
            </w:r>
          </w:p>
        </w:tc>
        <w:tc>
          <w:tcPr>
            <w:tcW w:type="dxa" w:w="2200"/>
            <w:shd w:fill="DEEAF6" w:val="clear"/>
            <w:tcMar>
              <w:top w:type="dxa" w:w="80"/>
              <w:left w:type="dxa" w:w="120"/>
              <w:bottom w:type="dxa" w:w="80"/>
              <w:right w:type="dxa" w:w="120"/>
            </w:tcMar>
          </w:tcPr>
          <w:p>
            <w:pPr>
              <w:spacing w:after="0"/>
            </w:pPr>
            <w:r>
              <w:rPr>
                <w:b/>
                <w:bCs/>
                <w:sz w:val="20"/>
                <w:szCs w:val="20"/>
              </w:rPr>
              <w:t xml:space="preserve">觀察指標</w:t>
            </w:r>
          </w:p>
        </w:tc>
      </w:tr>
      <w:tr>
        <w:tc>
          <w:tcPr>
            <w:tcW w:type="dxa" w:w="2400"/>
            <w:tcMar>
              <w:top w:type="dxa" w:w="80"/>
              <w:left w:type="dxa" w:w="120"/>
              <w:bottom w:type="dxa" w:w="80"/>
              <w:right w:type="dxa" w:w="120"/>
            </w:tcMar>
          </w:tcPr>
          <w:p>
            <w:pPr>
              <w:spacing w:after="0"/>
            </w:pPr>
            <w:r>
              <w:rPr>
                <w:b w:val="false"/>
                <w:bCs w:val="false"/>
                <w:sz w:val="20"/>
                <w:szCs w:val="20"/>
              </w:rPr>
              <w:t xml:space="preserve">何時形成準公共性</w:t>
            </w:r>
          </w:p>
        </w:tc>
        <w:tc>
          <w:tcPr>
            <w:tcW w:type="dxa" w:w="2400"/>
            <w:tcMar>
              <w:top w:type="dxa" w:w="80"/>
              <w:left w:type="dxa" w:w="120"/>
              <w:bottom w:type="dxa" w:w="80"/>
              <w:right w:type="dxa" w:w="120"/>
            </w:tcMar>
          </w:tcPr>
          <w:p>
            <w:pPr>
              <w:spacing w:after="0"/>
            </w:pPr>
            <w:r>
              <w:rPr>
                <w:b w:val="false"/>
                <w:bCs w:val="false"/>
                <w:sz w:val="20"/>
                <w:szCs w:val="20"/>
              </w:rPr>
              <w:t xml:space="preserve">法規、平台資料、政府依賴資料</w:t>
            </w:r>
          </w:p>
        </w:tc>
        <w:tc>
          <w:tcPr>
            <w:tcW w:type="dxa" w:w="2200"/>
            <w:tcMar>
              <w:top w:type="dxa" w:w="80"/>
              <w:left w:type="dxa" w:w="120"/>
              <w:bottom w:type="dxa" w:w="80"/>
              <w:right w:type="dxa" w:w="120"/>
            </w:tcMar>
          </w:tcPr>
          <w:p>
            <w:pPr>
              <w:spacing w:after="0"/>
            </w:pPr>
            <w:r>
              <w:rPr>
                <w:b w:val="false"/>
                <w:bCs w:val="false"/>
                <w:sz w:val="20"/>
                <w:szCs w:val="20"/>
              </w:rPr>
              <w:t xml:space="preserve">六項座標之低／中／高分類</w:t>
            </w:r>
          </w:p>
        </w:tc>
        <w:tc>
          <w:tcPr>
            <w:tcW w:type="dxa" w:w="2200"/>
            <w:tcMar>
              <w:top w:type="dxa" w:w="80"/>
              <w:left w:type="dxa" w:w="120"/>
              <w:bottom w:type="dxa" w:w="80"/>
              <w:right w:type="dxa" w:w="120"/>
            </w:tcMar>
          </w:tcPr>
          <w:p>
            <w:pPr>
              <w:spacing w:after="0"/>
            </w:pPr>
            <w:r>
              <w:rPr>
                <w:b w:val="false"/>
                <w:bCs w:val="false"/>
                <w:sz w:val="20"/>
                <w:szCs w:val="20"/>
              </w:rPr>
              <w:t xml:space="preserve">依賴、替代成本、公共效果</w:t>
            </w:r>
          </w:p>
        </w:tc>
      </w:tr>
      <w:tr>
        <w:tc>
          <w:tcPr>
            <w:tcW w:type="dxa" w:w="2400"/>
            <w:tcMar>
              <w:top w:type="dxa" w:w="80"/>
              <w:left w:type="dxa" w:w="120"/>
              <w:bottom w:type="dxa" w:w="80"/>
              <w:right w:type="dxa" w:w="120"/>
            </w:tcMar>
          </w:tcPr>
          <w:p>
            <w:pPr>
              <w:spacing w:after="0"/>
            </w:pPr>
            <w:r>
              <w:rPr>
                <w:b w:val="false"/>
                <w:bCs w:val="false"/>
                <w:sz w:val="20"/>
                <w:szCs w:val="20"/>
              </w:rPr>
              <w:t xml:space="preserve">國家能力如何落差</w:t>
            </w:r>
          </w:p>
        </w:tc>
        <w:tc>
          <w:tcPr>
            <w:tcW w:type="dxa" w:w="2400"/>
            <w:tcMar>
              <w:top w:type="dxa" w:w="80"/>
              <w:left w:type="dxa" w:w="120"/>
              <w:bottom w:type="dxa" w:w="80"/>
              <w:right w:type="dxa" w:w="120"/>
            </w:tcMar>
          </w:tcPr>
          <w:p>
            <w:pPr>
              <w:spacing w:after="0"/>
            </w:pPr>
            <w:r>
              <w:rPr>
                <w:b w:val="false"/>
                <w:bCs w:val="false"/>
                <w:sz w:val="20"/>
                <w:szCs w:val="20"/>
              </w:rPr>
              <w:t xml:space="preserve">法規、組織規程、執法決定</w:t>
            </w:r>
          </w:p>
        </w:tc>
        <w:tc>
          <w:tcPr>
            <w:tcW w:type="dxa" w:w="2200"/>
            <w:tcMar>
              <w:top w:type="dxa" w:w="80"/>
              <w:left w:type="dxa" w:w="120"/>
              <w:bottom w:type="dxa" w:w="80"/>
              <w:right w:type="dxa" w:w="120"/>
            </w:tcMar>
          </w:tcPr>
          <w:p>
            <w:pPr>
              <w:spacing w:after="0"/>
            </w:pPr>
            <w:r>
              <w:rPr>
                <w:b w:val="false"/>
                <w:bCs w:val="false"/>
                <w:sz w:val="20"/>
                <w:szCs w:val="20"/>
              </w:rPr>
              <w:t xml:space="preserve">五項能力指標</w:t>
            </w:r>
          </w:p>
        </w:tc>
        <w:tc>
          <w:tcPr>
            <w:tcW w:type="dxa" w:w="2200"/>
            <w:tcMar>
              <w:top w:type="dxa" w:w="80"/>
              <w:left w:type="dxa" w:w="120"/>
              <w:bottom w:type="dxa" w:w="80"/>
              <w:right w:type="dxa" w:w="120"/>
            </w:tcMar>
          </w:tcPr>
          <w:p>
            <w:pPr>
              <w:spacing w:after="0"/>
            </w:pPr>
            <w:r>
              <w:rPr>
                <w:b w:val="false"/>
                <w:bCs w:val="false"/>
                <w:sz w:val="20"/>
                <w:szCs w:val="20"/>
              </w:rPr>
              <w:t xml:space="preserve">理解、監督、介入、替代、退場</w:t>
            </w:r>
          </w:p>
        </w:tc>
      </w:tr>
      <w:tr>
        <w:tc>
          <w:tcPr>
            <w:tcW w:type="dxa" w:w="2400"/>
            <w:tcMar>
              <w:top w:type="dxa" w:w="80"/>
              <w:left w:type="dxa" w:w="120"/>
              <w:bottom w:type="dxa" w:w="80"/>
              <w:right w:type="dxa" w:w="120"/>
            </w:tcMar>
          </w:tcPr>
          <w:p>
            <w:pPr>
              <w:spacing w:after="0"/>
            </w:pPr>
            <w:r>
              <w:rPr>
                <w:b w:val="false"/>
                <w:bCs w:val="false"/>
                <w:sz w:val="20"/>
                <w:szCs w:val="20"/>
              </w:rPr>
              <w:t xml:space="preserve">中介法草案為何撤回、原定義務為何未落實</w:t>
            </w:r>
          </w:p>
        </w:tc>
        <w:tc>
          <w:tcPr>
            <w:tcW w:type="dxa" w:w="2400"/>
            <w:tcMar>
              <w:top w:type="dxa" w:w="80"/>
              <w:left w:type="dxa" w:w="120"/>
              <w:bottom w:type="dxa" w:w="80"/>
              <w:right w:type="dxa" w:w="120"/>
            </w:tcMar>
          </w:tcPr>
          <w:p>
            <w:pPr>
              <w:spacing w:after="0"/>
            </w:pPr>
            <w:r>
              <w:rPr>
                <w:b w:val="false"/>
                <w:bCs w:val="false"/>
                <w:sz w:val="20"/>
                <w:szCs w:val="20"/>
              </w:rPr>
              <w:t xml:space="preserve">草案、會議紀錄、新聞、立法院資料</w:t>
            </w:r>
          </w:p>
        </w:tc>
        <w:tc>
          <w:tcPr>
            <w:tcW w:type="dxa" w:w="2200"/>
            <w:tcMar>
              <w:top w:type="dxa" w:w="80"/>
              <w:left w:type="dxa" w:w="120"/>
              <w:bottom w:type="dxa" w:w="80"/>
              <w:right w:type="dxa" w:w="120"/>
            </w:tcMar>
          </w:tcPr>
          <w:p>
            <w:pPr>
              <w:spacing w:after="0"/>
            </w:pPr>
            <w:r>
              <w:rPr>
                <w:b w:val="false"/>
                <w:bCs w:val="false"/>
                <w:sz w:val="20"/>
                <w:szCs w:val="20"/>
              </w:rPr>
              <w:t xml:space="preserve">過程追蹤</w:t>
            </w:r>
          </w:p>
        </w:tc>
        <w:tc>
          <w:tcPr>
            <w:tcW w:type="dxa" w:w="2200"/>
            <w:tcMar>
              <w:top w:type="dxa" w:w="80"/>
              <w:left w:type="dxa" w:w="120"/>
              <w:bottom w:type="dxa" w:w="80"/>
              <w:right w:type="dxa" w:w="120"/>
            </w:tcMar>
          </w:tcPr>
          <w:p>
            <w:pPr>
              <w:spacing w:after="0"/>
            </w:pPr>
            <w:r>
              <w:rPr>
                <w:b w:val="false"/>
                <w:bCs w:val="false"/>
                <w:sz w:val="20"/>
                <w:szCs w:val="20"/>
              </w:rPr>
              <w:t xml:space="preserve">爭議事件、政治動員、制度轉向</w:t>
            </w:r>
          </w:p>
        </w:tc>
      </w:tr>
    </w:tbl>
    <w:p>
      <w:pPr>
        <w:spacing w:after="140" w:before="280"/>
      </w:pPr>
      <w:r>
        <w:rPr>
          <w:b/>
          <w:bCs/>
          <w:color w:val="1F4E79"/>
          <w:sz w:val="24"/>
          <w:szCs w:val="24"/>
        </w:rPr>
        <w:t xml:space="preserve">五、研究範圍與章節安排</w:t>
      </w:r>
    </w:p>
    <w:p>
      <w:pPr>
        <w:spacing w:after="160" w:line="320"/>
        <w:ind w:firstLine="431"/>
      </w:pPr>
      <w:r>
        <w:t xml:space="preserve">本文明確排除以下研究範圍：</w:t>
      </w:r>
    </w:p>
    <w:p>
      <w:pPr>
        <w:pStyle w:val="ListParagraph"/>
        <w:numPr>
          <w:ilvl w:val="0"/>
          <w:numId w:val="4"/>
        </w:numPr>
        <w:spacing w:after="100" w:line="276"/>
      </w:pPr>
      <w:r>
        <w:t xml:space="preserve">不重複 025／030 系列對 AI 輔助行政決策、行政裁量、人工覆核與責任分工的討論。</w:t>
      </w:r>
    </w:p>
    <w:p>
      <w:pPr>
        <w:pStyle w:val="ListParagraph"/>
        <w:numPr>
          <w:ilvl w:val="0"/>
          <w:numId w:val="4"/>
        </w:numPr>
        <w:spacing w:after="100" w:line="276"/>
      </w:pPr>
      <w:r>
        <w:t xml:space="preserve">不以演算法官僚課責為主要研究主題；演算法僅在涉及平台規則及公共效果時被納入分析。</w:t>
      </w:r>
    </w:p>
    <w:p>
      <w:pPr>
        <w:pStyle w:val="ListParagraph"/>
        <w:numPr>
          <w:ilvl w:val="0"/>
          <w:numId w:val="4"/>
        </w:numPr>
        <w:spacing w:after="100" w:line="276"/>
      </w:pPr>
      <w:r>
        <w:t xml:space="preserve">不將本文寫成一般性的社群媒體假訊息或內容治理研究。</w:t>
      </w:r>
    </w:p>
    <w:p>
      <w:pPr>
        <w:pStyle w:val="ListParagraph"/>
        <w:numPr>
          <w:ilvl w:val="0"/>
          <w:numId w:val="4"/>
        </w:numPr>
        <w:spacing w:after="100" w:line="276"/>
      </w:pPr>
      <w:r>
        <w:t xml:space="preserve">不提前處理 038 所關注的海底電纜、資料中心、能源、水資源與基地台等物質性基礎設施。</w:t>
      </w:r>
    </w:p>
    <w:p>
      <w:pPr>
        <w:spacing w:after="160" w:line="320"/>
        <w:ind w:firstLine="431"/>
      </w:pPr>
      <w:r>
        <w:t xml:space="preserve">本文聚焦於應用層與服務層的市場平台，以及其與國家治理能力之間的關係。</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00"/>
        <w:gridCol w:w="3400"/>
        <w:gridCol w:w="3400"/>
      </w:tblGrid>
      <w:tr>
        <w:tc>
          <w:tcPr>
            <w:tcW w:type="dxa" w:w="2200"/>
            <w:shd w:fill="DEEAF6" w:val="clear"/>
            <w:tcMar>
              <w:top w:type="dxa" w:w="80"/>
              <w:left w:type="dxa" w:w="120"/>
              <w:bottom w:type="dxa" w:w="80"/>
              <w:right w:type="dxa" w:w="120"/>
            </w:tcMar>
          </w:tcPr>
          <w:p>
            <w:pPr>
              <w:spacing w:after="0"/>
            </w:pPr>
            <w:r>
              <w:rPr>
                <w:b/>
                <w:bCs/>
                <w:sz w:val="20"/>
                <w:szCs w:val="20"/>
              </w:rPr>
              <w:t xml:space="preserve">篇次</w:t>
            </w:r>
          </w:p>
        </w:tc>
        <w:tc>
          <w:tcPr>
            <w:tcW w:type="dxa" w:w="3400"/>
            <w:shd w:fill="DEEAF6" w:val="clear"/>
            <w:tcMar>
              <w:top w:type="dxa" w:w="80"/>
              <w:left w:type="dxa" w:w="120"/>
              <w:bottom w:type="dxa" w:w="80"/>
              <w:right w:type="dxa" w:w="120"/>
            </w:tcMar>
          </w:tcPr>
          <w:p>
            <w:pPr>
              <w:spacing w:after="0"/>
            </w:pPr>
            <w:r>
              <w:rPr>
                <w:b/>
                <w:bCs/>
                <w:sz w:val="20"/>
                <w:szCs w:val="20"/>
              </w:rPr>
              <w:t xml:space="preserve">研究焦點</w:t>
            </w:r>
          </w:p>
        </w:tc>
        <w:tc>
          <w:tcPr>
            <w:tcW w:type="dxa" w:w="3400"/>
            <w:shd w:fill="DEEAF6" w:val="clear"/>
            <w:tcMar>
              <w:top w:type="dxa" w:w="80"/>
              <w:left w:type="dxa" w:w="120"/>
              <w:bottom w:type="dxa" w:w="80"/>
              <w:right w:type="dxa" w:w="120"/>
            </w:tcMar>
          </w:tcPr>
          <w:p>
            <w:pPr>
              <w:spacing w:after="0"/>
            </w:pPr>
            <w:r>
              <w:rPr>
                <w:b/>
                <w:bCs/>
                <w:sz w:val="20"/>
                <w:szCs w:val="20"/>
              </w:rPr>
              <w:t xml:space="preserve">核心問題</w:t>
            </w:r>
          </w:p>
        </w:tc>
      </w:tr>
      <w:tr>
        <w:tc>
          <w:tcPr>
            <w:tcW w:type="dxa" w:w="2200"/>
            <w:tcMar>
              <w:top w:type="dxa" w:w="80"/>
              <w:left w:type="dxa" w:w="120"/>
              <w:bottom w:type="dxa" w:w="80"/>
              <w:right w:type="dxa" w:w="120"/>
            </w:tcMar>
          </w:tcPr>
          <w:p>
            <w:pPr>
              <w:spacing w:after="0"/>
            </w:pPr>
            <w:r>
              <w:rPr>
                <w:b w:val="false"/>
                <w:bCs w:val="false"/>
                <w:sz w:val="20"/>
                <w:szCs w:val="20"/>
              </w:rPr>
              <w:t xml:space="preserve">036</w:t>
            </w:r>
          </w:p>
        </w:tc>
        <w:tc>
          <w:tcPr>
            <w:tcW w:type="dxa" w:w="3400"/>
            <w:tcMar>
              <w:top w:type="dxa" w:w="80"/>
              <w:left w:type="dxa" w:w="120"/>
              <w:bottom w:type="dxa" w:w="80"/>
              <w:right w:type="dxa" w:w="120"/>
            </w:tcMar>
          </w:tcPr>
          <w:p>
            <w:pPr>
              <w:spacing w:after="0"/>
            </w:pPr>
            <w:r>
              <w:rPr>
                <w:b w:val="false"/>
                <w:bCs w:val="false"/>
                <w:sz w:val="20"/>
                <w:szCs w:val="20"/>
              </w:rPr>
              <w:t xml:space="preserve">資訊社會公共行政的重新定位</w:t>
            </w:r>
          </w:p>
        </w:tc>
        <w:tc>
          <w:tcPr>
            <w:tcW w:type="dxa" w:w="3400"/>
            <w:tcMar>
              <w:top w:type="dxa" w:w="80"/>
              <w:left w:type="dxa" w:w="120"/>
              <w:bottom w:type="dxa" w:w="80"/>
              <w:right w:type="dxa" w:w="120"/>
            </w:tcMar>
          </w:tcPr>
          <w:p>
            <w:pPr>
              <w:spacing w:after="0"/>
            </w:pPr>
            <w:r>
              <w:rPr>
                <w:b w:val="false"/>
                <w:bCs w:val="false"/>
                <w:sz w:val="20"/>
                <w:szCs w:val="20"/>
              </w:rPr>
              <w:t xml:space="preserve">技術透過何種制度中介重新配置公共權力？</w:t>
            </w:r>
          </w:p>
        </w:tc>
      </w:tr>
      <w:tr>
        <w:tc>
          <w:tcPr>
            <w:tcW w:type="dxa" w:w="2200"/>
            <w:tcMar>
              <w:top w:type="dxa" w:w="80"/>
              <w:left w:type="dxa" w:w="120"/>
              <w:bottom w:type="dxa" w:w="80"/>
              <w:right w:type="dxa" w:w="120"/>
            </w:tcMar>
          </w:tcPr>
          <w:p>
            <w:pPr>
              <w:spacing w:after="0"/>
            </w:pPr>
            <w:r>
              <w:rPr>
                <w:b w:val="false"/>
                <w:bCs w:val="false"/>
                <w:sz w:val="20"/>
                <w:szCs w:val="20"/>
              </w:rPr>
              <w:t xml:space="preserve">037</w:t>
            </w:r>
          </w:p>
        </w:tc>
        <w:tc>
          <w:tcPr>
            <w:tcW w:type="dxa" w:w="3400"/>
            <w:tcMar>
              <w:top w:type="dxa" w:w="80"/>
              <w:left w:type="dxa" w:w="120"/>
              <w:bottom w:type="dxa" w:w="80"/>
              <w:right w:type="dxa" w:w="120"/>
            </w:tcMar>
          </w:tcPr>
          <w:p>
            <w:pPr>
              <w:spacing w:after="0"/>
            </w:pPr>
            <w:r>
              <w:rPr>
                <w:b w:val="false"/>
                <w:bCs w:val="false"/>
                <w:sz w:val="20"/>
                <w:szCs w:val="20"/>
              </w:rPr>
              <w:t xml:space="preserve">市場平台與準公共基礎設施</w:t>
            </w:r>
          </w:p>
        </w:tc>
        <w:tc>
          <w:tcPr>
            <w:tcW w:type="dxa" w:w="3400"/>
            <w:tcMar>
              <w:top w:type="dxa" w:w="80"/>
              <w:left w:type="dxa" w:w="120"/>
              <w:bottom w:type="dxa" w:w="80"/>
              <w:right w:type="dxa" w:w="120"/>
            </w:tcMar>
          </w:tcPr>
          <w:p>
            <w:pPr>
              <w:spacing w:after="0"/>
            </w:pPr>
            <w:r>
              <w:rPr>
                <w:b w:val="false"/>
                <w:bCs w:val="false"/>
                <w:sz w:val="20"/>
                <w:szCs w:val="20"/>
              </w:rPr>
              <w:t xml:space="preserve">私人平台何時開始具有公共治理效果？</w:t>
            </w:r>
          </w:p>
        </w:tc>
      </w:tr>
      <w:tr>
        <w:tc>
          <w:tcPr>
            <w:tcW w:type="dxa" w:w="2200"/>
            <w:tcMar>
              <w:top w:type="dxa" w:w="80"/>
              <w:left w:type="dxa" w:w="120"/>
              <w:bottom w:type="dxa" w:w="80"/>
              <w:right w:type="dxa" w:w="120"/>
            </w:tcMar>
          </w:tcPr>
          <w:p>
            <w:pPr>
              <w:spacing w:after="0"/>
            </w:pPr>
            <w:r>
              <w:rPr>
                <w:b w:val="false"/>
                <w:bCs w:val="false"/>
                <w:sz w:val="20"/>
                <w:szCs w:val="20"/>
              </w:rPr>
              <w:t xml:space="preserve">038</w:t>
            </w:r>
          </w:p>
        </w:tc>
        <w:tc>
          <w:tcPr>
            <w:tcW w:type="dxa" w:w="3400"/>
            <w:tcMar>
              <w:top w:type="dxa" w:w="80"/>
              <w:left w:type="dxa" w:w="120"/>
              <w:bottom w:type="dxa" w:w="80"/>
              <w:right w:type="dxa" w:w="120"/>
            </w:tcMar>
          </w:tcPr>
          <w:p>
            <w:pPr>
              <w:spacing w:after="0"/>
            </w:pPr>
            <w:r>
              <w:rPr>
                <w:b w:val="false"/>
                <w:bCs w:val="false"/>
                <w:sz w:val="20"/>
                <w:szCs w:val="20"/>
              </w:rPr>
              <w:t xml:space="preserve">運算基礎設施與環境治理</w:t>
            </w:r>
          </w:p>
        </w:tc>
        <w:tc>
          <w:tcPr>
            <w:tcW w:type="dxa" w:w="3400"/>
            <w:tcMar>
              <w:top w:type="dxa" w:w="80"/>
              <w:left w:type="dxa" w:w="120"/>
              <w:bottom w:type="dxa" w:w="80"/>
              <w:right w:type="dxa" w:w="120"/>
            </w:tcMar>
          </w:tcPr>
          <w:p>
            <w:pPr>
              <w:spacing w:after="0"/>
            </w:pPr>
            <w:r>
              <w:rPr>
                <w:b w:val="false"/>
                <w:bCs w:val="false"/>
                <w:sz w:val="20"/>
                <w:szCs w:val="20"/>
              </w:rPr>
              <w:t xml:space="preserve">誰控制支撐數位治理存在的物質條件？</w:t>
            </w:r>
          </w:p>
        </w:tc>
      </w:tr>
    </w:tbl>
    <w:p>
      <w:pPr>
        <w:spacing w:after="160" w:line="320"/>
        <w:ind w:firstLine="431"/>
      </w:pPr>
      <w:r>
        <w:t xml:space="preserve">037 的任務，是將 036 所提出的平台集中與規制型國家問題，轉化為可操作的「準公共基礎設施」制度分析。原大綱亦將 037 定位為 036 的第一篇延續研究，並與 038 形成由市場平台向物質性運算基礎設施推進的研究序列。</w:t>
      </w:r>
    </w:p>
    <w:p>
      <w:pPr>
        <w:spacing w:after="160" w:line="320"/>
        <w:ind w:firstLine="431"/>
      </w:pPr>
      <w:r>
        <w:t xml:space="preserve">在章節安排上，貳章回顧支撐本文分析架構的三條文獻脈絡並建構四條治理鏈；參章將「準公共基礎設施」操作化為六項判定座標與分級判斷模型；肆章分析規制型國家面對準公共平台的結構性能力落差；伍章比較歐盟、美國、臺灣三種制度回應模式；陸章以臺灣《數位中介服務法》草案為核心，進行臺灣個案研究；柒章提出對應四條治理鏈的制度設計建議；捌章總結研究發現、理論貢獻、政策意涵與研究限制。</w:t>
      </w:r>
    </w:p>
    <w:p>
      <w:pPr>
        <w:pStyle w:val="Heading1"/>
        <w:pageBreakBefore/>
        <w:spacing w:after="200" w:before="420"/>
      </w:pPr>
      <w:r>
        <w:t xml:space="preserve">貳、文獻回顧與理論框架</w:t>
      </w:r>
    </w:p>
    <w:p>
      <w:pPr>
        <w:spacing w:after="160" w:line="320"/>
        <w:ind w:firstLine="431"/>
      </w:pPr>
      <w:r>
        <w:t xml:space="preserve">本文的分析工具隱含地站在三條原本互不交叉的文獻脈絡交會處：公共行政課責理論、平台內容治理研究、資訊基礎設施與公共事業管制理論。三條脈絡各自成熟，但彼此少有對話——課責理論很少處理私人平台；平台治理研究較少採取公共行政的國家能力視角，多半停留在言論自由或公司治理層次；資訊基礎設施理論則多半停在概念定性，較少發展成可操作的判準與跨國制度比較。本文的位置，正是把三條脈絡收進同一個分析框架：用課責理論的『鏈』結構去診斷平台治理研究所指出的公共效果，再以基礎設施理論的判準決定何時應該啟動這套診斷。</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800"/>
        <w:gridCol w:w="2600"/>
        <w:gridCol w:w="2800"/>
        <w:gridCol w:w="2800"/>
      </w:tblGrid>
      <w:tr>
        <w:tc>
          <w:tcPr>
            <w:tcW w:type="dxa" w:w="1800"/>
            <w:shd w:fill="DEEAF6" w:val="clear"/>
            <w:tcMar>
              <w:top w:type="dxa" w:w="80"/>
              <w:left w:type="dxa" w:w="120"/>
              <w:bottom w:type="dxa" w:w="80"/>
              <w:right w:type="dxa" w:w="120"/>
            </w:tcMar>
          </w:tcPr>
          <w:p>
            <w:pPr>
              <w:spacing w:after="0"/>
            </w:pPr>
            <w:r>
              <w:rPr>
                <w:b/>
                <w:bCs/>
                <w:sz w:val="20"/>
                <w:szCs w:val="20"/>
              </w:rPr>
              <w:t xml:space="preserve">脈絡</w:t>
            </w:r>
          </w:p>
        </w:tc>
        <w:tc>
          <w:tcPr>
            <w:tcW w:type="dxa" w:w="2600"/>
            <w:shd w:fill="DEEAF6" w:val="clear"/>
            <w:tcMar>
              <w:top w:type="dxa" w:w="80"/>
              <w:left w:type="dxa" w:w="120"/>
              <w:bottom w:type="dxa" w:w="80"/>
              <w:right w:type="dxa" w:w="120"/>
            </w:tcMar>
          </w:tcPr>
          <w:p>
            <w:pPr>
              <w:spacing w:after="0"/>
            </w:pPr>
            <w:r>
              <w:rPr>
                <w:b/>
                <w:bCs/>
                <w:sz w:val="20"/>
                <w:szCs w:val="20"/>
              </w:rPr>
              <w:t xml:space="preserve">代表文獻</w:t>
            </w:r>
          </w:p>
        </w:tc>
        <w:tc>
          <w:tcPr>
            <w:tcW w:type="dxa" w:w="2800"/>
            <w:shd w:fill="DEEAF6" w:val="clear"/>
            <w:tcMar>
              <w:top w:type="dxa" w:w="80"/>
              <w:left w:type="dxa" w:w="120"/>
              <w:bottom w:type="dxa" w:w="80"/>
              <w:right w:type="dxa" w:w="120"/>
            </w:tcMar>
          </w:tcPr>
          <w:p>
            <w:pPr>
              <w:spacing w:after="0"/>
            </w:pPr>
            <w:r>
              <w:rPr>
                <w:b/>
                <w:bCs/>
                <w:sz w:val="20"/>
                <w:szCs w:val="20"/>
              </w:rPr>
              <w:t xml:space="preserve">核心關懷</w:t>
            </w:r>
          </w:p>
        </w:tc>
        <w:tc>
          <w:tcPr>
            <w:tcW w:type="dxa" w:w="2800"/>
            <w:shd w:fill="DEEAF6" w:val="clear"/>
            <w:tcMar>
              <w:top w:type="dxa" w:w="80"/>
              <w:left w:type="dxa" w:w="120"/>
              <w:bottom w:type="dxa" w:w="80"/>
              <w:right w:type="dxa" w:w="120"/>
            </w:tcMar>
          </w:tcPr>
          <w:p>
            <w:pPr>
              <w:spacing w:after="0"/>
            </w:pPr>
            <w:r>
              <w:rPr>
                <w:b/>
                <w:bCs/>
                <w:sz w:val="20"/>
                <w:szCs w:val="20"/>
              </w:rPr>
              <w:t xml:space="preserve">對本文的作用</w:t>
            </w:r>
          </w:p>
        </w:tc>
      </w:tr>
      <w:tr>
        <w:tc>
          <w:tcPr>
            <w:tcW w:type="dxa" w:w="1800"/>
            <w:tcMar>
              <w:top w:type="dxa" w:w="80"/>
              <w:left w:type="dxa" w:w="120"/>
              <w:bottom w:type="dxa" w:w="80"/>
              <w:right w:type="dxa" w:w="120"/>
            </w:tcMar>
          </w:tcPr>
          <w:p>
            <w:pPr>
              <w:spacing w:after="0"/>
            </w:pPr>
            <w:r>
              <w:rPr>
                <w:b w:val="false"/>
                <w:bCs w:val="false"/>
                <w:sz w:val="20"/>
                <w:szCs w:val="20"/>
              </w:rPr>
              <w:t xml:space="preserve">(A) 公共行政課責理論</w:t>
            </w:r>
          </w:p>
        </w:tc>
        <w:tc>
          <w:tcPr>
            <w:tcW w:type="dxa" w:w="2600"/>
            <w:tcMar>
              <w:top w:type="dxa" w:w="80"/>
              <w:left w:type="dxa" w:w="120"/>
              <w:bottom w:type="dxa" w:w="80"/>
              <w:right w:type="dxa" w:w="120"/>
            </w:tcMar>
          </w:tcPr>
          <w:p>
            <w:pPr>
              <w:spacing w:after="0"/>
            </w:pPr>
            <w:r>
              <w:rPr>
                <w:b w:val="false"/>
                <w:bCs w:val="false"/>
                <w:sz w:val="20"/>
                <w:szCs w:val="20"/>
              </w:rPr>
              <w:t xml:space="preserve">Romzek &amp; Dubnick（1987）；Bovens（2007）；Mashaw（2018）</w:t>
            </w:r>
          </w:p>
        </w:tc>
        <w:tc>
          <w:tcPr>
            <w:tcW w:type="dxa" w:w="2800"/>
            <w:tcMar>
              <w:top w:type="dxa" w:w="80"/>
              <w:left w:type="dxa" w:w="120"/>
              <w:bottom w:type="dxa" w:w="80"/>
              <w:right w:type="dxa" w:w="120"/>
            </w:tcMar>
          </w:tcPr>
          <w:p>
            <w:pPr>
              <w:spacing w:after="0"/>
            </w:pPr>
            <w:r>
              <w:rPr>
                <w:b w:val="false"/>
                <w:bCs w:val="false"/>
                <w:sz w:val="20"/>
                <w:szCs w:val="20"/>
              </w:rPr>
              <w:t xml:space="preserve">政府機關內部／對外的課責機制如何運作、如何分類</w:t>
            </w:r>
          </w:p>
        </w:tc>
        <w:tc>
          <w:tcPr>
            <w:tcW w:type="dxa" w:w="2800"/>
            <w:tcMar>
              <w:top w:type="dxa" w:w="80"/>
              <w:left w:type="dxa" w:w="120"/>
              <w:bottom w:type="dxa" w:w="80"/>
              <w:right w:type="dxa" w:w="120"/>
            </w:tcMar>
          </w:tcPr>
          <w:p>
            <w:pPr>
              <w:spacing w:after="0"/>
            </w:pPr>
            <w:r>
              <w:rPr>
                <w:b w:val="false"/>
                <w:bCs w:val="false"/>
                <w:sz w:val="20"/>
                <w:szCs w:val="20"/>
              </w:rPr>
              <w:t xml:space="preserve">提供「課責鏈」「負責鏈」「透明鏈」概念的公共行政理論根據</w:t>
            </w:r>
          </w:p>
        </w:tc>
      </w:tr>
      <w:tr>
        <w:tc>
          <w:tcPr>
            <w:tcW w:type="dxa" w:w="1800"/>
            <w:tcMar>
              <w:top w:type="dxa" w:w="80"/>
              <w:left w:type="dxa" w:w="120"/>
              <w:bottom w:type="dxa" w:w="80"/>
              <w:right w:type="dxa" w:w="120"/>
            </w:tcMar>
          </w:tcPr>
          <w:p>
            <w:pPr>
              <w:spacing w:after="0"/>
            </w:pPr>
            <w:r>
              <w:rPr>
                <w:b w:val="false"/>
                <w:bCs w:val="false"/>
                <w:sz w:val="20"/>
                <w:szCs w:val="20"/>
              </w:rPr>
              <w:t xml:space="preserve">(B) 平台內容治理研究</w:t>
            </w:r>
          </w:p>
        </w:tc>
        <w:tc>
          <w:tcPr>
            <w:tcW w:type="dxa" w:w="2600"/>
            <w:tcMar>
              <w:top w:type="dxa" w:w="80"/>
              <w:left w:type="dxa" w:w="120"/>
              <w:bottom w:type="dxa" w:w="80"/>
              <w:right w:type="dxa" w:w="120"/>
            </w:tcMar>
          </w:tcPr>
          <w:p>
            <w:pPr>
              <w:spacing w:after="0"/>
            </w:pPr>
            <w:r>
              <w:rPr>
                <w:b w:val="false"/>
                <w:bCs w:val="false"/>
                <w:sz w:val="20"/>
                <w:szCs w:val="20"/>
              </w:rPr>
              <w:t xml:space="preserve">Klonick（2018）；Gillespie（2018）；Suzor（2019）；Gorwa（2019）；Douek（2022）</w:t>
            </w:r>
          </w:p>
        </w:tc>
        <w:tc>
          <w:tcPr>
            <w:tcW w:type="dxa" w:w="2800"/>
            <w:tcMar>
              <w:top w:type="dxa" w:w="80"/>
              <w:left w:type="dxa" w:w="120"/>
              <w:bottom w:type="dxa" w:w="80"/>
              <w:right w:type="dxa" w:w="120"/>
            </w:tcMar>
          </w:tcPr>
          <w:p>
            <w:pPr>
              <w:spacing w:after="0"/>
            </w:pPr>
            <w:r>
              <w:rPr>
                <w:b w:val="false"/>
                <w:bCs w:val="false"/>
                <w:sz w:val="20"/>
                <w:szCs w:val="20"/>
              </w:rPr>
              <w:t xml:space="preserve">私人平台如何實質扮演言論規則制定者與執行者的角色</w:t>
            </w:r>
          </w:p>
        </w:tc>
        <w:tc>
          <w:tcPr>
            <w:tcW w:type="dxa" w:w="2800"/>
            <w:tcMar>
              <w:top w:type="dxa" w:w="80"/>
              <w:left w:type="dxa" w:w="120"/>
              <w:bottom w:type="dxa" w:w="80"/>
              <w:right w:type="dxa" w:w="120"/>
            </w:tcMar>
          </w:tcPr>
          <w:p>
            <w:pPr>
              <w:spacing w:after="0"/>
            </w:pPr>
            <w:r>
              <w:rPr>
                <w:b w:val="false"/>
                <w:bCs w:val="false"/>
                <w:sz w:val="20"/>
                <w:szCs w:val="20"/>
              </w:rPr>
              <w:t xml:space="preserve">提供「公正鏈」的規範依據，以及國家—平台—使用者三方關係的分析架構</w:t>
            </w:r>
          </w:p>
        </w:tc>
      </w:tr>
      <w:tr>
        <w:tc>
          <w:tcPr>
            <w:tcW w:type="dxa" w:w="1800"/>
            <w:tcMar>
              <w:top w:type="dxa" w:w="80"/>
              <w:left w:type="dxa" w:w="120"/>
              <w:bottom w:type="dxa" w:w="80"/>
              <w:right w:type="dxa" w:w="120"/>
            </w:tcMar>
          </w:tcPr>
          <w:p>
            <w:pPr>
              <w:spacing w:after="0"/>
            </w:pPr>
            <w:r>
              <w:rPr>
                <w:b w:val="false"/>
                <w:bCs w:val="false"/>
                <w:sz w:val="20"/>
                <w:szCs w:val="20"/>
              </w:rPr>
              <w:t xml:space="preserve">(C) 資訊基礎設施／公共事業管制理論</w:t>
            </w:r>
          </w:p>
        </w:tc>
        <w:tc>
          <w:tcPr>
            <w:tcW w:type="dxa" w:w="2600"/>
            <w:tcMar>
              <w:top w:type="dxa" w:w="80"/>
              <w:left w:type="dxa" w:w="120"/>
              <w:bottom w:type="dxa" w:w="80"/>
              <w:right w:type="dxa" w:w="120"/>
            </w:tcMar>
          </w:tcPr>
          <w:p>
            <w:pPr>
              <w:spacing w:after="0"/>
            </w:pPr>
            <w:r>
              <w:rPr>
                <w:b w:val="false"/>
                <w:bCs w:val="false"/>
                <w:sz w:val="20"/>
                <w:szCs w:val="20"/>
              </w:rPr>
              <w:t xml:space="preserve">Frischmann（2012）；Plantin 等人（2018）；Rahman（2018）；van Dijck 等人（2018）</w:t>
            </w:r>
          </w:p>
        </w:tc>
        <w:tc>
          <w:tcPr>
            <w:tcW w:type="dxa" w:w="2800"/>
            <w:tcMar>
              <w:top w:type="dxa" w:w="80"/>
              <w:left w:type="dxa" w:w="120"/>
              <w:bottom w:type="dxa" w:w="80"/>
              <w:right w:type="dxa" w:w="120"/>
            </w:tcMar>
          </w:tcPr>
          <w:p>
            <w:pPr>
              <w:spacing w:after="0"/>
            </w:pPr>
            <w:r>
              <w:rPr>
                <w:b w:val="false"/>
                <w:bCs w:val="false"/>
                <w:sz w:val="20"/>
                <w:szCs w:val="20"/>
              </w:rPr>
              <w:t xml:space="preserve">平台是否已具備基礎設施性質、是否應受公共事業式管制</w:t>
            </w:r>
          </w:p>
        </w:tc>
        <w:tc>
          <w:tcPr>
            <w:tcW w:type="dxa" w:w="2800"/>
            <w:tcMar>
              <w:top w:type="dxa" w:w="80"/>
              <w:left w:type="dxa" w:w="120"/>
              <w:bottom w:type="dxa" w:w="80"/>
              <w:right w:type="dxa" w:w="120"/>
            </w:tcMar>
          </w:tcPr>
          <w:p>
            <w:pPr>
              <w:spacing w:after="0"/>
            </w:pPr>
            <w:r>
              <w:rPr>
                <w:b w:val="false"/>
                <w:bCs w:val="false"/>
                <w:sz w:val="20"/>
                <w:szCs w:val="20"/>
              </w:rPr>
              <w:t xml:space="preserve">提供「準公共基礎設施」概念最直接的理論來源</w:t>
            </w:r>
          </w:p>
        </w:tc>
      </w:tr>
    </w:tbl>
    <w:p>
      <w:pPr>
        <w:spacing w:after="140" w:before="280"/>
      </w:pPr>
      <w:r>
        <w:rPr>
          <w:b/>
          <w:bCs/>
          <w:color w:val="1F4E79"/>
          <w:sz w:val="24"/>
          <w:szCs w:val="24"/>
        </w:rPr>
        <w:t xml:space="preserve">一、平台權力與平台化</w:t>
      </w:r>
    </w:p>
    <w:p>
      <w:pPr>
        <w:spacing w:after="160" w:line="320"/>
        <w:ind w:firstLine="431"/>
      </w:pPr>
      <w:r>
        <w:t xml:space="preserve">早期資訊社會理論，包括 Cleveland 等人所代表的樂觀論述，曾預期資訊技術的普及與資料流動能夠弱化傳統官僚體系的層級節制，推動權力下放、去中心化及分散式民主治理。然而，過去數十年的發展顯示，資訊流通的增加並不必然導向權力分散。相反地，平台資本主義透過網絡效應、資料累積、使用者鎖定、資本整合及演算法中介，將資訊節點、流量入口與規則形成能力重新集中於少數跨國科技企業。因此，本文的理論起點不是「資訊技術是否促成民主化」，而是進一步追問：為何資訊擴散可能與平台權力集中同時發生？本文認為，資訊技術並未消除權力集中，而是將權力集中轉化為以平台為中心的私有化控制。平台不僅提供服務，也掌握資訊流量、可見性排序、使用者存取權及私人規則形成能力。</w:t>
      </w:r>
    </w:p>
    <w:p>
      <w:pPr>
        <w:spacing w:after="100" w:before="200"/>
      </w:pPr>
      <w:r>
        <w:rPr>
          <w:b/>
          <w:bCs/>
          <w:sz w:val="22"/>
          <w:szCs w:val="22"/>
        </w:rPr>
        <w:t xml:space="preserve">（一）平台內容治理研究的補充視角</w:t>
      </w:r>
    </w:p>
    <w:p>
      <w:pPr>
        <w:spacing w:after="160" w:line="320"/>
        <w:ind w:firstLine="431"/>
      </w:pPr>
      <w:r>
        <w:t xml:space="preserve">Klonick（2018）指出大型平台已發展出類似司法／準政府的內部治理系統（規則制定、案件審查、上訴機制），實質上扮演言論的『新治理者』；Gillespie（2018）進一步主張內容審核不是平台的附加功能，而是平台商業模式與存在方式的核心構成部分，平台的『中立』自我定位本身就是一種治理姿態。Suzor（2019）則主張平台的私人治理系統缺乏『法治』的基本要素——可預見性、一致性、參與、可問責——並呼籲把法治原則的精神引入平台治理，這組主張與本文柒章『公正鏈的制度補強』（通知、理由說明、申訴、人工覆核）幾乎逐條對應。Gorwa（2019）提出『平台治理三角』，指出國家、平台、公民社會（含研究者、使用者、媒體）三方在非正式規則形成過程中彼此制衡、協商；Douek（2022）則主張評估平台治理不應聚焦於個別內容決定是否『對錯』，而應評估平台的『系統』——風險評估流程、政策制定機制、申訴管道是否健全，此一系統思維後來也體現在歐盟 DSA 的系統性風險評估制度中，為本文課責鏈中『要求平台提交重大演算法、資料及服務變更的風險報告』等建議提供了理論依據。</w:t>
      </w:r>
    </w:p>
    <w:p>
      <w:pPr>
        <w:spacing w:after="160" w:line="320"/>
        <w:ind w:firstLine="431"/>
      </w:pPr>
      <w:r>
        <w:t xml:space="preserve">這一群文獻的重點多半在描述平台『已經是什麼』，或倡議去國家中心的全球性治理方案；本文的重點則在於平台『應該對誰負責、如何被要求負責』，並把同樣的規範性訴求鑲回『規制型國家的制度邊界』——強調即使平台建立內部程序正義機制，國家仍需保留外部監督與最終介入能力。</w:t>
      </w:r>
    </w:p>
    <w:p>
      <w:pPr>
        <w:spacing w:after="140" w:before="280"/>
      </w:pPr>
      <w:r>
        <w:rPr>
          <w:b/>
          <w:bCs/>
          <w:color w:val="1F4E79"/>
          <w:sz w:val="24"/>
          <w:szCs w:val="24"/>
        </w:rPr>
        <w:t xml:space="preserve">二、基礎設施化與新公共事業</w:t>
      </w:r>
    </w:p>
    <w:p>
      <w:pPr>
        <w:spacing w:after="160" w:line="320"/>
        <w:ind w:firstLine="431"/>
      </w:pPr>
      <w:r>
        <w:t xml:space="preserve">Frischmann（2012）提出一套『基礎設施經濟學』：某些資源因為能產生大量正外部性、支撐下游多元用途，適合以共享／管制邏輯治理，而非單純交由市場定價，為本文『準公共基礎設施』一詞提供最根本的理論起點。Plantin、Lagoze、Edwards 與 Sandvig（2018）提出『基礎設施化』（infrastructuralization）概念，指出原本作為商業產品的平台，透過規模擴張、不可或缺性與跨系統依賴，逐漸取得基礎設施的隱形性、必經節點性與路徑依賴特徵，同時又保留私人平台的可程式化與資本邏輯——這幾乎是本文標題『從私人平台到準公共基礎設施』最直接對應的既有文獻。van Dijck、Poell 與 de Waal（2018）則系統性檢視教育、新聞、交通、健康等多個部門的『平台化』過程，指出平台的私人邏輯與各部門原有的公共價值之間存在結構性張力，支撐本文六項判定座標中『公共價值影響力』的理論基礎。</w:t>
      </w:r>
    </w:p>
    <w:p>
      <w:pPr>
        <w:spacing w:after="160" w:line="320"/>
        <w:ind w:firstLine="431"/>
      </w:pPr>
      <w:r>
        <w:t xml:space="preserve">與本文『準公共基礎設施』概念最接近、也最容易被拿來比較的既有理論，是 Rahman（2018）的『新公共事業』說：具有網絡效應、守門人地位的網路平台，功能上等同於傳統公共事業（電力、電信），應比照公共事業管制原則（不歧視、互通、基本服務義務）進行規制。本文與 Rahman 的關鍵差異在於：Rahman 的公共事業模式較偏向美國行政法傳統中『分類後套用一組固定義務』；本文的『平台國家化治理』則強調以六項座標做動態、分級的組合判斷，核心訴求是『國家保留理解、監督、介入、替代、退場的能力』，而非要求平台承擔公共事業式的固定法定義務。這個差異——『能力保留』相對於『固定義務套用』——正是本文在捌章結論『平台國家化不是平台國有化』所要凸顯的理論立場。</w:t>
      </w:r>
    </w:p>
    <w:p>
      <w:pPr>
        <w:spacing w:after="140" w:before="280"/>
      </w:pPr>
      <w:r>
        <w:rPr>
          <w:b/>
          <w:bCs/>
          <w:color w:val="1F4E79"/>
          <w:sz w:val="24"/>
          <w:szCs w:val="24"/>
        </w:rPr>
        <w:t xml:space="preserve">三、公共行政課責與國家能力</w:t>
      </w:r>
    </w:p>
    <w:p>
      <w:pPr>
        <w:spacing w:after="160" w:line="320"/>
        <w:ind w:firstLine="431"/>
      </w:pPr>
      <w:r>
        <w:t xml:space="preserve">Romzek 與 Dubnick（1987）以太空梭挑戰者號事件為例，提出官僚、法律、專業、政治四種課責類型，指出不同課責機制在制度壓力下可能互相取代、甚至互相掩蓋失靈——這篇經典文獻說明了課責機制的選擇本身是政治過程，而非單純的法律設計問題。Bovens（2007）進一步把課責定義為一種『關係』：行為者有義務向某個論壇說明、解釋其行為，論壇可以提問、判斷並附帶後果，並區分課責的『安排』（是否存在課責機制）與『美德』（行為者是否確實負責任地行事）。這組『行為者—論壇—後果』的三段式結構，正是本文「課責鏈」概念最直接的理論依據。Mashaw（2018）則主張行政正當性很大部分來自『說理』（reason-giving），機關必須能對其決定提出可受檢驗的理由，這本身就是課責與正當性的來源，為本文「透明鏈」與「公正鏈」的制度設計提供理論依據。</w:t>
      </w:r>
    </w:p>
    <w:p>
      <w:pPr>
        <w:spacing w:after="160" w:line="320"/>
        <w:ind w:firstLine="431"/>
      </w:pPr>
      <w:r>
        <w:t xml:space="preserve">既有課責理論處理的仍是公部門與半公部門組織之間的關係；本文的貢獻，在於把這套『行為者—論壇—後果』的關係結構套用到私人平台，並指出當『論壇』（國家）缺乏資訊與跨境執法能力時，課責關係本身可能無法成立——這是既有課責理論較少處理的情境，也是本文把課責理論從『政府內部失靈』延伸到『政府對私人平台的課責』的核心工作。</w:t>
      </w:r>
    </w:p>
    <w:p>
      <w:pPr>
        <w:spacing w:after="100" w:before="200"/>
      </w:pPr>
      <w:r>
        <w:rPr>
          <w:b/>
          <w:bCs/>
          <w:sz w:val="22"/>
          <w:szCs w:val="22"/>
        </w:rPr>
        <w:t xml:space="preserve">（一）資訊受託人理論的取捨</w:t>
      </w:r>
    </w:p>
    <w:p>
      <w:pPr>
        <w:spacing w:after="160" w:line="320"/>
        <w:ind w:firstLine="431"/>
      </w:pPr>
      <w:r>
        <w:t xml:space="preserve">學界曾嘗試以私法上的信賴關係處理平台責任問題：Balkin（2016；2020）主張平台因掌握使用者高度信任與資訊不對稱優勢，應比照醫師、律師等『受託人』，承擔對使用者的忠實與注意義務。然而 Khan 與 Pozen（2019）對此提出重要批評，指出受託人框架假設平台與使用者利益可以透過忠實義務調和，卻忽略了平台的市場支配力本身才是問題核心，受託人框架反而可能讓平台的市場地位『正當化』。這個批評支持本文的立場選擇：本文『負責鏈』採取的是公法／管制途徑（在地代理人、連帶責任、市場准入條件），而非私法受託人途徑，正是為了避免把平台的市場支配力問題化約為使用者個人信賴關係的問題。</w:t>
      </w:r>
    </w:p>
    <w:p>
      <w:pPr>
        <w:spacing w:after="100" w:before="200"/>
      </w:pPr>
      <w:r>
        <w:rPr>
          <w:b/>
          <w:bCs/>
          <w:sz w:val="22"/>
          <w:szCs w:val="22"/>
        </w:rPr>
        <w:t xml:space="preserve">（二）規制型國家理論</w:t>
      </w:r>
    </w:p>
    <w:p>
      <w:pPr>
        <w:spacing w:after="160" w:line="320"/>
        <w:ind w:firstLine="431"/>
      </w:pPr>
      <w:r>
        <w:t xml:space="preserve">Majone（1994）指出，現代國家已由『積極干預的福利國家』轉向『以規則為中心的規制型國家』，其正當性來自專業化、獨立性與程序正當性，而非直接掌握資源；此一理論為本文『規制型國家』一詞提供明確的學理依據——當國家面對準公共平台時，其角色並非重新取得所有權，而是以規則制定、監督與執法能力行使治理。</w:t>
      </w:r>
    </w:p>
    <w:p>
      <w:pPr>
        <w:spacing w:after="160" w:line="320"/>
        <w:ind w:firstLine="431"/>
      </w:pPr>
      <w:r>
        <w:t xml:space="preserve">Levi-Faur（2011）進一步指出，規制型國家的能力並非均質，而是依產業、技術與政治情境而異；Moran（2003）則提醒，規制型國家本身亦可能出現『規制失靈』與『制度僵化』。這組文獻支持本文肆章『國家能力落差』與陸章『監理機關失能』之分析：國家能力不是既定前提，而是需要被檢視、甚至可能斷裂的變數。</w:t>
      </w:r>
    </w:p>
    <w:p>
      <w:pPr>
        <w:spacing w:after="140" w:before="280"/>
      </w:pPr>
      <w:r>
        <w:rPr>
          <w:b/>
          <w:bCs/>
          <w:color w:val="1F4E79"/>
          <w:sz w:val="24"/>
          <w:szCs w:val="24"/>
        </w:rPr>
        <w:t xml:space="preserve">四、四個制度維度的建構</w:t>
      </w:r>
    </w:p>
    <w:p>
      <w:pPr>
        <w:spacing w:after="160" w:line="320"/>
        <w:ind w:firstLine="431"/>
      </w:pPr>
      <w:r>
        <w:t xml:space="preserve">本文以「四條治理鏈」作為連結公共行政課責理論與 governance chains 的主要分析工具，其定義分別呼應 Romzek 與 Dubnick（1987）的課責類型分類、Bovens（2007）的「行為者—論壇—後果」關係結構，以及 Mashaw（2018）的說理課責命題：課責鏈（Accountability Chain）、負責鏈（Responsibility Chain）、透明鏈（Transparency Chain）、公正鏈（Fairness Chain）。四條治理鏈並非四個彼此孤立、亦非四個同構的因果機制，而是四個制度分析維度，用來診斷平台公共化後，公共權力如何被分散、遮蔽或重新配置。</w:t>
      </w:r>
    </w:p>
    <w:tbl>
      <w:tblPr>
        <w:tblW w:type="dxa" w:w="10400"/>
        <w:tblBorders>
          <w:top w:val="single" w:color="auto" w:sz="4"/>
          <w:left w:val="single" w:color="auto" w:sz="4"/>
          <w:bottom w:val="single" w:color="auto" w:sz="4"/>
          <w:right w:val="single" w:color="auto" w:sz="4"/>
          <w:insideH w:val="single" w:color="auto" w:sz="4"/>
          <w:insideV w:val="single" w:color="auto" w:sz="4"/>
        </w:tblBorders>
      </w:tblPr>
      <w:tblGrid>
        <w:gridCol w:w="1400"/>
        <w:gridCol w:w="2600"/>
        <w:gridCol w:w="3200"/>
        <w:gridCol w:w="3200"/>
      </w:tblGrid>
      <w:tr>
        <w:tc>
          <w:tcPr>
            <w:tcW w:type="dxa" w:w="1400"/>
            <w:shd w:fill="DEEAF6" w:val="clear"/>
            <w:tcMar>
              <w:top w:type="dxa" w:w="80"/>
              <w:left w:type="dxa" w:w="120"/>
              <w:bottom w:type="dxa" w:w="80"/>
              <w:right w:type="dxa" w:w="120"/>
            </w:tcMar>
          </w:tcPr>
          <w:p>
            <w:pPr>
              <w:spacing w:after="0"/>
            </w:pPr>
            <w:r>
              <w:rPr>
                <w:b/>
                <w:bCs/>
                <w:sz w:val="20"/>
                <w:szCs w:val="20"/>
              </w:rPr>
              <w:t xml:space="preserve">治理鏈</w:t>
            </w:r>
          </w:p>
        </w:tc>
        <w:tc>
          <w:tcPr>
            <w:tcW w:type="dxa" w:w="2600"/>
            <w:shd w:fill="DEEAF6" w:val="clear"/>
            <w:tcMar>
              <w:top w:type="dxa" w:w="80"/>
              <w:left w:type="dxa" w:w="120"/>
              <w:bottom w:type="dxa" w:w="80"/>
              <w:right w:type="dxa" w:w="120"/>
            </w:tcMar>
          </w:tcPr>
          <w:p>
            <w:pPr>
              <w:spacing w:after="0"/>
            </w:pPr>
            <w:r>
              <w:rPr>
                <w:b/>
                <w:bCs/>
                <w:sz w:val="20"/>
                <w:szCs w:val="20"/>
              </w:rPr>
              <w:t xml:space="preserve">分析核心</w:t>
            </w:r>
          </w:p>
        </w:tc>
        <w:tc>
          <w:tcPr>
            <w:tcW w:type="dxa" w:w="3200"/>
            <w:shd w:fill="DEEAF6" w:val="clear"/>
            <w:tcMar>
              <w:top w:type="dxa" w:w="80"/>
              <w:left w:type="dxa" w:w="120"/>
              <w:bottom w:type="dxa" w:w="80"/>
              <w:right w:type="dxa" w:w="120"/>
            </w:tcMar>
          </w:tcPr>
          <w:p>
            <w:pPr>
              <w:spacing w:after="0"/>
            </w:pPr>
            <w:r>
              <w:rPr>
                <w:b/>
                <w:bCs/>
                <w:sz w:val="20"/>
                <w:szCs w:val="20"/>
              </w:rPr>
              <w:t xml:space="preserve">平台造成的結構問題</w:t>
            </w:r>
          </w:p>
        </w:tc>
        <w:tc>
          <w:tcPr>
            <w:tcW w:type="dxa" w:w="3200"/>
            <w:shd w:fill="DEEAF6" w:val="clear"/>
            <w:tcMar>
              <w:top w:type="dxa" w:w="80"/>
              <w:left w:type="dxa" w:w="120"/>
              <w:bottom w:type="dxa" w:w="80"/>
              <w:right w:type="dxa" w:w="120"/>
            </w:tcMar>
          </w:tcPr>
          <w:p>
            <w:pPr>
              <w:spacing w:after="0"/>
            </w:pPr>
            <w:r>
              <w:rPr>
                <w:b/>
                <w:bCs/>
                <w:sz w:val="20"/>
                <w:szCs w:val="20"/>
              </w:rPr>
              <w:t xml:space="preserve">臺灣制度痛點</w:t>
            </w:r>
          </w:p>
        </w:tc>
      </w:tr>
      <w:tr>
        <w:tc>
          <w:tcPr>
            <w:tcW w:type="dxa" w:w="1400"/>
            <w:tcMar>
              <w:top w:type="dxa" w:w="80"/>
              <w:left w:type="dxa" w:w="120"/>
              <w:bottom w:type="dxa" w:w="80"/>
              <w:right w:type="dxa" w:w="120"/>
            </w:tcMar>
          </w:tcPr>
          <w:p>
            <w:pPr>
              <w:spacing w:after="0"/>
            </w:pPr>
            <w:r>
              <w:rPr>
                <w:b w:val="false"/>
                <w:bCs w:val="false"/>
                <w:sz w:val="20"/>
                <w:szCs w:val="20"/>
              </w:rPr>
              <w:t xml:space="preserve">課責鏈</w:t>
            </w:r>
          </w:p>
        </w:tc>
        <w:tc>
          <w:tcPr>
            <w:tcW w:type="dxa" w:w="2600"/>
            <w:tcMar>
              <w:top w:type="dxa" w:w="80"/>
              <w:left w:type="dxa" w:w="120"/>
              <w:bottom w:type="dxa" w:w="80"/>
              <w:right w:type="dxa" w:w="120"/>
            </w:tcMar>
          </w:tcPr>
          <w:p>
            <w:pPr>
              <w:spacing w:after="0"/>
            </w:pPr>
            <w:r>
              <w:rPr>
                <w:b w:val="false"/>
                <w:bCs w:val="false"/>
                <w:sz w:val="20"/>
                <w:szCs w:val="20"/>
              </w:rPr>
              <w:t xml:space="preserve">誰能要求平台說明、改正並接受追責？</w:t>
            </w:r>
          </w:p>
        </w:tc>
        <w:tc>
          <w:tcPr>
            <w:tcW w:type="dxa" w:w="3200"/>
            <w:tcMar>
              <w:top w:type="dxa" w:w="80"/>
              <w:left w:type="dxa" w:w="120"/>
              <w:bottom w:type="dxa" w:w="80"/>
              <w:right w:type="dxa" w:w="120"/>
            </w:tcMar>
          </w:tcPr>
          <w:p>
            <w:pPr>
              <w:spacing w:after="0"/>
            </w:pPr>
            <w:r>
              <w:rPr>
                <w:b w:val="false"/>
                <w:bCs w:val="false"/>
                <w:sz w:val="20"/>
                <w:szCs w:val="20"/>
              </w:rPr>
              <w:t xml:space="preserve">規制型國家缺乏對平台經營及演算法決策進行事後追責的有效工具。</w:t>
            </w:r>
          </w:p>
        </w:tc>
        <w:tc>
          <w:tcPr>
            <w:tcW w:type="dxa" w:w="3200"/>
            <w:tcMar>
              <w:top w:type="dxa" w:w="80"/>
              <w:left w:type="dxa" w:w="120"/>
              <w:bottom w:type="dxa" w:w="80"/>
              <w:right w:type="dxa" w:w="120"/>
            </w:tcMar>
          </w:tcPr>
          <w:p>
            <w:pPr>
              <w:spacing w:after="0"/>
            </w:pPr>
            <w:r>
              <w:rPr>
                <w:b w:val="false"/>
                <w:bCs w:val="false"/>
                <w:sz w:val="20"/>
                <w:szCs w:val="20"/>
              </w:rPr>
              <w:t xml:space="preserve">數發部、NCC、公平會等機關分工破碎，缺乏準公共平台的整體分類、裁罰、備援與退場機制。</w:t>
            </w:r>
          </w:p>
        </w:tc>
      </w:tr>
      <w:tr>
        <w:tc>
          <w:tcPr>
            <w:tcW w:type="dxa" w:w="1400"/>
            <w:tcMar>
              <w:top w:type="dxa" w:w="80"/>
              <w:left w:type="dxa" w:w="120"/>
              <w:bottom w:type="dxa" w:w="80"/>
              <w:right w:type="dxa" w:w="120"/>
            </w:tcMar>
          </w:tcPr>
          <w:p>
            <w:pPr>
              <w:spacing w:after="0"/>
            </w:pPr>
            <w:r>
              <w:rPr>
                <w:b w:val="false"/>
                <w:bCs w:val="false"/>
                <w:sz w:val="20"/>
                <w:szCs w:val="20"/>
              </w:rPr>
              <w:t xml:space="preserve">負責鏈</w:t>
            </w:r>
          </w:p>
        </w:tc>
        <w:tc>
          <w:tcPr>
            <w:tcW w:type="dxa" w:w="2600"/>
            <w:tcMar>
              <w:top w:type="dxa" w:w="80"/>
              <w:left w:type="dxa" w:w="120"/>
              <w:bottom w:type="dxa" w:w="80"/>
              <w:right w:type="dxa" w:w="120"/>
            </w:tcMar>
          </w:tcPr>
          <w:p>
            <w:pPr>
              <w:spacing w:after="0"/>
            </w:pPr>
            <w:r>
              <w:rPr>
                <w:b w:val="false"/>
                <w:bCs w:val="false"/>
                <w:sz w:val="20"/>
                <w:szCs w:val="20"/>
              </w:rPr>
              <w:t xml:space="preserve">誰在事前承擔法律、營運與公共風險責任？</w:t>
            </w:r>
          </w:p>
        </w:tc>
        <w:tc>
          <w:tcPr>
            <w:tcW w:type="dxa" w:w="3200"/>
            <w:tcMar>
              <w:top w:type="dxa" w:w="80"/>
              <w:left w:type="dxa" w:w="120"/>
              <w:bottom w:type="dxa" w:w="80"/>
              <w:right w:type="dxa" w:w="120"/>
            </w:tcMar>
          </w:tcPr>
          <w:p>
            <w:pPr>
              <w:spacing w:after="0"/>
            </w:pPr>
            <w:r>
              <w:rPr>
                <w:b w:val="false"/>
                <w:bCs w:val="false"/>
                <w:sz w:val="20"/>
                <w:szCs w:val="20"/>
              </w:rPr>
              <w:t xml:space="preserve">跨境平台以私人契約與自動化演算法分散責任，形成管轄落差。</w:t>
            </w:r>
          </w:p>
        </w:tc>
        <w:tc>
          <w:tcPr>
            <w:tcW w:type="dxa" w:w="3200"/>
            <w:tcMar>
              <w:top w:type="dxa" w:w="80"/>
              <w:left w:type="dxa" w:w="120"/>
              <w:bottom w:type="dxa" w:w="80"/>
              <w:right w:type="dxa" w:w="120"/>
            </w:tcMar>
          </w:tcPr>
          <w:p>
            <w:pPr>
              <w:spacing w:after="0"/>
            </w:pPr>
            <w:r>
              <w:rPr>
                <w:b w:val="false"/>
                <w:bCs w:val="false"/>
                <w:sz w:val="20"/>
                <w:szCs w:val="20"/>
              </w:rPr>
              <w:t xml:space="preserve">平台在臺灣可能僅設廣告、公關或聯絡窗口，缺乏具法律及營運處置權的實質責任主體。</w:t>
            </w:r>
          </w:p>
        </w:tc>
      </w:tr>
      <w:tr>
        <w:tc>
          <w:tcPr>
            <w:tcW w:type="dxa" w:w="1400"/>
            <w:tcMar>
              <w:top w:type="dxa" w:w="80"/>
              <w:left w:type="dxa" w:w="120"/>
              <w:bottom w:type="dxa" w:w="80"/>
              <w:right w:type="dxa" w:w="120"/>
            </w:tcMar>
          </w:tcPr>
          <w:p>
            <w:pPr>
              <w:spacing w:after="0"/>
            </w:pPr>
            <w:r>
              <w:rPr>
                <w:b w:val="false"/>
                <w:bCs w:val="false"/>
                <w:sz w:val="20"/>
                <w:szCs w:val="20"/>
              </w:rPr>
              <w:t xml:space="preserve">透明鏈</w:t>
            </w:r>
          </w:p>
        </w:tc>
        <w:tc>
          <w:tcPr>
            <w:tcW w:type="dxa" w:w="2600"/>
            <w:tcMar>
              <w:top w:type="dxa" w:w="80"/>
              <w:left w:type="dxa" w:w="120"/>
              <w:bottom w:type="dxa" w:w="80"/>
              <w:right w:type="dxa" w:w="120"/>
            </w:tcMar>
          </w:tcPr>
          <w:p>
            <w:pPr>
              <w:spacing w:after="0"/>
            </w:pPr>
            <w:r>
              <w:rPr>
                <w:b w:val="false"/>
                <w:bCs w:val="false"/>
                <w:sz w:val="20"/>
                <w:szCs w:val="20"/>
              </w:rPr>
              <w:t xml:space="preserve">公共機關及使用者能否理解平台如何運作？</w:t>
            </w:r>
          </w:p>
        </w:tc>
        <w:tc>
          <w:tcPr>
            <w:tcW w:type="dxa" w:w="3200"/>
            <w:tcMar>
              <w:top w:type="dxa" w:w="80"/>
              <w:left w:type="dxa" w:w="120"/>
              <w:bottom w:type="dxa" w:w="80"/>
              <w:right w:type="dxa" w:w="120"/>
            </w:tcMar>
          </w:tcPr>
          <w:p>
            <w:pPr>
              <w:spacing w:after="0"/>
            </w:pPr>
            <w:r>
              <w:rPr>
                <w:b w:val="false"/>
                <w:bCs w:val="false"/>
                <w:sz w:val="20"/>
                <w:szCs w:val="20"/>
              </w:rPr>
              <w:t xml:space="preserve">演算法、資料流向、推薦排序與 API 存取受到平台黑箱控制。</w:t>
            </w:r>
          </w:p>
        </w:tc>
        <w:tc>
          <w:tcPr>
            <w:tcW w:type="dxa" w:w="3200"/>
            <w:tcMar>
              <w:top w:type="dxa" w:w="80"/>
              <w:left w:type="dxa" w:w="120"/>
              <w:bottom w:type="dxa" w:w="80"/>
              <w:right w:type="dxa" w:w="120"/>
            </w:tcMar>
          </w:tcPr>
          <w:p>
            <w:pPr>
              <w:spacing w:after="0"/>
            </w:pPr>
            <w:r>
              <w:rPr>
                <w:b w:val="false"/>
                <w:bCs w:val="false"/>
                <w:sz w:val="20"/>
                <w:szCs w:val="20"/>
              </w:rPr>
              <w:t xml:space="preserve">政府高度依賴 LINE、Facebook 等平台發布公共資訊，卻無法掌握降流、調降觸及或排序變更。</w:t>
            </w:r>
          </w:p>
        </w:tc>
      </w:tr>
      <w:tr>
        <w:tc>
          <w:tcPr>
            <w:tcW w:type="dxa" w:w="1400"/>
            <w:tcMar>
              <w:top w:type="dxa" w:w="80"/>
              <w:left w:type="dxa" w:w="120"/>
              <w:bottom w:type="dxa" w:w="80"/>
              <w:right w:type="dxa" w:w="120"/>
            </w:tcMar>
          </w:tcPr>
          <w:p>
            <w:pPr>
              <w:spacing w:after="0"/>
            </w:pPr>
            <w:r>
              <w:rPr>
                <w:b w:val="false"/>
                <w:bCs w:val="false"/>
                <w:sz w:val="20"/>
                <w:szCs w:val="20"/>
              </w:rPr>
              <w:t xml:space="preserve">公正鏈</w:t>
            </w:r>
          </w:p>
        </w:tc>
        <w:tc>
          <w:tcPr>
            <w:tcW w:type="dxa" w:w="2600"/>
            <w:tcMar>
              <w:top w:type="dxa" w:w="80"/>
              <w:left w:type="dxa" w:w="120"/>
              <w:bottom w:type="dxa" w:w="80"/>
              <w:right w:type="dxa" w:w="120"/>
            </w:tcMar>
          </w:tcPr>
          <w:p>
            <w:pPr>
              <w:spacing w:after="0"/>
            </w:pPr>
            <w:r>
              <w:rPr>
                <w:b w:val="false"/>
                <w:bCs w:val="false"/>
                <w:sz w:val="20"/>
                <w:szCs w:val="20"/>
              </w:rPr>
              <w:t xml:space="preserve">平台處置是否符合平等、程序與救濟要求？</w:t>
            </w:r>
          </w:p>
        </w:tc>
        <w:tc>
          <w:tcPr>
            <w:tcW w:type="dxa" w:w="3200"/>
            <w:tcMar>
              <w:top w:type="dxa" w:w="80"/>
              <w:left w:type="dxa" w:w="120"/>
              <w:bottom w:type="dxa" w:w="80"/>
              <w:right w:type="dxa" w:w="120"/>
            </w:tcMar>
          </w:tcPr>
          <w:p>
            <w:pPr>
              <w:spacing w:after="0"/>
            </w:pPr>
            <w:r>
              <w:rPr>
                <w:b w:val="false"/>
                <w:bCs w:val="false"/>
                <w:sz w:val="20"/>
                <w:szCs w:val="20"/>
              </w:rPr>
              <w:t xml:space="preserve">私人內容管理規則可能影響言論自由、程序保障及平等對待。</w:t>
            </w:r>
          </w:p>
        </w:tc>
        <w:tc>
          <w:tcPr>
            <w:tcW w:type="dxa" w:w="3200"/>
            <w:tcMar>
              <w:top w:type="dxa" w:w="80"/>
              <w:left w:type="dxa" w:w="120"/>
              <w:bottom w:type="dxa" w:w="80"/>
              <w:right w:type="dxa" w:w="120"/>
            </w:tcMar>
          </w:tcPr>
          <w:p>
            <w:pPr>
              <w:spacing w:after="0"/>
            </w:pPr>
            <w:r>
              <w:rPr>
                <w:b w:val="false"/>
                <w:bCs w:val="false"/>
                <w:sz w:val="20"/>
                <w:szCs w:val="20"/>
              </w:rPr>
              <w:t xml:space="preserve">平台停權、降流、封號或資訊限制缺乏在地申訴、理由說明及實質救濟機制。</w:t>
            </w:r>
          </w:p>
        </w:tc>
      </w:tr>
    </w:tbl>
    <w:p>
      <w:pPr>
        <w:spacing w:after="160" w:line="320"/>
        <w:ind w:firstLine="431"/>
      </w:pPr>
      <w:r>
        <w:t xml:space="preserve">為避免混淆，本文在此明確區分負責鏈與課責鏈的分工：負責鏈處理義務與責任在事前如何配置（誰應設置在地代理人、誰應承擔何種法律與營運處置權）；課責鏈則處理責任發生爭議後，誰能要求行為者說明、判斷並承擔法律或制度後果。兩者一前一後，構成完整的責任週期。另須說明的是，四者所處理的制度層次並不完全一致——課責鏈偏向制度後果之課予，負責鏈偏向責任之事前歸屬，透明鏈偏向資訊條件之揭露，公正鏈則偏向程序正義與權利保障。審查與寫作時均應將其視為診斷維度組合，而非主張四者具有完全同構的理論地位或可相互替換的因果鏈地位。</w:t>
      </w:r>
    </w:p>
    <w:p>
      <w:pPr>
        <w:spacing w:after="160" w:line="320"/>
        <w:ind w:firstLine="431"/>
      </w:pPr>
      <w:r>
        <w:t xml:space="preserve">四條治理鏈共同構成本文的核心診斷框架：平台市場集中，使公共資訊與服務形成依賴；公共依賴又使平台私人規則產生公共效果；當課責、負責、透明與公正四條治理鏈無法有效運作時，國家的公共治理能力便出現斷裂。</w:t>
      </w:r>
    </w:p>
    <w:p>
      <w:pPr>
        <w:spacing w:after="100" w:before="200"/>
      </w:pPr>
      <w:r>
        <w:rPr>
          <w:b/>
          <w:bCs/>
          <w:sz w:val="22"/>
          <w:szCs w:val="22"/>
        </w:rPr>
        <w:t xml:space="preserve">（一）四條治理鏈的相互關係</w:t>
      </w:r>
    </w:p>
    <w:p>
      <w:pPr>
        <w:spacing w:after="160" w:line="320"/>
        <w:ind w:firstLine="431"/>
      </w:pPr>
      <w:r>
        <w:t xml:space="preserve">四條治理鏈具有明確的連鎖關係：沒有負責鏈，課責鏈就無從啟動；沒有透明鏈，公共機關與使用者便無法判斷平台是否應受課責；沒有公正鏈，平台的說明、申訴與處置程序就可能流於形式；沒有課責鏈，負責、透明及公正要求便缺乏制度後果。因此，平台治理不應只要求「資訊公開」，也不能只依賴「平台負責任」的自律承諾，而應建立四條治理鏈相互支撐的制度結構。</w:t>
      </w:r>
    </w:p>
    <w:p>
      <w:pPr>
        <w:spacing w:after="100" w:before="200"/>
      </w:pPr>
      <w:r>
        <w:rPr>
          <w:b/>
          <w:bCs/>
          <w:sz w:val="22"/>
          <w:szCs w:val="22"/>
        </w:rPr>
        <w:t xml:space="preserve">（二）制度變遷與制度韌性理論</w:t>
      </w:r>
    </w:p>
    <w:p>
      <w:pPr>
        <w:spacing w:after="160" w:line="320"/>
        <w:ind w:firstLine="431"/>
      </w:pPr>
      <w:r>
        <w:t xml:space="preserve">Mahoney 與 Thelen（2010）提出制度變遷的類型學，指出制度可經由置換（displacement）、層疊（layering）、漂移（drift）與轉換（conversion）等方式改變；Pierson（2000）則強調路徑依賴與『正回饋』如何使既有制度安排難以逆轉。此組文獻對本文有雙重意義：其一，支持『制度韌性命題』——準公共平台治理的有效性取決於多項制度能否相互支撐，單項強化可能因路徑依賴而失效；其二，可解釋陸章個案——中介法草案撤回後，臺灣轉向政策白皮書與『三律共管』，正是制度變遷中『層疊』與『轉換』的例證，而非制度的全面置換。</w:t>
      </w:r>
    </w:p>
    <w:p>
      <w:pPr>
        <w:spacing w:after="140" w:before="280"/>
      </w:pPr>
      <w:r>
        <w:rPr>
          <w:b/>
          <w:bCs/>
          <w:color w:val="1F4E79"/>
          <w:sz w:val="24"/>
          <w:szCs w:val="24"/>
        </w:rPr>
        <w:t xml:space="preserve">五、文獻缺口與本文貢獻</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1800"/>
        <w:gridCol w:w="4000"/>
        <w:gridCol w:w="4000"/>
      </w:tblGrid>
      <w:tr>
        <w:tc>
          <w:tcPr>
            <w:tcW w:type="dxa" w:w="1800"/>
            <w:shd w:fill="DEEAF6" w:val="clear"/>
            <w:tcMar>
              <w:top w:type="dxa" w:w="80"/>
              <w:left w:type="dxa" w:w="120"/>
              <w:bottom w:type="dxa" w:w="80"/>
              <w:right w:type="dxa" w:w="120"/>
            </w:tcMar>
          </w:tcPr>
          <w:p>
            <w:pPr>
              <w:spacing w:after="0"/>
            </w:pPr>
            <w:r>
              <w:rPr>
                <w:b/>
                <w:bCs/>
                <w:sz w:val="20"/>
                <w:szCs w:val="20"/>
              </w:rPr>
              <w:t xml:space="preserve">爭議維度</w:t>
            </w:r>
          </w:p>
        </w:tc>
        <w:tc>
          <w:tcPr>
            <w:tcW w:type="dxa" w:w="4000"/>
            <w:shd w:fill="DEEAF6" w:val="clear"/>
            <w:tcMar>
              <w:top w:type="dxa" w:w="80"/>
              <w:left w:type="dxa" w:w="120"/>
              <w:bottom w:type="dxa" w:w="80"/>
              <w:right w:type="dxa" w:w="120"/>
            </w:tcMar>
          </w:tcPr>
          <w:p>
            <w:pPr>
              <w:spacing w:after="0"/>
            </w:pPr>
            <w:r>
              <w:rPr>
                <w:b/>
                <w:bCs/>
                <w:sz w:val="20"/>
                <w:szCs w:val="20"/>
              </w:rPr>
              <w:t xml:space="preserve">科技法學者</w:t>
            </w:r>
          </w:p>
        </w:tc>
        <w:tc>
          <w:tcPr>
            <w:tcW w:type="dxa" w:w="4000"/>
            <w:shd w:fill="DEEAF6" w:val="clear"/>
            <w:tcMar>
              <w:top w:type="dxa" w:w="80"/>
              <w:left w:type="dxa" w:w="120"/>
              <w:bottom w:type="dxa" w:w="80"/>
              <w:right w:type="dxa" w:w="120"/>
            </w:tcMar>
          </w:tcPr>
          <w:p>
            <w:pPr>
              <w:spacing w:after="0"/>
            </w:pPr>
            <w:r>
              <w:rPr>
                <w:b/>
                <w:bCs/>
                <w:sz w:val="20"/>
                <w:szCs w:val="20"/>
              </w:rPr>
              <w:t xml:space="preserve">政策執行者／文官</w:t>
            </w:r>
          </w:p>
        </w:tc>
      </w:tr>
      <w:tr>
        <w:tc>
          <w:tcPr>
            <w:tcW w:type="dxa" w:w="1800"/>
            <w:tcMar>
              <w:top w:type="dxa" w:w="80"/>
              <w:left w:type="dxa" w:w="120"/>
              <w:bottom w:type="dxa" w:w="80"/>
              <w:right w:type="dxa" w:w="120"/>
            </w:tcMar>
          </w:tcPr>
          <w:p>
            <w:pPr>
              <w:spacing w:after="0"/>
            </w:pPr>
            <w:r>
              <w:rPr>
                <w:b w:val="false"/>
                <w:bCs w:val="false"/>
                <w:sz w:val="20"/>
                <w:szCs w:val="20"/>
              </w:rPr>
              <w:t xml:space="preserve">治理範式</w:t>
            </w:r>
          </w:p>
        </w:tc>
        <w:tc>
          <w:tcPr>
            <w:tcW w:type="dxa" w:w="4000"/>
            <w:tcMar>
              <w:top w:type="dxa" w:w="80"/>
              <w:left w:type="dxa" w:w="120"/>
              <w:bottom w:type="dxa" w:w="80"/>
              <w:right w:type="dxa" w:w="120"/>
            </w:tcMar>
          </w:tcPr>
          <w:p>
            <w:pPr>
              <w:spacing w:after="0"/>
            </w:pPr>
            <w:r>
              <w:rPr>
                <w:b w:val="false"/>
                <w:bCs w:val="false"/>
                <w:sz w:val="20"/>
                <w:szCs w:val="20"/>
              </w:rPr>
              <w:t xml:space="preserve">應突破私法自治，將大型平台視為負有公共義務的準公共基礎設施。</w:t>
            </w:r>
          </w:p>
        </w:tc>
        <w:tc>
          <w:tcPr>
            <w:tcW w:type="dxa" w:w="4000"/>
            <w:tcMar>
              <w:top w:type="dxa" w:w="80"/>
              <w:left w:type="dxa" w:w="120"/>
              <w:bottom w:type="dxa" w:w="80"/>
              <w:right w:type="dxa" w:w="120"/>
            </w:tcMar>
          </w:tcPr>
          <w:p>
            <w:pPr>
              <w:spacing w:after="0"/>
            </w:pPr>
            <w:r>
              <w:rPr>
                <w:b w:val="false"/>
                <w:bCs w:val="false"/>
                <w:sz w:val="20"/>
                <w:szCs w:val="20"/>
              </w:rPr>
              <w:t xml:space="preserve">缺乏明確專法授權，逕行介入可能引發私法自治及商業言論自由訴訟。</w:t>
            </w:r>
          </w:p>
        </w:tc>
      </w:tr>
      <w:tr>
        <w:tc>
          <w:tcPr>
            <w:tcW w:type="dxa" w:w="1800"/>
            <w:tcMar>
              <w:top w:type="dxa" w:w="80"/>
              <w:left w:type="dxa" w:w="120"/>
              <w:bottom w:type="dxa" w:w="80"/>
              <w:right w:type="dxa" w:w="120"/>
            </w:tcMar>
          </w:tcPr>
          <w:p>
            <w:pPr>
              <w:spacing w:after="0"/>
            </w:pPr>
            <w:r>
              <w:rPr>
                <w:b w:val="false"/>
                <w:bCs w:val="false"/>
                <w:sz w:val="20"/>
                <w:szCs w:val="20"/>
              </w:rPr>
              <w:t xml:space="preserve">演算法透明</w:t>
            </w:r>
          </w:p>
        </w:tc>
        <w:tc>
          <w:tcPr>
            <w:tcW w:type="dxa" w:w="4000"/>
            <w:tcMar>
              <w:top w:type="dxa" w:w="80"/>
              <w:left w:type="dxa" w:w="120"/>
              <w:bottom w:type="dxa" w:w="80"/>
              <w:right w:type="dxa" w:w="120"/>
            </w:tcMar>
          </w:tcPr>
          <w:p>
            <w:pPr>
              <w:spacing w:after="0"/>
            </w:pPr>
            <w:r>
              <w:rPr>
                <w:b w:val="false"/>
                <w:bCs w:val="false"/>
                <w:sz w:val="20"/>
                <w:szCs w:val="20"/>
              </w:rPr>
              <w:t xml:space="preserve">應要求平台提供演算法說明、第三方稽核、研究者 API 及資料可攜。</w:t>
            </w:r>
          </w:p>
        </w:tc>
        <w:tc>
          <w:tcPr>
            <w:tcW w:type="dxa" w:w="4000"/>
            <w:tcMar>
              <w:top w:type="dxa" w:w="80"/>
              <w:left w:type="dxa" w:w="120"/>
              <w:bottom w:type="dxa" w:w="80"/>
              <w:right w:type="dxa" w:w="120"/>
            </w:tcMar>
          </w:tcPr>
          <w:p>
            <w:pPr>
              <w:spacing w:after="0"/>
            </w:pPr>
            <w:r>
              <w:rPr>
                <w:b w:val="false"/>
                <w:bCs w:val="false"/>
                <w:sz w:val="20"/>
                <w:szCs w:val="20"/>
              </w:rPr>
              <w:t xml:space="preserve">行政機關與法院缺乏技術稽核能力，難以處理商業機密抗辯。</w:t>
            </w:r>
          </w:p>
        </w:tc>
      </w:tr>
      <w:tr>
        <w:tc>
          <w:tcPr>
            <w:tcW w:type="dxa" w:w="1800"/>
            <w:tcMar>
              <w:top w:type="dxa" w:w="80"/>
              <w:left w:type="dxa" w:w="120"/>
              <w:bottom w:type="dxa" w:w="80"/>
              <w:right w:type="dxa" w:w="120"/>
            </w:tcMar>
          </w:tcPr>
          <w:p>
            <w:pPr>
              <w:spacing w:after="0"/>
            </w:pPr>
            <w:r>
              <w:rPr>
                <w:b w:val="false"/>
                <w:bCs w:val="false"/>
                <w:sz w:val="20"/>
                <w:szCs w:val="20"/>
              </w:rPr>
              <w:t xml:space="preserve">程序正義</w:t>
            </w:r>
          </w:p>
        </w:tc>
        <w:tc>
          <w:tcPr>
            <w:tcW w:type="dxa" w:w="4000"/>
            <w:tcMar>
              <w:top w:type="dxa" w:w="80"/>
              <w:left w:type="dxa" w:w="120"/>
              <w:bottom w:type="dxa" w:w="80"/>
              <w:right w:type="dxa" w:w="120"/>
            </w:tcMar>
          </w:tcPr>
          <w:p>
            <w:pPr>
              <w:spacing w:after="0"/>
            </w:pPr>
            <w:r>
              <w:rPr>
                <w:b w:val="false"/>
                <w:bCs w:val="false"/>
                <w:sz w:val="20"/>
                <w:szCs w:val="20"/>
              </w:rPr>
              <w:t xml:space="preserve">停權、降流及封號應設置通知、理由說明及獨立申訴機制。</w:t>
            </w:r>
          </w:p>
        </w:tc>
        <w:tc>
          <w:tcPr>
            <w:tcW w:type="dxa" w:w="4000"/>
            <w:tcMar>
              <w:top w:type="dxa" w:w="80"/>
              <w:left w:type="dxa" w:w="120"/>
              <w:bottom w:type="dxa" w:w="80"/>
              <w:right w:type="dxa" w:w="120"/>
            </w:tcMar>
          </w:tcPr>
          <w:p>
            <w:pPr>
              <w:spacing w:after="0"/>
            </w:pPr>
            <w:r>
              <w:rPr>
                <w:b w:val="false"/>
                <w:bCs w:val="false"/>
                <w:sz w:val="20"/>
                <w:szCs w:val="20"/>
              </w:rPr>
              <w:t xml:space="preserve">行政介入可能使機關陷入大量私人契約爭議。</w:t>
            </w:r>
          </w:p>
        </w:tc>
      </w:tr>
      <w:tr>
        <w:tc>
          <w:tcPr>
            <w:tcW w:type="dxa" w:w="1800"/>
            <w:tcMar>
              <w:top w:type="dxa" w:w="80"/>
              <w:left w:type="dxa" w:w="120"/>
              <w:bottom w:type="dxa" w:w="80"/>
              <w:right w:type="dxa" w:w="120"/>
            </w:tcMar>
          </w:tcPr>
          <w:p>
            <w:pPr>
              <w:spacing w:after="0"/>
            </w:pPr>
            <w:r>
              <w:rPr>
                <w:b w:val="false"/>
                <w:bCs w:val="false"/>
                <w:sz w:val="20"/>
                <w:szCs w:val="20"/>
              </w:rPr>
              <w:t xml:space="preserve">跨境管轄</w:t>
            </w:r>
          </w:p>
        </w:tc>
        <w:tc>
          <w:tcPr>
            <w:tcW w:type="dxa" w:w="4000"/>
            <w:tcMar>
              <w:top w:type="dxa" w:w="80"/>
              <w:left w:type="dxa" w:w="120"/>
              <w:bottom w:type="dxa" w:w="80"/>
              <w:right w:type="dxa" w:w="120"/>
            </w:tcMar>
          </w:tcPr>
          <w:p>
            <w:pPr>
              <w:spacing w:after="0"/>
            </w:pPr>
            <w:r>
              <w:rPr>
                <w:b w:val="false"/>
                <w:bCs w:val="false"/>
                <w:sz w:val="20"/>
                <w:szCs w:val="20"/>
              </w:rPr>
              <w:t xml:space="preserve">應要求平台設置具有實質法律及營運處置權的在地代理人。</w:t>
            </w:r>
          </w:p>
        </w:tc>
        <w:tc>
          <w:tcPr>
            <w:tcW w:type="dxa" w:w="4000"/>
            <w:tcMar>
              <w:top w:type="dxa" w:w="80"/>
              <w:left w:type="dxa" w:w="120"/>
              <w:bottom w:type="dxa" w:w="80"/>
              <w:right w:type="dxa" w:w="120"/>
            </w:tcMar>
          </w:tcPr>
          <w:p>
            <w:pPr>
              <w:spacing w:after="0"/>
            </w:pPr>
            <w:r>
              <w:rPr>
                <w:b w:val="false"/>
                <w:bCs w:val="false"/>
                <w:sz w:val="20"/>
                <w:szCs w:val="20"/>
              </w:rPr>
              <w:t xml:space="preserve">實際制裁工具有限，過度強硬可能導致平台退出及政治反彈。</w:t>
            </w:r>
          </w:p>
        </w:tc>
      </w:tr>
      <w:tr>
        <w:tc>
          <w:tcPr>
            <w:tcW w:type="dxa" w:w="1800"/>
            <w:tcMar>
              <w:top w:type="dxa" w:w="80"/>
              <w:left w:type="dxa" w:w="120"/>
              <w:bottom w:type="dxa" w:w="80"/>
              <w:right w:type="dxa" w:w="120"/>
            </w:tcMar>
          </w:tcPr>
          <w:p>
            <w:pPr>
              <w:spacing w:after="0"/>
            </w:pPr>
            <w:r>
              <w:rPr>
                <w:b w:val="false"/>
                <w:bCs w:val="false"/>
                <w:sz w:val="20"/>
                <w:szCs w:val="20"/>
              </w:rPr>
              <w:t xml:space="preserve">依賴管理</w:t>
            </w:r>
          </w:p>
        </w:tc>
        <w:tc>
          <w:tcPr>
            <w:tcW w:type="dxa" w:w="4000"/>
            <w:tcMar>
              <w:top w:type="dxa" w:w="80"/>
              <w:left w:type="dxa" w:w="120"/>
              <w:bottom w:type="dxa" w:w="80"/>
              <w:right w:type="dxa" w:w="120"/>
            </w:tcMar>
          </w:tcPr>
          <w:p>
            <w:pPr>
              <w:spacing w:after="0"/>
            </w:pPr>
            <w:r>
              <w:rPr>
                <w:b w:val="false"/>
                <w:bCs w:val="false"/>
                <w:sz w:val="20"/>
                <w:szCs w:val="20"/>
              </w:rPr>
              <w:t xml:space="preserve">國家應建立備援、替代及退場機制。</w:t>
            </w:r>
          </w:p>
        </w:tc>
        <w:tc>
          <w:tcPr>
            <w:tcW w:type="dxa" w:w="4000"/>
            <w:tcMar>
              <w:top w:type="dxa" w:w="80"/>
              <w:left w:type="dxa" w:w="120"/>
              <w:bottom w:type="dxa" w:w="80"/>
              <w:right w:type="dxa" w:w="120"/>
            </w:tcMar>
          </w:tcPr>
          <w:p>
            <w:pPr>
              <w:spacing w:after="0"/>
            </w:pPr>
            <w:r>
              <w:rPr>
                <w:b w:val="false"/>
                <w:bCs w:val="false"/>
                <w:sz w:val="20"/>
                <w:szCs w:val="20"/>
              </w:rPr>
              <w:t xml:space="preserve">公務替代系統普及率低，政府與民眾已形成高度使用依賴。</w:t>
            </w:r>
          </w:p>
        </w:tc>
      </w:tr>
    </w:tbl>
    <w:p>
      <w:pPr>
        <w:spacing w:after="160" w:line="320"/>
        <w:ind w:firstLine="431"/>
      </w:pPr>
      <w:r>
        <w:t xml:space="preserve">此一落差說明，平台治理的問題不只是法律規範不足，也是國家能力不足。制度設計若未同時處理技術能力、跨機關協調、執法工具及公共服務替代性，單純提高平台義務，可能仍無法落實。</w:t>
      </w:r>
    </w:p>
    <w:p>
      <w:pPr>
        <w:spacing w:after="160" w:line="320"/>
        <w:ind w:firstLine="431"/>
      </w:pPr>
      <w:r>
        <w:t xml:space="preserve">Suzor（2019）呼籲把法治原則的精神——而非國家法律本身——引入平台的私人治理系統，這個『數位法治』的規範性訴求，正好折射出科技法學者與政策執行者之間的認知落差：前者期待平台承擔類法治義務，後者則擔心欠缺專法授權下的行政介入，會使機關捲入大量私人契約爭議。本文柒章提出的公正鏈制度補強方案，即是嘗試在這兩種立場之間，找出可由規制型國家承接、而非僅依賴平台自律的中間地帶。</w:t>
      </w:r>
    </w:p>
    <w:p>
      <w:pPr>
        <w:spacing w:after="100" w:before="200"/>
      </w:pPr>
      <w:r>
        <w:rPr>
          <w:b/>
          <w:bCs/>
          <w:sz w:val="22"/>
          <w:szCs w:val="22"/>
        </w:rPr>
        <w:t xml:space="preserve">（一）公共行政研究的盲點</w:t>
      </w:r>
    </w:p>
    <w:p>
      <w:pPr>
        <w:spacing w:after="160" w:line="320"/>
        <w:ind w:firstLine="431"/>
      </w:pPr>
      <w:r>
        <w:t xml:space="preserve">傳統公共行政研究常將私人企業視為受管制者、採購承包商或公私協力夥伴。然而，大型平台已不只是接受國家規範的市場主體，也可能成為：公共資訊的主要入口；公共服務的傳遞中介；公民互動與公共討論的治理場域；透過私人規則制定公共秩序的規則制定者。因此，公共行政研究必須超越公私二分法，將平台視為具有基礎設施效果的私有治理系統，並將課責、負責、透明及公正重新納入平台制度分析。</w:t>
      </w:r>
    </w:p>
    <w:p>
      <w:pPr>
        <w:spacing w:after="160" w:line="320"/>
        <w:ind w:firstLine="431"/>
      </w:pPr>
      <w:r>
        <w:t xml:space="preserve">綜合以上三條文獻脈絡與既有公共行政研究的盲點，本文的邊際貢獻可歸結如下：既有文獻分別在三個獨立脈絡中處理了本文關心的問題：公共行政課責理論說明了課責機制如何運作與失靈，但極少處理私人平台；平台治理研究細緻描繪了平台作為『新治理者』的內部運作與正當性赤字，但較少採取公共行政的國家能力視角；資訊基礎設施與公共事業管制理論則指出平台的基礎設施化趨勢，但多半停留在概念定性或美國法制脈絡，缺乏可操作的判準與跨國制度比較。本文的邊際貢獻，在於把這三條脈絡收攏進一套統一的分析架構——以課責理論的『鏈』結構作為診斷工具，以基礎設施理論的判準決定診斷的啟動門檻，並以歐盟、美國、臺灣的制度比較，將『平台國家化治理』從概念主張轉化為可供政策設計參照的分級治理架構。</w:t>
      </w:r>
    </w:p>
    <w:p>
      <w:pPr>
        <w:spacing w:after="160" w:line="320"/>
        <w:ind w:firstLine="431"/>
      </w:pPr>
      <w:r>
        <w:t xml:space="preserve">納入規制型國家與制度變遷理論後，本文之文獻缺口可再歸納三點：規制型國家理論極少處理『平台作為治理節點』之新型態，多停留於傳統產業規制，本文將其能力邊界延伸至準公共平台；制度變遷理論多以國家自身制度為對象，較少處理『國家對私人平台之規制能力』如何隨時間變遷，本文以中介法草案之興衰填補此一缺口；歐盟數位市場法之學術評論與臺灣本土研究則多各自獨立，缺乏以統一分析架構（六項座標＋四條治理鏈）進行之跨場域比較，本文提供此一整合視角。</w:t>
      </w:r>
    </w:p>
    <w:p>
      <w:pPr>
        <w:pStyle w:val="Heading1"/>
        <w:pageBreakBefore/>
        <w:spacing w:after="200" w:before="420"/>
      </w:pPr>
      <w:r>
        <w:t xml:space="preserve">參、準公共基礎設施的概念操作化（判定規則）</w:t>
      </w:r>
    </w:p>
    <w:p>
      <w:pPr>
        <w:spacing w:after="140" w:before="280"/>
      </w:pPr>
      <w:r>
        <w:rPr>
          <w:b/>
          <w:bCs/>
          <w:color w:val="1F4E79"/>
          <w:sz w:val="24"/>
          <w:szCs w:val="24"/>
        </w:rPr>
        <w:t xml:space="preserve">一、概念定義</w:t>
      </w:r>
    </w:p>
    <w:p>
      <w:pPr>
        <w:spacing w:after="160" w:line="320"/>
        <w:ind w:firstLine="431"/>
      </w:pPr>
      <w:r>
        <w:t xml:space="preserve">本文不將「準公共基礎設施」當作既有法律分類，而將其作為一項分析概念。本章任務不是再增加概念，而是把該概念收成一套可被第三者重複使用的判定規則。規則回答四個問題：評什麼、誰來評、怎麼評、評完如何分級與複評。其核心在於辨識：私人平台的所有權形式，是否已與其實際承擔的公共功能產生結構性落差？</w:t>
      </w:r>
    </w:p>
    <w:p>
      <w:pPr>
        <w:spacing w:after="160" w:line="320"/>
        <w:ind w:firstLine="431"/>
      </w:pPr>
      <w:r>
        <w:t xml:space="preserve">傳統基礎設施通常指公路、電力、自來水、電信等維持社會運作所必要的承載系統。數位平台雖不一定具備傳統自然壟斷的技術特徵，卻可能因網絡效應、社會鎖定及公共依賴，成為公共生活不可或缺的承載架構。</w:t>
      </w:r>
    </w:p>
    <w:p>
      <w:pPr>
        <w:spacing w:after="160" w:line="320"/>
        <w:ind w:firstLine="431"/>
      </w:pPr>
      <w:r>
        <w:t xml:space="preserve">判定單位為「平台—特定公共功能」組合，而非平台品牌或使用者總量。同一平台得同時具有商業功能、一般社交功能與高度公共依賴功能；不得因單一功能具準公共性，即推論該平台全部業務均應承擔相應義務。例如，應分別評估 LINE 的災防通知、Meta 的公共資訊傳播、Google 搜尋或答案引擎的公共資訊排序。禁止事項：不得以市值、月活躍使用者數或「大型平台」代替功能層次判斷；不得將歐盟 DMA 守門人指定或臺灣草案「指定線上平臺業者」門檻直接等同準公共認定；不得把技術上可另寫應用程式直接等同社會上可退出；不得以作者綜合印象對六項座標一次給分。</w:t>
      </w:r>
    </w:p>
    <w:p>
      <w:pPr>
        <w:spacing w:after="140" w:before="280"/>
      </w:pPr>
      <w:r>
        <w:rPr>
          <w:b/>
          <w:bCs/>
          <w:color w:val="1F4E79"/>
          <w:sz w:val="24"/>
          <w:szCs w:val="24"/>
        </w:rPr>
        <w:t xml:space="preserve">二、與守門人、公共事業、必要設施之區分</w:t>
      </w:r>
    </w:p>
    <w:p>
      <w:pPr>
        <w:spacing w:after="160" w:line="320"/>
        <w:ind w:firstLine="431"/>
      </w:pPr>
      <w:r>
        <w:t xml:space="preserve">「準公共基礎設施」也必須與「守門人」（gatekeeper）及一般所稱之「大型平台」相互區辨，三者層次不同、不可等同視之：大型平台是規模描述，守門人是歐盟 DMA 等競爭法／數位市場法上以市值、活躍使用者數等指標認定的法定分類，主要描述平台在市場交換與生態系中的控制位置；準公共基礎設施則是本文提出的規範性與分析性概念，進一步評估平台是否承擔公共功能、產生公共依賴並影響基本權利。具有守門人地位的平台不當然是準公共平台，反之，某些未達競爭法守門人門檻的平台（如特定災防通報或地方公共服務所依賴之區域性應用），也可能因其在特定公共服務領域的不可替代性而具有準公共性。這也是本文六項座標必須額外處理「公共依賴性」與「公共價值影響力」等競爭法門檻未涵蓋面向的原因。</w:t>
      </w:r>
    </w:p>
    <w:p>
      <w:pPr>
        <w:spacing w:after="160" w:line="320"/>
        <w:ind w:firstLine="431"/>
      </w:pPr>
      <w:r>
        <w:t xml:space="preserve">本文亦不主張現行法上平台已當然構成公共事業，或必要設施理論可直接套用於平台：公共事業通常涉及特定產業之法定義務，必要設施理論則主要處理競爭法上拒絕交易或近用之問題，兩者均有其特定法律脈絡與構成要件，彼此亦不相同；本文僅借用其『不可替代性』『公共依賴』等分析邏輯，作為建構準公共基礎設施此一分析性（而非現行法上）概念的參考，並不主張平台應直接適用公共事業或必要設施之現行法律義務。</w:t>
      </w:r>
    </w:p>
    <w:p>
      <w:pPr>
        <w:spacing w:after="140" w:before="280"/>
      </w:pPr>
      <w:r>
        <w:rPr>
          <w:b/>
          <w:bCs/>
          <w:color w:val="1F4E79"/>
          <w:sz w:val="24"/>
          <w:szCs w:val="24"/>
        </w:rPr>
        <w:t xml:space="preserve">三、六項判定座標</w:t>
      </w:r>
    </w:p>
    <w:p>
      <w:pPr>
        <w:spacing w:after="160" w:line="320"/>
        <w:ind w:firstLine="431"/>
      </w:pPr>
      <w:r>
        <w:t xml:space="preserve">本文以六項座標判定平台是否具有準公共基礎設施性質。六項座標不是單一門檻，而是透過矩陣式組合判斷，避免僅以市占率或使用者人數決定平台是否具有公共性。</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2600"/>
        <w:gridCol w:w="3600"/>
        <w:gridCol w:w="3600"/>
      </w:tblGrid>
      <w:tr>
        <w:tc>
          <w:tcPr>
            <w:tcW w:type="dxa" w:w="2600"/>
            <w:shd w:fill="DEEAF6" w:val="clear"/>
            <w:tcMar>
              <w:top w:type="dxa" w:w="80"/>
              <w:left w:type="dxa" w:w="120"/>
              <w:bottom w:type="dxa" w:w="80"/>
              <w:right w:type="dxa" w:w="120"/>
            </w:tcMar>
          </w:tcPr>
          <w:p>
            <w:pPr>
              <w:spacing w:after="0"/>
            </w:pPr>
            <w:r>
              <w:rPr>
                <w:b/>
                <w:bCs/>
                <w:sz w:val="20"/>
                <w:szCs w:val="20"/>
              </w:rPr>
              <w:t xml:space="preserve">判定座標</w:t>
            </w:r>
          </w:p>
        </w:tc>
        <w:tc>
          <w:tcPr>
            <w:tcW w:type="dxa" w:w="3600"/>
            <w:shd w:fill="DEEAF6" w:val="clear"/>
            <w:tcMar>
              <w:top w:type="dxa" w:w="80"/>
              <w:left w:type="dxa" w:w="120"/>
              <w:bottom w:type="dxa" w:w="80"/>
              <w:right w:type="dxa" w:w="120"/>
            </w:tcMar>
          </w:tcPr>
          <w:p>
            <w:pPr>
              <w:spacing w:after="0"/>
            </w:pPr>
            <w:r>
              <w:rPr>
                <w:b/>
                <w:bCs/>
                <w:sz w:val="20"/>
                <w:szCs w:val="20"/>
              </w:rPr>
              <w:t xml:space="preserve">分析問題</w:t>
            </w:r>
          </w:p>
        </w:tc>
        <w:tc>
          <w:tcPr>
            <w:tcW w:type="dxa" w:w="3600"/>
            <w:shd w:fill="DEEAF6" w:val="clear"/>
            <w:tcMar>
              <w:top w:type="dxa" w:w="80"/>
              <w:left w:type="dxa" w:w="120"/>
              <w:bottom w:type="dxa" w:w="80"/>
              <w:right w:type="dxa" w:w="120"/>
            </w:tcMar>
          </w:tcPr>
          <w:p>
            <w:pPr>
              <w:spacing w:after="0"/>
            </w:pPr>
            <w:r>
              <w:rPr>
                <w:b/>
                <w:bCs/>
                <w:sz w:val="20"/>
                <w:szCs w:val="20"/>
              </w:rPr>
              <w:t xml:space="preserve">主要觀察指標</w:t>
            </w:r>
          </w:p>
        </w:tc>
      </w:tr>
      <w:tr>
        <w:tc>
          <w:tcPr>
            <w:tcW w:type="dxa" w:w="2600"/>
            <w:tcMar>
              <w:top w:type="dxa" w:w="80"/>
              <w:left w:type="dxa" w:w="120"/>
              <w:bottom w:type="dxa" w:w="80"/>
              <w:right w:type="dxa" w:w="120"/>
            </w:tcMar>
          </w:tcPr>
          <w:p>
            <w:pPr>
              <w:spacing w:after="0"/>
            </w:pPr>
            <w:r>
              <w:rPr>
                <w:b w:val="false"/>
                <w:bCs w:val="false"/>
                <w:sz w:val="20"/>
                <w:szCs w:val="20"/>
              </w:rPr>
              <w:t xml:space="preserve">市場集中與網絡效應</w:t>
            </w:r>
          </w:p>
        </w:tc>
        <w:tc>
          <w:tcPr>
            <w:tcW w:type="dxa" w:w="3600"/>
            <w:tcMar>
              <w:top w:type="dxa" w:w="80"/>
              <w:left w:type="dxa" w:w="120"/>
              <w:bottom w:type="dxa" w:w="80"/>
              <w:right w:type="dxa" w:w="120"/>
            </w:tcMar>
          </w:tcPr>
          <w:p>
            <w:pPr>
              <w:spacing w:after="0"/>
            </w:pPr>
            <w:r>
              <w:rPr>
                <w:b w:val="false"/>
                <w:bCs w:val="false"/>
                <w:sz w:val="20"/>
                <w:szCs w:val="20"/>
              </w:rPr>
              <w:t xml:space="preserve">平台是否具有足以影響整體生態系的市場權力？</w:t>
            </w:r>
          </w:p>
        </w:tc>
        <w:tc>
          <w:tcPr>
            <w:tcW w:type="dxa" w:w="3600"/>
            <w:tcMar>
              <w:top w:type="dxa" w:w="80"/>
              <w:left w:type="dxa" w:w="120"/>
              <w:bottom w:type="dxa" w:w="80"/>
              <w:right w:type="dxa" w:w="120"/>
            </w:tcMar>
          </w:tcPr>
          <w:p>
            <w:pPr>
              <w:spacing w:after="0"/>
            </w:pPr>
            <w:r>
              <w:rPr>
                <w:b w:val="false"/>
                <w:bCs w:val="false"/>
                <w:sz w:val="20"/>
                <w:szCs w:val="20"/>
              </w:rPr>
              <w:t xml:space="preserve">市場占有率、網絡效應、資料累積、進入障礙、跨市場整合。</w:t>
            </w:r>
          </w:p>
        </w:tc>
      </w:tr>
      <w:tr>
        <w:tc>
          <w:tcPr>
            <w:tcW w:type="dxa" w:w="2600"/>
            <w:tcMar>
              <w:top w:type="dxa" w:w="80"/>
              <w:left w:type="dxa" w:w="120"/>
              <w:bottom w:type="dxa" w:w="80"/>
              <w:right w:type="dxa" w:w="120"/>
            </w:tcMar>
          </w:tcPr>
          <w:p>
            <w:pPr>
              <w:spacing w:after="0"/>
            </w:pPr>
            <w:r>
              <w:rPr>
                <w:b w:val="false"/>
                <w:bCs w:val="false"/>
                <w:sz w:val="20"/>
                <w:szCs w:val="20"/>
              </w:rPr>
              <w:t xml:space="preserve">公共依賴性</w:t>
            </w:r>
          </w:p>
        </w:tc>
        <w:tc>
          <w:tcPr>
            <w:tcW w:type="dxa" w:w="3600"/>
            <w:tcMar>
              <w:top w:type="dxa" w:w="80"/>
              <w:left w:type="dxa" w:w="120"/>
              <w:bottom w:type="dxa" w:w="80"/>
              <w:right w:type="dxa" w:w="120"/>
            </w:tcMar>
          </w:tcPr>
          <w:p>
            <w:pPr>
              <w:spacing w:after="0"/>
            </w:pPr>
            <w:r>
              <w:rPr>
                <w:b w:val="false"/>
                <w:bCs w:val="false"/>
                <w:sz w:val="20"/>
                <w:szCs w:val="20"/>
              </w:rPr>
              <w:t xml:space="preserve">公共機關與公民是否高度依賴該平台？</w:t>
            </w:r>
          </w:p>
        </w:tc>
        <w:tc>
          <w:tcPr>
            <w:tcW w:type="dxa" w:w="3600"/>
            <w:tcMar>
              <w:top w:type="dxa" w:w="80"/>
              <w:left w:type="dxa" w:w="120"/>
              <w:bottom w:type="dxa" w:w="80"/>
              <w:right w:type="dxa" w:w="120"/>
            </w:tcMar>
          </w:tcPr>
          <w:p>
            <w:pPr>
              <w:spacing w:after="0"/>
            </w:pPr>
            <w:r>
              <w:rPr>
                <w:b w:val="false"/>
                <w:bCs w:val="false"/>
                <w:sz w:val="20"/>
                <w:szCs w:val="20"/>
              </w:rPr>
              <w:t xml:space="preserve">政府資訊發布、公共服務、交易、通訊及災害通知依賴程度。</w:t>
            </w:r>
          </w:p>
        </w:tc>
      </w:tr>
      <w:tr>
        <w:tc>
          <w:tcPr>
            <w:tcW w:type="dxa" w:w="2600"/>
            <w:tcMar>
              <w:top w:type="dxa" w:w="80"/>
              <w:left w:type="dxa" w:w="120"/>
              <w:bottom w:type="dxa" w:w="80"/>
              <w:right w:type="dxa" w:w="120"/>
            </w:tcMar>
          </w:tcPr>
          <w:p>
            <w:pPr>
              <w:spacing w:after="0"/>
            </w:pPr>
            <w:r>
              <w:rPr>
                <w:b w:val="false"/>
                <w:bCs w:val="false"/>
                <w:sz w:val="20"/>
                <w:szCs w:val="20"/>
              </w:rPr>
              <w:t xml:space="preserve">功能不可替代性</w:t>
            </w:r>
          </w:p>
        </w:tc>
        <w:tc>
          <w:tcPr>
            <w:tcW w:type="dxa" w:w="3600"/>
            <w:tcMar>
              <w:top w:type="dxa" w:w="80"/>
              <w:left w:type="dxa" w:w="120"/>
              <w:bottom w:type="dxa" w:w="80"/>
              <w:right w:type="dxa" w:w="120"/>
            </w:tcMar>
          </w:tcPr>
          <w:p>
            <w:pPr>
              <w:spacing w:after="0"/>
            </w:pPr>
            <w:r>
              <w:rPr>
                <w:b w:val="false"/>
                <w:bCs w:val="false"/>
                <w:sz w:val="20"/>
                <w:szCs w:val="20"/>
              </w:rPr>
              <w:t xml:space="preserve">平台停止服務是否會造成廣泛公共後果？</w:t>
            </w:r>
          </w:p>
        </w:tc>
        <w:tc>
          <w:tcPr>
            <w:tcW w:type="dxa" w:w="3600"/>
            <w:tcMar>
              <w:top w:type="dxa" w:w="80"/>
              <w:left w:type="dxa" w:w="120"/>
              <w:bottom w:type="dxa" w:w="80"/>
              <w:right w:type="dxa" w:w="120"/>
            </w:tcMar>
          </w:tcPr>
          <w:p>
            <w:pPr>
              <w:spacing w:after="0"/>
            </w:pPr>
            <w:r>
              <w:rPr>
                <w:b w:val="false"/>
                <w:bCs w:val="false"/>
                <w:sz w:val="20"/>
                <w:szCs w:val="20"/>
              </w:rPr>
              <w:t xml:space="preserve">服務中斷影響、替代服務取得性、轉換成本、社會協調成本。</w:t>
            </w:r>
          </w:p>
        </w:tc>
      </w:tr>
      <w:tr>
        <w:tc>
          <w:tcPr>
            <w:tcW w:type="dxa" w:w="2600"/>
            <w:tcMar>
              <w:top w:type="dxa" w:w="80"/>
              <w:left w:type="dxa" w:w="120"/>
              <w:bottom w:type="dxa" w:w="80"/>
              <w:right w:type="dxa" w:w="120"/>
            </w:tcMar>
          </w:tcPr>
          <w:p>
            <w:pPr>
              <w:spacing w:after="0"/>
            </w:pPr>
            <w:r>
              <w:rPr>
                <w:b w:val="false"/>
                <w:bCs w:val="false"/>
                <w:sz w:val="20"/>
                <w:szCs w:val="20"/>
              </w:rPr>
              <w:t xml:space="preserve">資訊流與規則控制權</w:t>
            </w:r>
          </w:p>
        </w:tc>
        <w:tc>
          <w:tcPr>
            <w:tcW w:type="dxa" w:w="3600"/>
            <w:tcMar>
              <w:top w:type="dxa" w:w="80"/>
              <w:left w:type="dxa" w:w="120"/>
              <w:bottom w:type="dxa" w:w="80"/>
              <w:right w:type="dxa" w:w="120"/>
            </w:tcMar>
          </w:tcPr>
          <w:p>
            <w:pPr>
              <w:spacing w:after="0"/>
            </w:pPr>
            <w:r>
              <w:rPr>
                <w:b w:val="false"/>
                <w:bCs w:val="false"/>
                <w:sz w:val="20"/>
                <w:szCs w:val="20"/>
              </w:rPr>
              <w:t xml:space="preserve">平台是否能控制資訊可見性與使用者存取權？</w:t>
            </w:r>
          </w:p>
        </w:tc>
        <w:tc>
          <w:tcPr>
            <w:tcW w:type="dxa" w:w="3600"/>
            <w:tcMar>
              <w:top w:type="dxa" w:w="80"/>
              <w:left w:type="dxa" w:w="120"/>
              <w:bottom w:type="dxa" w:w="80"/>
              <w:right w:type="dxa" w:w="120"/>
            </w:tcMar>
          </w:tcPr>
          <w:p>
            <w:pPr>
              <w:spacing w:after="0"/>
            </w:pPr>
            <w:r>
              <w:rPr>
                <w:b w:val="false"/>
                <w:bCs w:val="false"/>
                <w:sz w:val="20"/>
                <w:szCs w:val="20"/>
              </w:rPr>
              <w:t xml:space="preserve">演算法排序、推薦系統、資料使用、API、帳號處置及內容規則。</w:t>
            </w:r>
          </w:p>
        </w:tc>
      </w:tr>
      <w:tr>
        <w:tc>
          <w:tcPr>
            <w:tcW w:type="dxa" w:w="2600"/>
            <w:tcMar>
              <w:top w:type="dxa" w:w="80"/>
              <w:left w:type="dxa" w:w="120"/>
              <w:bottom w:type="dxa" w:w="80"/>
              <w:right w:type="dxa" w:w="120"/>
            </w:tcMar>
          </w:tcPr>
          <w:p>
            <w:pPr>
              <w:spacing w:after="0"/>
            </w:pPr>
            <w:r>
              <w:rPr>
                <w:b w:val="false"/>
                <w:bCs w:val="false"/>
                <w:sz w:val="20"/>
                <w:szCs w:val="20"/>
              </w:rPr>
              <w:t xml:space="preserve">跨國性與管轄權落差</w:t>
            </w:r>
          </w:p>
        </w:tc>
        <w:tc>
          <w:tcPr>
            <w:tcW w:type="dxa" w:w="3600"/>
            <w:tcMar>
              <w:top w:type="dxa" w:w="80"/>
              <w:left w:type="dxa" w:w="120"/>
              <w:bottom w:type="dxa" w:w="80"/>
              <w:right w:type="dxa" w:w="120"/>
            </w:tcMar>
          </w:tcPr>
          <w:p>
            <w:pPr>
              <w:spacing w:after="0"/>
            </w:pPr>
            <w:r>
              <w:rPr>
                <w:b w:val="false"/>
                <w:bCs w:val="false"/>
                <w:sz w:val="20"/>
                <w:szCs w:val="20"/>
              </w:rPr>
              <w:t xml:space="preserve">國家是否能有效對平台行使規制及執法權？</w:t>
            </w:r>
          </w:p>
        </w:tc>
        <w:tc>
          <w:tcPr>
            <w:tcW w:type="dxa" w:w="3600"/>
            <w:tcMar>
              <w:top w:type="dxa" w:w="80"/>
              <w:left w:type="dxa" w:w="120"/>
              <w:bottom w:type="dxa" w:w="80"/>
              <w:right w:type="dxa" w:w="120"/>
            </w:tcMar>
          </w:tcPr>
          <w:p>
            <w:pPr>
              <w:spacing w:after="0"/>
            </w:pPr>
            <w:r>
              <w:rPr>
                <w:b w:val="false"/>
                <w:bCs w:val="false"/>
                <w:sz w:val="20"/>
                <w:szCs w:val="20"/>
              </w:rPr>
              <w:t xml:space="preserve">境外營運、資料跨境、管轄衝突、在地代理及執法合作。</w:t>
            </w:r>
          </w:p>
        </w:tc>
      </w:tr>
      <w:tr>
        <w:tc>
          <w:tcPr>
            <w:tcW w:type="dxa" w:w="2600"/>
            <w:tcMar>
              <w:top w:type="dxa" w:w="80"/>
              <w:left w:type="dxa" w:w="120"/>
              <w:bottom w:type="dxa" w:w="80"/>
              <w:right w:type="dxa" w:w="120"/>
            </w:tcMar>
          </w:tcPr>
          <w:p>
            <w:pPr>
              <w:spacing w:after="0"/>
            </w:pPr>
            <w:r>
              <w:rPr>
                <w:b w:val="false"/>
                <w:bCs w:val="false"/>
                <w:sz w:val="20"/>
                <w:szCs w:val="20"/>
              </w:rPr>
              <w:t xml:space="preserve">公共價值影響力</w:t>
            </w:r>
          </w:p>
        </w:tc>
        <w:tc>
          <w:tcPr>
            <w:tcW w:type="dxa" w:w="3600"/>
            <w:tcMar>
              <w:top w:type="dxa" w:w="80"/>
              <w:left w:type="dxa" w:w="120"/>
              <w:bottom w:type="dxa" w:w="80"/>
              <w:right w:type="dxa" w:w="120"/>
            </w:tcMar>
          </w:tcPr>
          <w:p>
            <w:pPr>
              <w:spacing w:after="0"/>
            </w:pPr>
            <w:r>
              <w:rPr>
                <w:b w:val="false"/>
                <w:bCs w:val="false"/>
                <w:sz w:val="20"/>
                <w:szCs w:val="20"/>
              </w:rPr>
              <w:t xml:space="preserve">平台決策是否影響憲法基本權與公共利益？</w:t>
            </w:r>
          </w:p>
        </w:tc>
        <w:tc>
          <w:tcPr>
            <w:tcW w:type="dxa" w:w="3600"/>
            <w:tcMar>
              <w:top w:type="dxa" w:w="80"/>
              <w:left w:type="dxa" w:w="120"/>
              <w:bottom w:type="dxa" w:w="80"/>
              <w:right w:type="dxa" w:w="120"/>
            </w:tcMar>
          </w:tcPr>
          <w:p>
            <w:pPr>
              <w:spacing w:after="0"/>
            </w:pPr>
            <w:r>
              <w:rPr>
                <w:b w:val="false"/>
                <w:bCs w:val="false"/>
                <w:sz w:val="20"/>
                <w:szCs w:val="20"/>
              </w:rPr>
              <w:t xml:space="preserve">言論自由、民主審議、資訊多樣性、平等對待、災害安全及服務連續性。</w:t>
            </w:r>
          </w:p>
        </w:tc>
      </w:tr>
    </w:tbl>
    <w:p>
      <w:pPr>
        <w:spacing w:after="160" w:line="320"/>
        <w:ind w:firstLine="431"/>
      </w:pPr>
      <w:r>
        <w:t xml:space="preserve">原研究大綱亦將市場集中、公共依賴、功能不可替代、資訊與規則控制、跨境性及公共價值影響列為準公共基礎設施的核心分析面向。六項座標並非取自單一既有理論的現成清單，而是本文整合既有學理與現行監理實踐後操作化而成的診斷工具，各座標的理論與制度淵源並不齊一，須逐一交代，如下表所示：</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600"/>
        <w:gridCol w:w="3200"/>
        <w:gridCol w:w="3400"/>
      </w:tblGrid>
      <w:tr>
        <w:tc>
          <w:tcPr>
            <w:tcW w:type="dxa" w:w="2600"/>
            <w:shd w:fill="DEEAF6" w:val="clear"/>
            <w:tcMar>
              <w:top w:type="dxa" w:w="80"/>
              <w:left w:type="dxa" w:w="120"/>
              <w:bottom w:type="dxa" w:w="80"/>
              <w:right w:type="dxa" w:w="120"/>
            </w:tcMar>
          </w:tcPr>
          <w:p>
            <w:pPr>
              <w:spacing w:after="0"/>
            </w:pPr>
            <w:r>
              <w:rPr>
                <w:b/>
                <w:bCs/>
                <w:sz w:val="20"/>
                <w:szCs w:val="20"/>
              </w:rPr>
              <w:t xml:space="preserve">判定座標</w:t>
            </w:r>
          </w:p>
        </w:tc>
        <w:tc>
          <w:tcPr>
            <w:tcW w:type="dxa" w:w="3200"/>
            <w:shd w:fill="DEEAF6" w:val="clear"/>
            <w:tcMar>
              <w:top w:type="dxa" w:w="80"/>
              <w:left w:type="dxa" w:w="120"/>
              <w:bottom w:type="dxa" w:w="80"/>
              <w:right w:type="dxa" w:w="120"/>
            </w:tcMar>
          </w:tcPr>
          <w:p>
            <w:pPr>
              <w:spacing w:after="0"/>
            </w:pPr>
            <w:r>
              <w:rPr>
                <w:b/>
                <w:bCs/>
                <w:sz w:val="20"/>
                <w:szCs w:val="20"/>
              </w:rPr>
              <w:t xml:space="preserve">主要淵源類型</w:t>
            </w:r>
          </w:p>
        </w:tc>
        <w:tc>
          <w:tcPr>
            <w:tcW w:type="dxa" w:w="3400"/>
            <w:shd w:fill="DEEAF6" w:val="clear"/>
            <w:tcMar>
              <w:top w:type="dxa" w:w="80"/>
              <w:left w:type="dxa" w:w="120"/>
              <w:bottom w:type="dxa" w:w="80"/>
              <w:right w:type="dxa" w:w="120"/>
            </w:tcMar>
          </w:tcPr>
          <w:p>
            <w:pPr>
              <w:spacing w:after="0"/>
            </w:pPr>
            <w:r>
              <w:rPr>
                <w:b/>
                <w:bCs/>
                <w:sz w:val="20"/>
                <w:szCs w:val="20"/>
              </w:rPr>
              <w:t xml:space="preserve">具體依據</w:t>
            </w:r>
          </w:p>
        </w:tc>
      </w:tr>
      <w:tr>
        <w:tc>
          <w:tcPr>
            <w:tcW w:type="dxa" w:w="2600"/>
            <w:tcMar>
              <w:top w:type="dxa" w:w="80"/>
              <w:left w:type="dxa" w:w="120"/>
              <w:bottom w:type="dxa" w:w="80"/>
              <w:right w:type="dxa" w:w="120"/>
            </w:tcMar>
          </w:tcPr>
          <w:p>
            <w:pPr>
              <w:spacing w:after="0"/>
            </w:pPr>
            <w:r>
              <w:rPr>
                <w:b w:val="false"/>
                <w:bCs w:val="false"/>
                <w:sz w:val="20"/>
                <w:szCs w:val="20"/>
              </w:rPr>
              <w:t xml:space="preserve">市場集中與網絡效應</w:t>
            </w:r>
          </w:p>
        </w:tc>
        <w:tc>
          <w:tcPr>
            <w:tcW w:type="dxa" w:w="3200"/>
            <w:tcMar>
              <w:top w:type="dxa" w:w="80"/>
              <w:left w:type="dxa" w:w="120"/>
              <w:bottom w:type="dxa" w:w="80"/>
              <w:right w:type="dxa" w:w="120"/>
            </w:tcMar>
          </w:tcPr>
          <w:p>
            <w:pPr>
              <w:spacing w:after="0"/>
            </w:pPr>
            <w:r>
              <w:rPr>
                <w:b w:val="false"/>
                <w:bCs w:val="false"/>
                <w:sz w:val="20"/>
                <w:szCs w:val="20"/>
              </w:rPr>
              <w:t xml:space="preserve">既有學理（競爭法／網絡效應經濟學）＋監理實踐</w:t>
            </w:r>
          </w:p>
        </w:tc>
        <w:tc>
          <w:tcPr>
            <w:tcW w:type="dxa" w:w="3400"/>
            <w:tcMar>
              <w:top w:type="dxa" w:w="80"/>
              <w:left w:type="dxa" w:w="120"/>
              <w:bottom w:type="dxa" w:w="80"/>
              <w:right w:type="dxa" w:w="120"/>
            </w:tcMar>
          </w:tcPr>
          <w:p>
            <w:pPr>
              <w:spacing w:after="0"/>
            </w:pPr>
            <w:r>
              <w:rPr>
                <w:b w:val="false"/>
                <w:bCs w:val="false"/>
                <w:sz w:val="20"/>
                <w:szCs w:val="20"/>
              </w:rPr>
              <w:t xml:space="preserve">反壟斷網絡效應與市場支配力分析工具；歐盟 DMA 對「守門人」平台之市值、活躍使用者數、跨市場地位認定標準</w:t>
            </w:r>
          </w:p>
        </w:tc>
      </w:tr>
      <w:tr>
        <w:tc>
          <w:tcPr>
            <w:tcW w:type="dxa" w:w="2600"/>
            <w:tcMar>
              <w:top w:type="dxa" w:w="80"/>
              <w:left w:type="dxa" w:w="120"/>
              <w:bottom w:type="dxa" w:w="80"/>
              <w:right w:type="dxa" w:w="120"/>
            </w:tcMar>
          </w:tcPr>
          <w:p>
            <w:pPr>
              <w:spacing w:after="0"/>
            </w:pPr>
            <w:r>
              <w:rPr>
                <w:b w:val="false"/>
                <w:bCs w:val="false"/>
                <w:sz w:val="20"/>
                <w:szCs w:val="20"/>
              </w:rPr>
              <w:t xml:space="preserve">公共依賴性</w:t>
            </w:r>
          </w:p>
        </w:tc>
        <w:tc>
          <w:tcPr>
            <w:tcW w:type="dxa" w:w="3200"/>
            <w:tcMar>
              <w:top w:type="dxa" w:w="80"/>
              <w:left w:type="dxa" w:w="120"/>
              <w:bottom w:type="dxa" w:w="80"/>
              <w:right w:type="dxa" w:w="120"/>
            </w:tcMar>
          </w:tcPr>
          <w:p>
            <w:pPr>
              <w:spacing w:after="0"/>
            </w:pPr>
            <w:r>
              <w:rPr>
                <w:b w:val="false"/>
                <w:bCs w:val="false"/>
                <w:sz w:val="20"/>
                <w:szCs w:val="20"/>
              </w:rPr>
              <w:t xml:space="preserve">本文操作化歸納</w:t>
            </w:r>
          </w:p>
        </w:tc>
        <w:tc>
          <w:tcPr>
            <w:tcW w:type="dxa" w:w="3400"/>
            <w:tcMar>
              <w:top w:type="dxa" w:w="80"/>
              <w:left w:type="dxa" w:w="120"/>
              <w:bottom w:type="dxa" w:w="80"/>
              <w:right w:type="dxa" w:w="120"/>
            </w:tcMar>
          </w:tcPr>
          <w:p>
            <w:pPr>
              <w:spacing w:after="0"/>
            </w:pPr>
            <w:r>
              <w:rPr>
                <w:b w:val="false"/>
                <w:bCs w:val="false"/>
                <w:sz w:val="20"/>
                <w:szCs w:val="20"/>
              </w:rPr>
              <w:t xml:space="preserve">部分公共機關在特定資訊發布與災防通報情境中呈現對 LINE、Facebook 等平台之依賴（見陸-3；屬初步觀察，待 A／B 級資料核對）</w:t>
            </w:r>
          </w:p>
        </w:tc>
      </w:tr>
      <w:tr>
        <w:tc>
          <w:tcPr>
            <w:tcW w:type="dxa" w:w="2600"/>
            <w:tcMar>
              <w:top w:type="dxa" w:w="80"/>
              <w:left w:type="dxa" w:w="120"/>
              <w:bottom w:type="dxa" w:w="80"/>
              <w:right w:type="dxa" w:w="120"/>
            </w:tcMar>
          </w:tcPr>
          <w:p>
            <w:pPr>
              <w:spacing w:after="0"/>
            </w:pPr>
            <w:r>
              <w:rPr>
                <w:b w:val="false"/>
                <w:bCs w:val="false"/>
                <w:sz w:val="20"/>
                <w:szCs w:val="20"/>
              </w:rPr>
              <w:t xml:space="preserve">功能不可替代性</w:t>
            </w:r>
          </w:p>
        </w:tc>
        <w:tc>
          <w:tcPr>
            <w:tcW w:type="dxa" w:w="3200"/>
            <w:tcMar>
              <w:top w:type="dxa" w:w="80"/>
              <w:left w:type="dxa" w:w="120"/>
              <w:bottom w:type="dxa" w:w="80"/>
              <w:right w:type="dxa" w:w="120"/>
            </w:tcMar>
          </w:tcPr>
          <w:p>
            <w:pPr>
              <w:spacing w:after="0"/>
            </w:pPr>
            <w:r>
              <w:rPr>
                <w:b w:val="false"/>
                <w:bCs w:val="false"/>
                <w:sz w:val="20"/>
                <w:szCs w:val="20"/>
              </w:rPr>
              <w:t xml:space="preserve">既有學理（競爭法）</w:t>
            </w:r>
          </w:p>
        </w:tc>
        <w:tc>
          <w:tcPr>
            <w:tcW w:type="dxa" w:w="3400"/>
            <w:tcMar>
              <w:top w:type="dxa" w:w="80"/>
              <w:left w:type="dxa" w:w="120"/>
              <w:bottom w:type="dxa" w:w="80"/>
              <w:right w:type="dxa" w:w="120"/>
            </w:tcMar>
          </w:tcPr>
          <w:p>
            <w:pPr>
              <w:spacing w:after="0"/>
            </w:pPr>
            <w:r>
              <w:rPr>
                <w:b w:val="false"/>
                <w:bCs w:val="false"/>
                <w:sz w:val="20"/>
                <w:szCs w:val="20"/>
              </w:rPr>
              <w:t xml:space="preserve">必要設施理論（essential facilities doctrine）：資源一旦具備不可替代性，即可能課予近用義務</w:t>
            </w:r>
          </w:p>
        </w:tc>
      </w:tr>
      <w:tr>
        <w:tc>
          <w:tcPr>
            <w:tcW w:type="dxa" w:w="2600"/>
            <w:tcMar>
              <w:top w:type="dxa" w:w="80"/>
              <w:left w:type="dxa" w:w="120"/>
              <w:bottom w:type="dxa" w:w="80"/>
              <w:right w:type="dxa" w:w="120"/>
            </w:tcMar>
          </w:tcPr>
          <w:p>
            <w:pPr>
              <w:spacing w:after="0"/>
            </w:pPr>
            <w:r>
              <w:rPr>
                <w:b w:val="false"/>
                <w:bCs w:val="false"/>
                <w:sz w:val="20"/>
                <w:szCs w:val="20"/>
              </w:rPr>
              <w:t xml:space="preserve">資訊流與規則控制權</w:t>
            </w:r>
          </w:p>
        </w:tc>
        <w:tc>
          <w:tcPr>
            <w:tcW w:type="dxa" w:w="3200"/>
            <w:tcMar>
              <w:top w:type="dxa" w:w="80"/>
              <w:left w:type="dxa" w:w="120"/>
              <w:bottom w:type="dxa" w:w="80"/>
              <w:right w:type="dxa" w:w="120"/>
            </w:tcMar>
          </w:tcPr>
          <w:p>
            <w:pPr>
              <w:spacing w:after="0"/>
            </w:pPr>
            <w:r>
              <w:rPr>
                <w:b w:val="false"/>
                <w:bCs w:val="false"/>
                <w:sz w:val="20"/>
                <w:szCs w:val="20"/>
              </w:rPr>
              <w:t xml:space="preserve">既有學理（平台治理研究）</w:t>
            </w:r>
          </w:p>
        </w:tc>
        <w:tc>
          <w:tcPr>
            <w:tcW w:type="dxa" w:w="3400"/>
            <w:tcMar>
              <w:top w:type="dxa" w:w="80"/>
              <w:left w:type="dxa" w:w="120"/>
              <w:bottom w:type="dxa" w:w="80"/>
              <w:right w:type="dxa" w:w="120"/>
            </w:tcMar>
          </w:tcPr>
          <w:p>
            <w:pPr>
              <w:spacing w:after="0"/>
            </w:pPr>
            <w:r>
              <w:rPr>
                <w:b w:val="false"/>
                <w:bCs w:val="false"/>
                <w:sz w:val="20"/>
                <w:szCs w:val="20"/>
              </w:rPr>
              <w:t xml:space="preserve">Gillespie（2018）：內容審核為平台核心治理姿態；Klonick（2018）：平台之「新治理者」角色</w:t>
            </w:r>
          </w:p>
        </w:tc>
      </w:tr>
      <w:tr>
        <w:tc>
          <w:tcPr>
            <w:tcW w:type="dxa" w:w="2600"/>
            <w:tcMar>
              <w:top w:type="dxa" w:w="80"/>
              <w:left w:type="dxa" w:w="120"/>
              <w:bottom w:type="dxa" w:w="80"/>
              <w:right w:type="dxa" w:w="120"/>
            </w:tcMar>
          </w:tcPr>
          <w:p>
            <w:pPr>
              <w:spacing w:after="0"/>
            </w:pPr>
            <w:r>
              <w:rPr>
                <w:b w:val="false"/>
                <w:bCs w:val="false"/>
                <w:sz w:val="20"/>
                <w:szCs w:val="20"/>
              </w:rPr>
              <w:t xml:space="preserve">跨國性與管轄權落差</w:t>
            </w:r>
          </w:p>
        </w:tc>
        <w:tc>
          <w:tcPr>
            <w:tcW w:type="dxa" w:w="3200"/>
            <w:tcMar>
              <w:top w:type="dxa" w:w="80"/>
              <w:left w:type="dxa" w:w="120"/>
              <w:bottom w:type="dxa" w:w="80"/>
              <w:right w:type="dxa" w:w="120"/>
            </w:tcMar>
          </w:tcPr>
          <w:p>
            <w:pPr>
              <w:spacing w:after="0"/>
            </w:pPr>
            <w:r>
              <w:rPr>
                <w:b w:val="false"/>
                <w:bCs w:val="false"/>
                <w:sz w:val="20"/>
                <w:szCs w:val="20"/>
              </w:rPr>
              <w:t xml:space="preserve">本文操作化歸納</w:t>
            </w:r>
          </w:p>
        </w:tc>
        <w:tc>
          <w:tcPr>
            <w:tcW w:type="dxa" w:w="3400"/>
            <w:tcMar>
              <w:top w:type="dxa" w:w="80"/>
              <w:left w:type="dxa" w:w="120"/>
              <w:bottom w:type="dxa" w:w="80"/>
              <w:right w:type="dxa" w:w="120"/>
            </w:tcMar>
          </w:tcPr>
          <w:p>
            <w:pPr>
              <w:spacing w:after="0"/>
            </w:pPr>
            <w:r>
              <w:rPr>
                <w:b w:val="false"/>
                <w:bCs w:val="false"/>
                <w:sz w:val="20"/>
                <w:szCs w:val="20"/>
              </w:rPr>
              <w:t xml:space="preserve">部分跨境平台在臺灣可能僅設聯絡窗口、法律處置權是否充足待逐案核對（見肆-2）</w:t>
            </w:r>
          </w:p>
        </w:tc>
      </w:tr>
      <w:tr>
        <w:tc>
          <w:tcPr>
            <w:tcW w:type="dxa" w:w="2600"/>
            <w:tcMar>
              <w:top w:type="dxa" w:w="80"/>
              <w:left w:type="dxa" w:w="120"/>
              <w:bottom w:type="dxa" w:w="80"/>
              <w:right w:type="dxa" w:w="120"/>
            </w:tcMar>
          </w:tcPr>
          <w:p>
            <w:pPr>
              <w:spacing w:after="0"/>
            </w:pPr>
            <w:r>
              <w:rPr>
                <w:b w:val="false"/>
                <w:bCs w:val="false"/>
                <w:sz w:val="20"/>
                <w:szCs w:val="20"/>
              </w:rPr>
              <w:t xml:space="preserve">公共價值影響力</w:t>
            </w:r>
          </w:p>
        </w:tc>
        <w:tc>
          <w:tcPr>
            <w:tcW w:type="dxa" w:w="3200"/>
            <w:tcMar>
              <w:top w:type="dxa" w:w="80"/>
              <w:left w:type="dxa" w:w="120"/>
              <w:bottom w:type="dxa" w:w="80"/>
              <w:right w:type="dxa" w:w="120"/>
            </w:tcMar>
          </w:tcPr>
          <w:p>
            <w:pPr>
              <w:spacing w:after="0"/>
            </w:pPr>
            <w:r>
              <w:rPr>
                <w:b w:val="false"/>
                <w:bCs w:val="false"/>
                <w:sz w:val="20"/>
                <w:szCs w:val="20"/>
              </w:rPr>
              <w:t xml:space="preserve">既有學理（資訊基礎設施／平台社會研究）</w:t>
            </w:r>
          </w:p>
        </w:tc>
        <w:tc>
          <w:tcPr>
            <w:tcW w:type="dxa" w:w="3400"/>
            <w:tcMar>
              <w:top w:type="dxa" w:w="80"/>
              <w:left w:type="dxa" w:w="120"/>
              <w:bottom w:type="dxa" w:w="80"/>
              <w:right w:type="dxa" w:w="120"/>
            </w:tcMar>
          </w:tcPr>
          <w:p>
            <w:pPr>
              <w:spacing w:after="0"/>
            </w:pPr>
            <w:r>
              <w:rPr>
                <w:b w:val="false"/>
                <w:bCs w:val="false"/>
                <w:sz w:val="20"/>
                <w:szCs w:val="20"/>
              </w:rPr>
              <w:t xml:space="preserve">van Dijck, Poell, &amp; de Waal（2018）：平台私人邏輯與部門公共價值間之結構性張力</w:t>
            </w:r>
          </w:p>
        </w:tc>
      </w:tr>
    </w:tbl>
    <w:p>
      <w:pPr>
        <w:spacing w:after="160" w:line="320"/>
        <w:ind w:firstLine="431"/>
      </w:pPr>
      <w:r>
        <w:t xml:space="preserve">資訊流與規則控制權，直接承接貳章已引述的 Gillespie（2018）與 Klonick（2018）——內容審核與演算法排序本質上即是公共規則制定行為，本座標即是將此一經驗觀察轉化為可判定的分析面向。公共價值影響力，則對應 van Dijck、Poell 與 de Waal（2018）對平台私人邏輯與部門公共價值間結構性張力的系統性檢視。市場集中與網絡效應和功能不可替代性兩項，雖未見於貳章逐條徵引之平台治理文獻，但分別呼應反壟斷經濟學中網絡效應與市場支配力的既有分析工具，以及「必要設施理論」（essential facilities doctrine）對於某項資源一旦具備不可替代性、便可能課予近用義務的法理邏輯；本文將這兩項在競爭法傳統中發展成熟的判準，移植至準公共基礎設施的判定架構中。</w:t>
      </w:r>
    </w:p>
    <w:p>
      <w:pPr>
        <w:spacing w:after="160" w:line="320"/>
        <w:ind w:firstLine="431"/>
      </w:pPr>
      <w:r>
        <w:t xml:space="preserve">比起學理淵源，六項座標的操作化邏輯更直接的制度先例，其實來自監理實踐本身：歐盟 DMA 對「守門人」（gatekeeper）平台的指定標準（市值、活躍使用者數、跨市場地位），以及依本文所採 2022 年 7 月公告之《數位中介服務法》草案版本，以約 230 萬有效使用者作為「指定線上平臺業者」門檻（非正式現行法；計算期間與是否另有指定權，正式稿須核對該草案條文）（見陸-1），都是把抽象的公共利益疑慮，轉換為可測量、可組合門檻的既有嘗試。六項座標的矩陣式判斷方式，即是在這些監理實踐的基礎上，進一步將判準從單一使用者數門檻，擴充為市場集中、公共依賴、不可替代性、資訊與規則控制、跨境性及公共價值影響六個面向的組合評估，以避免如陸章個案所示、單一門檻式立法可能引發的過度介入疑慮。</w:t>
      </w:r>
    </w:p>
    <w:p>
      <w:pPr>
        <w:spacing w:after="160" w:line="320"/>
        <w:ind w:firstLine="431"/>
      </w:pPr>
      <w:r>
        <w:t xml:space="preserve">至於公共依賴性與跨境性與管轄權落差兩項，貳章與既有平台治理文獻均未提供可直接援引的既有理論座標；這兩項座標是本文根據臺灣的初步觀察——部分公共機關在特定資訊發布與災防通報情境中，呈現對 LINE、Facebook 等私人平台的高度依賴，以及部分跨境平台在臺灣可能僅設置廣告、公關或聯絡窗口、是否具備具法律處置權之實質責任主體仍待逐案核對——所做的操作化歸納，屬於回應在地治理缺口的方法論延伸，而非已完成全面普查的事實結論。</w:t>
      </w:r>
    </w:p>
    <w:p>
      <w:pPr>
        <w:spacing w:after="160" w:line="320"/>
        <w:ind w:firstLine="431"/>
      </w:pPr>
      <w:r>
        <w:t xml:space="preserve">為說明六項座標與四條治理鏈的對應關係，下表整理各座標主要指向之治理風險，及其在制度診斷上主要對應之治理鏈，作為貳章與本章兩套分析工具的銜接：</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200"/>
        <w:gridCol w:w="3600"/>
        <w:gridCol w:w="2200"/>
      </w:tblGrid>
      <w:tr>
        <w:tc>
          <w:tcPr>
            <w:tcW w:type="dxa" w:w="3200"/>
            <w:shd w:fill="DEEAF6" w:val="clear"/>
            <w:tcMar>
              <w:top w:type="dxa" w:w="80"/>
              <w:left w:type="dxa" w:w="120"/>
              <w:bottom w:type="dxa" w:w="80"/>
              <w:right w:type="dxa" w:w="120"/>
            </w:tcMar>
          </w:tcPr>
          <w:p>
            <w:pPr>
              <w:spacing w:after="0"/>
            </w:pPr>
            <w:r>
              <w:rPr>
                <w:b/>
                <w:bCs/>
                <w:sz w:val="20"/>
                <w:szCs w:val="20"/>
              </w:rPr>
              <w:t xml:space="preserve">六項座標</w:t>
            </w:r>
          </w:p>
        </w:tc>
        <w:tc>
          <w:tcPr>
            <w:tcW w:type="dxa" w:w="3600"/>
            <w:shd w:fill="DEEAF6" w:val="clear"/>
            <w:tcMar>
              <w:top w:type="dxa" w:w="80"/>
              <w:left w:type="dxa" w:w="120"/>
              <w:bottom w:type="dxa" w:w="80"/>
              <w:right w:type="dxa" w:w="120"/>
            </w:tcMar>
          </w:tcPr>
          <w:p>
            <w:pPr>
              <w:spacing w:after="0"/>
            </w:pPr>
            <w:r>
              <w:rPr>
                <w:b/>
                <w:bCs/>
                <w:sz w:val="20"/>
                <w:szCs w:val="20"/>
              </w:rPr>
              <w:t xml:space="preserve">主要治理風險</w:t>
            </w:r>
          </w:p>
        </w:tc>
        <w:tc>
          <w:tcPr>
            <w:tcW w:type="dxa" w:w="2200"/>
            <w:shd w:fill="DEEAF6" w:val="clear"/>
            <w:tcMar>
              <w:top w:type="dxa" w:w="80"/>
              <w:left w:type="dxa" w:w="120"/>
              <w:bottom w:type="dxa" w:w="80"/>
              <w:right w:type="dxa" w:w="120"/>
            </w:tcMar>
          </w:tcPr>
          <w:p>
            <w:pPr>
              <w:spacing w:after="0"/>
            </w:pPr>
            <w:r>
              <w:rPr>
                <w:b/>
                <w:bCs/>
                <w:sz w:val="20"/>
                <w:szCs w:val="20"/>
              </w:rPr>
              <w:t xml:space="preserve">對應治理鏈</w:t>
            </w:r>
          </w:p>
        </w:tc>
      </w:tr>
      <w:tr>
        <w:tc>
          <w:tcPr>
            <w:tcW w:type="dxa" w:w="3200"/>
            <w:tcMar>
              <w:top w:type="dxa" w:w="80"/>
              <w:left w:type="dxa" w:w="120"/>
              <w:bottom w:type="dxa" w:w="80"/>
              <w:right w:type="dxa" w:w="120"/>
            </w:tcMar>
          </w:tcPr>
          <w:p>
            <w:pPr>
              <w:spacing w:after="0"/>
            </w:pPr>
            <w:r>
              <w:rPr>
                <w:b w:val="false"/>
                <w:bCs w:val="false"/>
                <w:sz w:val="20"/>
                <w:szCs w:val="20"/>
              </w:rPr>
              <w:t xml:space="preserve">市場集中與網絡效應</w:t>
            </w:r>
          </w:p>
        </w:tc>
        <w:tc>
          <w:tcPr>
            <w:tcW w:type="dxa" w:w="3600"/>
            <w:tcMar>
              <w:top w:type="dxa" w:w="80"/>
              <w:left w:type="dxa" w:w="120"/>
              <w:bottom w:type="dxa" w:w="80"/>
              <w:right w:type="dxa" w:w="120"/>
            </w:tcMar>
          </w:tcPr>
          <w:p>
            <w:pPr>
              <w:spacing w:after="0"/>
            </w:pPr>
            <w:r>
              <w:rPr>
                <w:b w:val="false"/>
                <w:bCs w:val="false"/>
                <w:sz w:val="20"/>
                <w:szCs w:val="20"/>
              </w:rPr>
              <w:t xml:space="preserve">平台權力集中</w:t>
            </w:r>
          </w:p>
        </w:tc>
        <w:tc>
          <w:tcPr>
            <w:tcW w:type="dxa" w:w="2200"/>
            <w:tcMar>
              <w:top w:type="dxa" w:w="80"/>
              <w:left w:type="dxa" w:w="120"/>
              <w:bottom w:type="dxa" w:w="80"/>
              <w:right w:type="dxa" w:w="120"/>
            </w:tcMar>
          </w:tcPr>
          <w:p>
            <w:pPr>
              <w:spacing w:after="0"/>
            </w:pPr>
            <w:r>
              <w:rPr>
                <w:b w:val="false"/>
                <w:bCs w:val="false"/>
                <w:sz w:val="20"/>
                <w:szCs w:val="20"/>
              </w:rPr>
              <w:t xml:space="preserve">課責鏈</w:t>
            </w:r>
          </w:p>
        </w:tc>
      </w:tr>
      <w:tr>
        <w:tc>
          <w:tcPr>
            <w:tcW w:type="dxa" w:w="3200"/>
            <w:tcMar>
              <w:top w:type="dxa" w:w="80"/>
              <w:left w:type="dxa" w:w="120"/>
              <w:bottom w:type="dxa" w:w="80"/>
              <w:right w:type="dxa" w:w="120"/>
            </w:tcMar>
          </w:tcPr>
          <w:p>
            <w:pPr>
              <w:spacing w:after="0"/>
            </w:pPr>
            <w:r>
              <w:rPr>
                <w:b w:val="false"/>
                <w:bCs w:val="false"/>
                <w:sz w:val="20"/>
                <w:szCs w:val="20"/>
              </w:rPr>
              <w:t xml:space="preserve">公共依賴性</w:t>
            </w:r>
          </w:p>
        </w:tc>
        <w:tc>
          <w:tcPr>
            <w:tcW w:type="dxa" w:w="3600"/>
            <w:tcMar>
              <w:top w:type="dxa" w:w="80"/>
              <w:left w:type="dxa" w:w="120"/>
              <w:bottom w:type="dxa" w:w="80"/>
              <w:right w:type="dxa" w:w="120"/>
            </w:tcMar>
          </w:tcPr>
          <w:p>
            <w:pPr>
              <w:spacing w:after="0"/>
            </w:pPr>
            <w:r>
              <w:rPr>
                <w:b w:val="false"/>
                <w:bCs w:val="false"/>
                <w:sz w:val="20"/>
                <w:szCs w:val="20"/>
              </w:rPr>
              <w:t xml:space="preserve">國家與公民無法退出</w:t>
            </w:r>
          </w:p>
        </w:tc>
        <w:tc>
          <w:tcPr>
            <w:tcW w:type="dxa" w:w="2200"/>
            <w:tcMar>
              <w:top w:type="dxa" w:w="80"/>
              <w:left w:type="dxa" w:w="120"/>
              <w:bottom w:type="dxa" w:w="80"/>
              <w:right w:type="dxa" w:w="120"/>
            </w:tcMar>
          </w:tcPr>
          <w:p>
            <w:pPr>
              <w:spacing w:after="0"/>
            </w:pPr>
            <w:r>
              <w:rPr>
                <w:b w:val="false"/>
                <w:bCs w:val="false"/>
                <w:sz w:val="20"/>
                <w:szCs w:val="20"/>
              </w:rPr>
              <w:t xml:space="preserve">負責鏈、退場能力</w:t>
            </w:r>
          </w:p>
        </w:tc>
      </w:tr>
      <w:tr>
        <w:tc>
          <w:tcPr>
            <w:tcW w:type="dxa" w:w="3200"/>
            <w:tcMar>
              <w:top w:type="dxa" w:w="80"/>
              <w:left w:type="dxa" w:w="120"/>
              <w:bottom w:type="dxa" w:w="80"/>
              <w:right w:type="dxa" w:w="120"/>
            </w:tcMar>
          </w:tcPr>
          <w:p>
            <w:pPr>
              <w:spacing w:after="0"/>
            </w:pPr>
            <w:r>
              <w:rPr>
                <w:b w:val="false"/>
                <w:bCs w:val="false"/>
                <w:sz w:val="20"/>
                <w:szCs w:val="20"/>
              </w:rPr>
              <w:t xml:space="preserve">功能不可替代性</w:t>
            </w:r>
          </w:p>
        </w:tc>
        <w:tc>
          <w:tcPr>
            <w:tcW w:type="dxa" w:w="3600"/>
            <w:tcMar>
              <w:top w:type="dxa" w:w="80"/>
              <w:left w:type="dxa" w:w="120"/>
              <w:bottom w:type="dxa" w:w="80"/>
              <w:right w:type="dxa" w:w="120"/>
            </w:tcMar>
          </w:tcPr>
          <w:p>
            <w:pPr>
              <w:spacing w:after="0"/>
            </w:pPr>
            <w:r>
              <w:rPr>
                <w:b w:val="false"/>
                <w:bCs w:val="false"/>
                <w:sz w:val="20"/>
                <w:szCs w:val="20"/>
              </w:rPr>
              <w:t xml:space="preserve">中斷造成公共損害</w:t>
            </w:r>
          </w:p>
        </w:tc>
        <w:tc>
          <w:tcPr>
            <w:tcW w:type="dxa" w:w="2200"/>
            <w:tcMar>
              <w:top w:type="dxa" w:w="80"/>
              <w:left w:type="dxa" w:w="120"/>
              <w:bottom w:type="dxa" w:w="80"/>
              <w:right w:type="dxa" w:w="120"/>
            </w:tcMar>
          </w:tcPr>
          <w:p>
            <w:pPr>
              <w:spacing w:after="0"/>
            </w:pPr>
            <w:r>
              <w:rPr>
                <w:b w:val="false"/>
                <w:bCs w:val="false"/>
                <w:sz w:val="20"/>
                <w:szCs w:val="20"/>
              </w:rPr>
              <w:t xml:space="preserve">負責鏈、備援能力</w:t>
            </w:r>
          </w:p>
        </w:tc>
      </w:tr>
      <w:tr>
        <w:tc>
          <w:tcPr>
            <w:tcW w:type="dxa" w:w="3200"/>
            <w:tcMar>
              <w:top w:type="dxa" w:w="80"/>
              <w:left w:type="dxa" w:w="120"/>
              <w:bottom w:type="dxa" w:w="80"/>
              <w:right w:type="dxa" w:w="120"/>
            </w:tcMar>
          </w:tcPr>
          <w:p>
            <w:pPr>
              <w:spacing w:after="0"/>
            </w:pPr>
            <w:r>
              <w:rPr>
                <w:b w:val="false"/>
                <w:bCs w:val="false"/>
                <w:sz w:val="20"/>
                <w:szCs w:val="20"/>
              </w:rPr>
              <w:t xml:space="preserve">資訊與規則控制權</w:t>
            </w:r>
          </w:p>
        </w:tc>
        <w:tc>
          <w:tcPr>
            <w:tcW w:type="dxa" w:w="3600"/>
            <w:tcMar>
              <w:top w:type="dxa" w:w="80"/>
              <w:left w:type="dxa" w:w="120"/>
              <w:bottom w:type="dxa" w:w="80"/>
              <w:right w:type="dxa" w:w="120"/>
            </w:tcMar>
          </w:tcPr>
          <w:p>
            <w:pPr>
              <w:spacing w:after="0"/>
            </w:pPr>
            <w:r>
              <w:rPr>
                <w:b w:val="false"/>
                <w:bCs w:val="false"/>
                <w:sz w:val="20"/>
                <w:szCs w:val="20"/>
              </w:rPr>
              <w:t xml:space="preserve">黑箱與資訊不對稱</w:t>
            </w:r>
          </w:p>
        </w:tc>
        <w:tc>
          <w:tcPr>
            <w:tcW w:type="dxa" w:w="2200"/>
            <w:tcMar>
              <w:top w:type="dxa" w:w="80"/>
              <w:left w:type="dxa" w:w="120"/>
              <w:bottom w:type="dxa" w:w="80"/>
              <w:right w:type="dxa" w:w="120"/>
            </w:tcMar>
          </w:tcPr>
          <w:p>
            <w:pPr>
              <w:spacing w:after="0"/>
            </w:pPr>
            <w:r>
              <w:rPr>
                <w:b w:val="false"/>
                <w:bCs w:val="false"/>
                <w:sz w:val="20"/>
                <w:szCs w:val="20"/>
              </w:rPr>
              <w:t xml:space="preserve">透明鏈</w:t>
            </w:r>
          </w:p>
        </w:tc>
      </w:tr>
      <w:tr>
        <w:tc>
          <w:tcPr>
            <w:tcW w:type="dxa" w:w="3200"/>
            <w:tcMar>
              <w:top w:type="dxa" w:w="80"/>
              <w:left w:type="dxa" w:w="120"/>
              <w:bottom w:type="dxa" w:w="80"/>
              <w:right w:type="dxa" w:w="120"/>
            </w:tcMar>
          </w:tcPr>
          <w:p>
            <w:pPr>
              <w:spacing w:after="0"/>
            </w:pPr>
            <w:r>
              <w:rPr>
                <w:b w:val="false"/>
                <w:bCs w:val="false"/>
                <w:sz w:val="20"/>
                <w:szCs w:val="20"/>
              </w:rPr>
              <w:t xml:space="preserve">跨境性與管轄權落差</w:t>
            </w:r>
          </w:p>
        </w:tc>
        <w:tc>
          <w:tcPr>
            <w:tcW w:type="dxa" w:w="3600"/>
            <w:tcMar>
              <w:top w:type="dxa" w:w="80"/>
              <w:left w:type="dxa" w:w="120"/>
              <w:bottom w:type="dxa" w:w="80"/>
              <w:right w:type="dxa" w:w="120"/>
            </w:tcMar>
          </w:tcPr>
          <w:p>
            <w:pPr>
              <w:spacing w:after="0"/>
            </w:pPr>
            <w:r>
              <w:rPr>
                <w:b w:val="false"/>
                <w:bCs w:val="false"/>
                <w:sz w:val="20"/>
                <w:szCs w:val="20"/>
              </w:rPr>
              <w:t xml:space="preserve">管轄與執行落差</w:t>
            </w:r>
          </w:p>
        </w:tc>
        <w:tc>
          <w:tcPr>
            <w:tcW w:type="dxa" w:w="2200"/>
            <w:tcMar>
              <w:top w:type="dxa" w:w="80"/>
              <w:left w:type="dxa" w:w="120"/>
              <w:bottom w:type="dxa" w:w="80"/>
              <w:right w:type="dxa" w:w="120"/>
            </w:tcMar>
          </w:tcPr>
          <w:p>
            <w:pPr>
              <w:spacing w:after="0"/>
            </w:pPr>
            <w:r>
              <w:rPr>
                <w:b w:val="false"/>
                <w:bCs w:val="false"/>
                <w:sz w:val="20"/>
                <w:szCs w:val="20"/>
              </w:rPr>
              <w:t xml:space="preserve">負責鏈、課責鏈</w:t>
            </w:r>
          </w:p>
        </w:tc>
      </w:tr>
      <w:tr>
        <w:tc>
          <w:tcPr>
            <w:tcW w:type="dxa" w:w="3200"/>
            <w:tcMar>
              <w:top w:type="dxa" w:w="80"/>
              <w:left w:type="dxa" w:w="120"/>
              <w:bottom w:type="dxa" w:w="80"/>
              <w:right w:type="dxa" w:w="120"/>
            </w:tcMar>
          </w:tcPr>
          <w:p>
            <w:pPr>
              <w:spacing w:after="0"/>
            </w:pPr>
            <w:r>
              <w:rPr>
                <w:b w:val="false"/>
                <w:bCs w:val="false"/>
                <w:sz w:val="20"/>
                <w:szCs w:val="20"/>
              </w:rPr>
              <w:t xml:space="preserve">公共價值影響力</w:t>
            </w:r>
          </w:p>
        </w:tc>
        <w:tc>
          <w:tcPr>
            <w:tcW w:type="dxa" w:w="3600"/>
            <w:tcMar>
              <w:top w:type="dxa" w:w="80"/>
              <w:left w:type="dxa" w:w="120"/>
              <w:bottom w:type="dxa" w:w="80"/>
              <w:right w:type="dxa" w:w="120"/>
            </w:tcMar>
          </w:tcPr>
          <w:p>
            <w:pPr>
              <w:spacing w:after="0"/>
            </w:pPr>
            <w:r>
              <w:rPr>
                <w:b w:val="false"/>
                <w:bCs w:val="false"/>
                <w:sz w:val="20"/>
                <w:szCs w:val="20"/>
              </w:rPr>
              <w:t xml:space="preserve">基本權與民主風險</w:t>
            </w:r>
          </w:p>
        </w:tc>
        <w:tc>
          <w:tcPr>
            <w:tcW w:type="dxa" w:w="2200"/>
            <w:tcMar>
              <w:top w:type="dxa" w:w="80"/>
              <w:left w:type="dxa" w:w="120"/>
              <w:bottom w:type="dxa" w:w="80"/>
              <w:right w:type="dxa" w:w="120"/>
            </w:tcMar>
          </w:tcPr>
          <w:p>
            <w:pPr>
              <w:spacing w:after="0"/>
            </w:pPr>
            <w:r>
              <w:rPr>
                <w:b w:val="false"/>
                <w:bCs w:val="false"/>
                <w:sz w:val="20"/>
                <w:szCs w:val="20"/>
              </w:rPr>
              <w:t xml:space="preserve">公正鏈</w:t>
            </w:r>
          </w:p>
        </w:tc>
      </w:tr>
    </w:tbl>
    <w:p>
      <w:pPr>
        <w:spacing w:after="100" w:before="200"/>
      </w:pPr>
      <w:r>
        <w:rPr>
          <w:b/>
          <w:bCs/>
          <w:sz w:val="22"/>
          <w:szCs w:val="22"/>
        </w:rPr>
        <w:t xml:space="preserve">（一）六項座標的理論防衛</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600"/>
        <w:gridCol w:w="3800"/>
        <w:gridCol w:w="3600"/>
      </w:tblGrid>
      <w:tr>
        <w:tc>
          <w:tcPr>
            <w:tcW w:type="dxa" w:w="1600"/>
            <w:shd w:fill="DEEAF6" w:val="clear"/>
            <w:tcMar>
              <w:top w:type="dxa" w:w="80"/>
              <w:left w:type="dxa" w:w="120"/>
              <w:bottom w:type="dxa" w:w="80"/>
              <w:right w:type="dxa" w:w="120"/>
            </w:tcMar>
          </w:tcPr>
          <w:p>
            <w:pPr>
              <w:spacing w:after="0"/>
            </w:pPr>
            <w:r>
              <w:rPr>
                <w:b/>
                <w:bCs/>
                <w:sz w:val="20"/>
                <w:szCs w:val="20"/>
              </w:rPr>
              <w:t xml:space="preserve">座標</w:t>
            </w:r>
          </w:p>
        </w:tc>
        <w:tc>
          <w:tcPr>
            <w:tcW w:type="dxa" w:w="3800"/>
            <w:shd w:fill="DEEAF6" w:val="clear"/>
            <w:tcMar>
              <w:top w:type="dxa" w:w="80"/>
              <w:left w:type="dxa" w:w="120"/>
              <w:bottom w:type="dxa" w:w="80"/>
              <w:right w:type="dxa" w:w="120"/>
            </w:tcMar>
          </w:tcPr>
          <w:p>
            <w:pPr>
              <w:spacing w:after="0"/>
            </w:pPr>
            <w:r>
              <w:rPr>
                <w:b/>
                <w:bCs/>
                <w:sz w:val="20"/>
                <w:szCs w:val="20"/>
              </w:rPr>
              <w:t xml:space="preserve">可能攻擊</w:t>
            </w:r>
          </w:p>
        </w:tc>
        <w:tc>
          <w:tcPr>
            <w:tcW w:type="dxa" w:w="3600"/>
            <w:shd w:fill="DEEAF6" w:val="clear"/>
            <w:tcMar>
              <w:top w:type="dxa" w:w="80"/>
              <w:left w:type="dxa" w:w="120"/>
              <w:bottom w:type="dxa" w:w="80"/>
              <w:right w:type="dxa" w:w="120"/>
            </w:tcMar>
          </w:tcPr>
          <w:p>
            <w:pPr>
              <w:spacing w:after="0"/>
            </w:pPr>
            <w:r>
              <w:rPr>
                <w:b/>
                <w:bCs/>
                <w:sz w:val="20"/>
                <w:szCs w:val="20"/>
              </w:rPr>
              <w:t xml:space="preserve">理論防衛</w:t>
            </w:r>
          </w:p>
        </w:tc>
      </w:tr>
      <w:tr>
        <w:tc>
          <w:tcPr>
            <w:tcW w:type="dxa" w:w="1600"/>
            <w:tcMar>
              <w:top w:type="dxa" w:w="80"/>
              <w:left w:type="dxa" w:w="120"/>
              <w:bottom w:type="dxa" w:w="80"/>
              <w:right w:type="dxa" w:w="120"/>
            </w:tcMar>
          </w:tcPr>
          <w:p>
            <w:pPr>
              <w:spacing w:after="0"/>
            </w:pPr>
            <w:r>
              <w:rPr>
                <w:b w:val="false"/>
                <w:bCs w:val="false"/>
                <w:sz w:val="20"/>
                <w:szCs w:val="20"/>
              </w:rPr>
              <w:t xml:space="preserve">市場集中</w:t>
            </w:r>
          </w:p>
        </w:tc>
        <w:tc>
          <w:tcPr>
            <w:tcW w:type="dxa" w:w="3800"/>
            <w:tcMar>
              <w:top w:type="dxa" w:w="80"/>
              <w:left w:type="dxa" w:w="120"/>
              <w:bottom w:type="dxa" w:w="80"/>
              <w:right w:type="dxa" w:w="120"/>
            </w:tcMar>
          </w:tcPr>
          <w:p>
            <w:pPr>
              <w:spacing w:after="0"/>
            </w:pPr>
            <w:r>
              <w:rPr>
                <w:b w:val="false"/>
                <w:bCs w:val="false"/>
                <w:sz w:val="20"/>
                <w:szCs w:val="20"/>
              </w:rPr>
              <w:t xml:space="preserve">動態市場競爭可能使平台市占率快速改變。</w:t>
            </w:r>
          </w:p>
        </w:tc>
        <w:tc>
          <w:tcPr>
            <w:tcW w:type="dxa" w:w="3600"/>
            <w:tcMar>
              <w:top w:type="dxa" w:w="80"/>
              <w:left w:type="dxa" w:w="120"/>
              <w:bottom w:type="dxa" w:w="80"/>
              <w:right w:type="dxa" w:w="120"/>
            </w:tcMar>
          </w:tcPr>
          <w:p>
            <w:pPr>
              <w:spacing w:after="0"/>
            </w:pPr>
            <w:r>
              <w:rPr>
                <w:b w:val="false"/>
                <w:bCs w:val="false"/>
                <w:sz w:val="20"/>
                <w:szCs w:val="20"/>
              </w:rPr>
              <w:t xml:space="preserve">不以靜態市占率作為唯一標準，而觀察市場權力向公共領域外溢及生態系集中。</w:t>
            </w:r>
          </w:p>
        </w:tc>
      </w:tr>
      <w:tr>
        <w:tc>
          <w:tcPr>
            <w:tcW w:type="dxa" w:w="1600"/>
            <w:tcMar>
              <w:top w:type="dxa" w:w="80"/>
              <w:left w:type="dxa" w:w="120"/>
              <w:bottom w:type="dxa" w:w="80"/>
              <w:right w:type="dxa" w:w="120"/>
            </w:tcMar>
          </w:tcPr>
          <w:p>
            <w:pPr>
              <w:spacing w:after="0"/>
            </w:pPr>
            <w:r>
              <w:rPr>
                <w:b w:val="false"/>
                <w:bCs w:val="false"/>
                <w:sz w:val="20"/>
                <w:szCs w:val="20"/>
              </w:rPr>
              <w:t xml:space="preserve">公共依賴</w:t>
            </w:r>
          </w:p>
        </w:tc>
        <w:tc>
          <w:tcPr>
            <w:tcW w:type="dxa" w:w="3800"/>
            <w:tcMar>
              <w:top w:type="dxa" w:w="80"/>
              <w:left w:type="dxa" w:w="120"/>
              <w:bottom w:type="dxa" w:w="80"/>
              <w:right w:type="dxa" w:w="120"/>
            </w:tcMar>
          </w:tcPr>
          <w:p>
            <w:pPr>
              <w:spacing w:after="0"/>
            </w:pPr>
            <w:r>
              <w:rPr>
                <w:b w:val="false"/>
                <w:bCs w:val="false"/>
                <w:sz w:val="20"/>
                <w:szCs w:val="20"/>
              </w:rPr>
              <w:t xml:space="preserve">使用者及政府都是自願使用平台。</w:t>
            </w:r>
          </w:p>
        </w:tc>
        <w:tc>
          <w:tcPr>
            <w:tcW w:type="dxa" w:w="3600"/>
            <w:tcMar>
              <w:top w:type="dxa" w:w="80"/>
              <w:left w:type="dxa" w:w="120"/>
              <w:bottom w:type="dxa" w:w="80"/>
              <w:right w:type="dxa" w:w="120"/>
            </w:tcMar>
          </w:tcPr>
          <w:p>
            <w:pPr>
              <w:spacing w:after="0"/>
            </w:pPr>
            <w:r>
              <w:rPr>
                <w:b w:val="false"/>
                <w:bCs w:val="false"/>
                <w:sz w:val="20"/>
                <w:szCs w:val="20"/>
              </w:rPr>
              <w:t xml:space="preserve">強調「結構性非自願」：若公共服務沒有備援，公民實際上必須接受平台條款才能取得國家資訊。</w:t>
            </w:r>
          </w:p>
        </w:tc>
      </w:tr>
      <w:tr>
        <w:tc>
          <w:tcPr>
            <w:tcW w:type="dxa" w:w="1600"/>
            <w:tcMar>
              <w:top w:type="dxa" w:w="80"/>
              <w:left w:type="dxa" w:w="120"/>
              <w:bottom w:type="dxa" w:w="80"/>
              <w:right w:type="dxa" w:w="120"/>
            </w:tcMar>
          </w:tcPr>
          <w:p>
            <w:pPr>
              <w:spacing w:after="0"/>
            </w:pPr>
            <w:r>
              <w:rPr>
                <w:b w:val="false"/>
                <w:bCs w:val="false"/>
                <w:sz w:val="20"/>
                <w:szCs w:val="20"/>
              </w:rPr>
              <w:t xml:space="preserve">不可替代性</w:t>
            </w:r>
          </w:p>
        </w:tc>
        <w:tc>
          <w:tcPr>
            <w:tcW w:type="dxa" w:w="3800"/>
            <w:tcMar>
              <w:top w:type="dxa" w:w="80"/>
              <w:left w:type="dxa" w:w="120"/>
              <w:bottom w:type="dxa" w:w="80"/>
              <w:right w:type="dxa" w:w="120"/>
            </w:tcMar>
          </w:tcPr>
          <w:p>
            <w:pPr>
              <w:spacing w:after="0"/>
            </w:pPr>
            <w:r>
              <w:rPr>
                <w:b w:val="false"/>
                <w:bCs w:val="false"/>
                <w:sz w:val="20"/>
                <w:szCs w:val="20"/>
              </w:rPr>
              <w:t xml:space="preserve">技術上仍可開發替代 App。</w:t>
            </w:r>
          </w:p>
        </w:tc>
        <w:tc>
          <w:tcPr>
            <w:tcW w:type="dxa" w:w="3600"/>
            <w:tcMar>
              <w:top w:type="dxa" w:w="80"/>
              <w:left w:type="dxa" w:w="120"/>
              <w:bottom w:type="dxa" w:w="80"/>
              <w:right w:type="dxa" w:w="120"/>
            </w:tcMar>
          </w:tcPr>
          <w:p>
            <w:pPr>
              <w:spacing w:after="0"/>
            </w:pPr>
            <w:r>
              <w:rPr>
                <w:b w:val="false"/>
                <w:bCs w:val="false"/>
                <w:sz w:val="20"/>
                <w:szCs w:val="20"/>
              </w:rPr>
              <w:t xml:space="preserve">將焦點放在社會協調成本、網絡效應及系統性轉換成本，而非單純技術可替代性。</w:t>
            </w:r>
          </w:p>
        </w:tc>
      </w:tr>
      <w:tr>
        <w:tc>
          <w:tcPr>
            <w:tcW w:type="dxa" w:w="1600"/>
            <w:tcMar>
              <w:top w:type="dxa" w:w="80"/>
              <w:left w:type="dxa" w:w="120"/>
              <w:bottom w:type="dxa" w:w="80"/>
              <w:right w:type="dxa" w:w="120"/>
            </w:tcMar>
          </w:tcPr>
          <w:p>
            <w:pPr>
              <w:spacing w:after="0"/>
            </w:pPr>
            <w:r>
              <w:rPr>
                <w:b w:val="false"/>
                <w:bCs w:val="false"/>
                <w:sz w:val="20"/>
                <w:szCs w:val="20"/>
              </w:rPr>
              <w:t xml:space="preserve">規則控制權</w:t>
            </w:r>
          </w:p>
        </w:tc>
        <w:tc>
          <w:tcPr>
            <w:tcW w:type="dxa" w:w="3800"/>
            <w:tcMar>
              <w:top w:type="dxa" w:w="80"/>
              <w:left w:type="dxa" w:w="120"/>
              <w:bottom w:type="dxa" w:w="80"/>
              <w:right w:type="dxa" w:w="120"/>
            </w:tcMar>
          </w:tcPr>
          <w:p>
            <w:pPr>
              <w:spacing w:after="0"/>
            </w:pPr>
            <w:r>
              <w:rPr>
                <w:b w:val="false"/>
                <w:bCs w:val="false"/>
                <w:sz w:val="20"/>
                <w:szCs w:val="20"/>
              </w:rPr>
              <w:t xml:space="preserve">私人平台管理自有社群受財產權及商業言論自由保護。</w:t>
            </w:r>
          </w:p>
        </w:tc>
        <w:tc>
          <w:tcPr>
            <w:tcW w:type="dxa" w:w="3600"/>
            <w:tcMar>
              <w:top w:type="dxa" w:w="80"/>
              <w:left w:type="dxa" w:w="120"/>
              <w:bottom w:type="dxa" w:w="80"/>
              <w:right w:type="dxa" w:w="120"/>
            </w:tcMar>
          </w:tcPr>
          <w:p>
            <w:pPr>
              <w:spacing w:after="0"/>
            </w:pPr>
            <w:r>
              <w:rPr>
                <w:b w:val="false"/>
                <w:bCs w:val="false"/>
                <w:sz w:val="20"/>
                <w:szCs w:val="20"/>
              </w:rPr>
              <w:t xml:space="preserve">當私人規則產生廣泛公共效果時，應導入最低限度的理由說明、程序保障及救濟要求。</w:t>
            </w:r>
          </w:p>
        </w:tc>
      </w:tr>
      <w:tr>
        <w:tc>
          <w:tcPr>
            <w:tcW w:type="dxa" w:w="1600"/>
            <w:tcMar>
              <w:top w:type="dxa" w:w="80"/>
              <w:left w:type="dxa" w:w="120"/>
              <w:bottom w:type="dxa" w:w="80"/>
              <w:right w:type="dxa" w:w="120"/>
            </w:tcMar>
          </w:tcPr>
          <w:p>
            <w:pPr>
              <w:spacing w:after="0"/>
            </w:pPr>
            <w:r>
              <w:rPr>
                <w:b w:val="false"/>
                <w:bCs w:val="false"/>
                <w:sz w:val="20"/>
                <w:szCs w:val="20"/>
              </w:rPr>
              <w:t xml:space="preserve">跨境性</w:t>
            </w:r>
          </w:p>
        </w:tc>
        <w:tc>
          <w:tcPr>
            <w:tcW w:type="dxa" w:w="3800"/>
            <w:tcMar>
              <w:top w:type="dxa" w:w="80"/>
              <w:left w:type="dxa" w:w="120"/>
              <w:bottom w:type="dxa" w:w="80"/>
              <w:right w:type="dxa" w:w="120"/>
            </w:tcMar>
          </w:tcPr>
          <w:p>
            <w:pPr>
              <w:spacing w:after="0"/>
            </w:pPr>
            <w:r>
              <w:rPr>
                <w:b w:val="false"/>
                <w:bCs w:val="false"/>
                <w:sz w:val="20"/>
                <w:szCs w:val="20"/>
              </w:rPr>
              <w:t xml:space="preserve">國家強制規範可能造成平台撤出台灣。</w:t>
            </w:r>
          </w:p>
        </w:tc>
        <w:tc>
          <w:tcPr>
            <w:tcW w:type="dxa" w:w="3600"/>
            <w:tcMar>
              <w:top w:type="dxa" w:w="80"/>
              <w:left w:type="dxa" w:w="120"/>
              <w:bottom w:type="dxa" w:w="80"/>
              <w:right w:type="dxa" w:w="120"/>
            </w:tcMar>
          </w:tcPr>
          <w:p>
            <w:pPr>
              <w:spacing w:after="0"/>
            </w:pPr>
            <w:r>
              <w:rPr>
                <w:b w:val="false"/>
                <w:bCs w:val="false"/>
                <w:sz w:val="20"/>
                <w:szCs w:val="20"/>
              </w:rPr>
              <w:t xml:space="preserve">區分實體管轄與市場進入權，透過在地實質代理、連帶責任及市場准入條件提高規制能力。</w:t>
            </w:r>
          </w:p>
        </w:tc>
      </w:tr>
      <w:tr>
        <w:tc>
          <w:tcPr>
            <w:tcW w:type="dxa" w:w="1600"/>
            <w:tcMar>
              <w:top w:type="dxa" w:w="80"/>
              <w:left w:type="dxa" w:w="120"/>
              <w:bottom w:type="dxa" w:w="80"/>
              <w:right w:type="dxa" w:w="120"/>
            </w:tcMar>
          </w:tcPr>
          <w:p>
            <w:pPr>
              <w:spacing w:after="0"/>
            </w:pPr>
            <w:r>
              <w:rPr>
                <w:b w:val="false"/>
                <w:bCs w:val="false"/>
                <w:sz w:val="20"/>
                <w:szCs w:val="20"/>
              </w:rPr>
              <w:t xml:space="preserve">公共價值</w:t>
            </w:r>
          </w:p>
        </w:tc>
        <w:tc>
          <w:tcPr>
            <w:tcW w:type="dxa" w:w="3800"/>
            <w:tcMar>
              <w:top w:type="dxa" w:w="80"/>
              <w:left w:type="dxa" w:w="120"/>
              <w:bottom w:type="dxa" w:w="80"/>
              <w:right w:type="dxa" w:w="120"/>
            </w:tcMar>
          </w:tcPr>
          <w:p>
            <w:pPr>
              <w:spacing w:after="0"/>
            </w:pPr>
            <w:r>
              <w:rPr>
                <w:b w:val="false"/>
                <w:bCs w:val="false"/>
                <w:sz w:val="20"/>
                <w:szCs w:val="20"/>
              </w:rPr>
              <w:t xml:space="preserve">公共價值抽象，可能成為行政擴權工具。</w:t>
            </w:r>
          </w:p>
        </w:tc>
        <w:tc>
          <w:tcPr>
            <w:tcW w:type="dxa" w:w="3600"/>
            <w:tcMar>
              <w:top w:type="dxa" w:w="80"/>
              <w:left w:type="dxa" w:w="120"/>
              <w:bottom w:type="dxa" w:w="80"/>
              <w:right w:type="dxa" w:w="120"/>
            </w:tcMar>
          </w:tcPr>
          <w:p>
            <w:pPr>
              <w:spacing w:after="0"/>
            </w:pPr>
            <w:r>
              <w:rPr>
                <w:b w:val="false"/>
                <w:bCs w:val="false"/>
                <w:sz w:val="20"/>
                <w:szCs w:val="20"/>
              </w:rPr>
              <w:t xml:space="preserve">限縮於民主審議、言論市場多樣性、基本權保障、災害安全及公共服務連續性，並受比例原則與法律保留拘束。</w:t>
            </w:r>
          </w:p>
        </w:tc>
      </w:tr>
    </w:tbl>
    <w:p>
      <w:pPr>
        <w:spacing w:after="140" w:before="280"/>
      </w:pPr>
      <w:r>
        <w:rPr>
          <w:b/>
          <w:bCs/>
          <w:color w:val="1F4E79"/>
          <w:sz w:val="24"/>
          <w:szCs w:val="24"/>
        </w:rPr>
        <w:t xml:space="preserve">四、分級判斷模型</w:t>
      </w:r>
    </w:p>
    <w:p>
      <w:pPr>
        <w:spacing w:after="160" w:line="320"/>
        <w:ind w:firstLine="431"/>
      </w:pPr>
      <w:r>
        <w:t xml:space="preserve">六項座標並非同等權重、須全數達到最高程度的僵化必要條件，而是累積性的分級判斷因素。核心面向（公共依賴性、功能不可替代性、公共價值影響力）用以確認公共性是否存在；加重面向（市場集中與網絡效應、資訊流與規則控制權、跨境性與管轄權落差）用以評估公共性所需的治理強度與國家能力要求。加重面向並非次要。資訊流與帳號控制可能是公共價值影響的形成原因，但它說明的是公共效果如何被生產與放大，不能單獨替代核心面向的確認工作。三項核心面向不得互相取代計分。</w:t>
      </w:r>
    </w:p>
    <w:p>
      <w:pPr>
        <w:spacing w:after="160" w:line="320"/>
        <w:ind w:firstLine="431"/>
      </w:pPr>
      <w:r>
        <w:t xml:space="preserve">在核心面向中，公共依賴性與功能不可替代性尤須分別評估，不宜互相取代計算：前者描述政府與公民對特定平台的使用結構，即政府機關或公眾是否已高度倚賴該平台發布資訊、驗證身分或傳遞服務；後者則描述該平台一旦中斷、停權或退出時所造成的後果，即是否存在可即時銜接的低成本替代方案。某一平台可能具有高度公共依賴，卻仍有可行替代路徑；也可能目前使用規模有限，卻因掌握特定災防通報或公共服務節點而具有高度不可替代性。</w:t>
      </w:r>
    </w:p>
    <w:p>
      <w:pPr>
        <w:spacing w:after="160" w:line="320"/>
        <w:ind w:firstLine="431"/>
      </w:pPr>
      <w:r>
        <w:t xml:space="preserve">功能不可替代性具有「義務優先觸發」效果，但此效果不改變準公共平台的正式認定標準。二者應明確區分：（1）準公共平台認定，仍採三項核心面向均達高度，並至少具備一項加重因素的完整組合；（2）緊急或高影響義務觸發，則在功能不可替代性已達高度、且市場上不存在低成本替代方案時即可啟動——即使市場集中或跨境性等加重因素尚不明顯，仍應優先適用高影響平台等級之透明、備援與服務連續性要求，不因欠缺其他加重因素而完全排除規制。換言之，「是否具備可退出性」是啟動部分義務的門檻，不是單獨改寫準公共平台認定公式的充分條件。</w:t>
      </w:r>
    </w:p>
    <w:p>
      <w:pPr>
        <w:spacing w:after="160" w:line="320"/>
        <w:ind w:firstLine="431"/>
      </w:pPr>
      <w:r>
        <w:t xml:space="preserve">依此，本文提出以下暫定分級模型，作為後續陸章個案分析與柒章制度設計的判斷依據（下表門檻與義務組合僅為說明性設計，尚待後續實證研究進一步校準）。為使『低度／中度／高度』的判斷更具可操作性，下表先針對三項核心面向提供暫定低／中／高分類基準（同屬說明性設計，尚待後續實證研究校準）：</w:t>
      </w:r>
    </w:p>
    <w:p>
      <w:pPr>
        <w:spacing w:after="160" w:line="320"/>
        <w:ind w:firstLine="431"/>
      </w:pPr>
      <w:r>
        <w:t xml:space="preserve">對每一組「平台—特定公共功能」，依下列六步判定，步驟不可跳號，也不可把後步結果倒推前步。（1）界定功能：寫明特定公共功能、使用主體與公共效果類型；排除純娛樂或一般商業功能，除非能證明其已承載公共服務或基本權效果。（2）公共性確認：分評三項核心面向為低／中／高；若三項均低，且功能不涉重大公共服務、基本權或公共安全，進入一般平台。（3）高影響義務觸發：功能不可替代性已達高度，且不存在可即時銜接的低成本替代時，即使加重因素不明顯，仍啟動高影響等級之透明、備援與服務連續性義務；此步不構成準公共正式認定。（4）準公共正式認定：三項核心面向均達高度，且至少一項加重因素有 A 或 B 級證據；缺加重證據時，不得僅因規模而指定。（5）義務配置：一般平台適用既有競爭、消費者與個資規範；高影響平台增加透明、風險揭露，必要時包括備援與連續性；準公共平台配置課責、負責、透明、公正及退場備援之完整組合。（6）複評、退出與降級：依賴結構、替代方案、控制權或服務範圍改變時，得降級或解除指定，一次指定不永久鎖定。若任一核心面向達中度以上，或雖評估尚不完整但已出現高度不可替代性跡象，均不得直接歸入一般平台，應進入步驟3或補充調查，避免資料不足時過早排除公共性。</w:t>
      </w:r>
    </w:p>
    <w:p>
      <w:pPr>
        <w:spacing w:after="160" w:line="320"/>
        <w:ind w:firstLine="431"/>
      </w:pPr>
      <w:r>
        <w:t xml:space="preserve">座標評估規則：低／中／高是分類判斷，不是數值評分，不計算加權總分，也不主張統計信度。制度事實原則上應以 A／B 級資料為主，並盡可能以 C／D 級資料交叉核對；若無法同時取得兩類資料，或來源衝突，應標示為暫定判斷與資料限制，不得逕列為高度或已確證事實。證據等級為 A 官方法律、判決或正式決定，B 政府統計、契約、採購或行政文件，C 學術研究或可靠調查，D 媒體報導或利害關係人主張。僅有 D 級資料時該格應標「資料不足」。一人作成分級判斷時，應在方法中聲明限制，並將原始評估表置於附錄供複核。</w:t>
      </w:r>
    </w:p>
    <w:p>
      <w:pPr>
        <w:spacing w:after="160" w:line="320"/>
        <w:ind w:firstLine="431"/>
      </w:pPr>
      <w:r>
        <w:t xml:space="preserve">加重面向之暫定量尺如下，供與核心面向同一套低／中／高語言並用。市場集中：低度為該功能所在市場競爭充分；中度為具明顯網絡效應或資料優勢但仍有可觀察競爭者；高度為生態系鎖定且市場權力已外溢至公共資訊或公共服務分配。資訊與規則控制：低度為使用者較易改用其他入口；中度為平台可實質影響可見性或帳號存取、但公共機關仍有替代發布能力；高度為平台規則與演算法可決定公共資訊能否被看見、何人可使用該公共功能。跨境管轄：低度為在地有可送達、可處置的責任主體；中度為有在地窗口但處置權有限；高度為主要決策與資料在境外、在地僅聯絡窗口。</w:t>
      </w:r>
    </w:p>
    <w:p>
      <w:pPr>
        <w:spacing w:after="160" w:line="320"/>
        <w:ind w:firstLine="431"/>
      </w:pPr>
      <w:r>
        <w:t xml:space="preserve">「實質可行替代」指在可預期期間內，公共機關或使用者能以可負擔成本轉用其他通路，且不因此喪失該項公共功能。技術上存在另一應用程式，但缺乏用戶基數、機關契約或互通安排者，不構成實質可行替代。「可證明的功能性關聯」指核心面向的中度或高度，必須能指出該功能如何承載公共服務、災防、身分、公共資訊或基本權效果；一般娛樂、廣告或購物功能不因同一品牌而連帶升級。</w:t>
      </w:r>
    </w:p>
    <w:p>
      <w:pPr>
        <w:spacing w:after="160" w:line="320"/>
        <w:ind w:firstLine="431"/>
      </w:pPr>
      <w:r>
        <w:t xml:space="preserve">功能不可替代性高度，只啟動高影響等級中與服務連續性有關的義務（風險揭露、備援、中斷通知、最低替代通路）。它不單獨完成準公共認定，也不自動啟動完整課責、在地代理人或公正鏈全部工具。若步驟3已觸發、步驟4尚未成立，正文應寫「該功能因不可替代性進入高影響義務，尚未構成準公共平台」。</w:t>
      </w:r>
    </w:p>
    <w:p>
      <w:pPr>
        <w:spacing w:after="160" w:line="320"/>
        <w:ind w:firstLine="431"/>
      </w:pPr>
      <w:r>
        <w:t xml:space="preserve">座標衝突之處理：高依賴但低不可替代（機關大量使用、但官方網站與簡訊可短期接替）不得逕列準公共；低依賴但高不可替代（規模有限、卻掌握災防或身分節點）應先觸發備援與連續性義務；高市場集中但三核心均低，維持一般平台；高規則控制但公共價值僅中度，可列高影響並要求透明與程序說明，在依賴與不可替代未達高度前不升為準公共。</w:t>
      </w:r>
    </w:p>
    <w:p>
      <w:pPr>
        <w:spacing w:after="160" w:line="320"/>
        <w:ind w:firstLine="431"/>
      </w:pPr>
      <w:r>
        <w:t xml:space="preserve">後續伍章、陸章對每一「平台—功能」使用同一張座標評估表，欄位固定為：平台、特定公共功能、六項座標各列證據摘要與等級、低中高、是否構成功能性關聯、是否觸發步驟3、分級結果、義務清單、複評條件、資料缺口。凡標資料缺口者，該格只能寫「暫列／待核對」，不能寫成已證實的制度事實。本規則用來約束作者判斷，不是用來擴張行政分類權。</w:t>
      </w:r>
    </w:p>
    <w:tbl>
      <w:tblPr>
        <w:tblW w:type="dxa" w:w="10600"/>
        <w:tblBorders>
          <w:top w:val="single" w:color="auto" w:sz="4"/>
          <w:left w:val="single" w:color="auto" w:sz="4"/>
          <w:bottom w:val="single" w:color="auto" w:sz="4"/>
          <w:right w:val="single" w:color="auto" w:sz="4"/>
          <w:insideH w:val="single" w:color="auto" w:sz="4"/>
          <w:insideV w:val="single" w:color="auto" w:sz="4"/>
        </w:tblBorders>
      </w:tblPr>
      <w:tblGrid>
        <w:gridCol w:w="2200"/>
        <w:gridCol w:w="2800"/>
        <w:gridCol w:w="2800"/>
        <w:gridCol w:w="2800"/>
      </w:tblGrid>
      <w:tr>
        <w:tc>
          <w:tcPr>
            <w:tcW w:type="dxa" w:w="2200"/>
            <w:shd w:fill="DEEAF6" w:val="clear"/>
            <w:tcMar>
              <w:top w:type="dxa" w:w="80"/>
              <w:left w:type="dxa" w:w="120"/>
              <w:bottom w:type="dxa" w:w="80"/>
              <w:right w:type="dxa" w:w="120"/>
            </w:tcMar>
          </w:tcPr>
          <w:p>
            <w:pPr>
              <w:spacing w:after="0"/>
            </w:pPr>
            <w:r>
              <w:rPr>
                <w:b/>
                <w:bCs/>
                <w:sz w:val="20"/>
                <w:szCs w:val="20"/>
              </w:rPr>
              <w:t xml:space="preserve">面向</w:t>
            </w:r>
          </w:p>
        </w:tc>
        <w:tc>
          <w:tcPr>
            <w:tcW w:type="dxa" w:w="2800"/>
            <w:shd w:fill="DEEAF6" w:val="clear"/>
            <w:tcMar>
              <w:top w:type="dxa" w:w="80"/>
              <w:left w:type="dxa" w:w="120"/>
              <w:bottom w:type="dxa" w:w="80"/>
              <w:right w:type="dxa" w:w="120"/>
            </w:tcMar>
          </w:tcPr>
          <w:p>
            <w:pPr>
              <w:spacing w:after="0"/>
            </w:pPr>
            <w:r>
              <w:rPr>
                <w:b/>
                <w:bCs/>
                <w:sz w:val="20"/>
                <w:szCs w:val="20"/>
              </w:rPr>
              <w:t xml:space="preserve">低度</w:t>
            </w:r>
          </w:p>
        </w:tc>
        <w:tc>
          <w:tcPr>
            <w:tcW w:type="dxa" w:w="2800"/>
            <w:shd w:fill="DEEAF6" w:val="clear"/>
            <w:tcMar>
              <w:top w:type="dxa" w:w="80"/>
              <w:left w:type="dxa" w:w="120"/>
              <w:bottom w:type="dxa" w:w="80"/>
              <w:right w:type="dxa" w:w="120"/>
            </w:tcMar>
          </w:tcPr>
          <w:p>
            <w:pPr>
              <w:spacing w:after="0"/>
            </w:pPr>
            <w:r>
              <w:rPr>
                <w:b/>
                <w:bCs/>
                <w:sz w:val="20"/>
                <w:szCs w:val="20"/>
              </w:rPr>
              <w:t xml:space="preserve">中度</w:t>
            </w:r>
          </w:p>
        </w:tc>
        <w:tc>
          <w:tcPr>
            <w:tcW w:type="dxa" w:w="2800"/>
            <w:shd w:fill="DEEAF6" w:val="clear"/>
            <w:tcMar>
              <w:top w:type="dxa" w:w="80"/>
              <w:left w:type="dxa" w:w="120"/>
              <w:bottom w:type="dxa" w:w="80"/>
              <w:right w:type="dxa" w:w="120"/>
            </w:tcMar>
          </w:tcPr>
          <w:p>
            <w:pPr>
              <w:spacing w:after="0"/>
            </w:pPr>
            <w:r>
              <w:rPr>
                <w:b/>
                <w:bCs/>
                <w:sz w:val="20"/>
                <w:szCs w:val="20"/>
              </w:rPr>
              <w:t xml:space="preserve">高度</w:t>
            </w:r>
          </w:p>
        </w:tc>
      </w:tr>
      <w:tr>
        <w:tc>
          <w:tcPr>
            <w:tcW w:type="dxa" w:w="2200"/>
            <w:tcMar>
              <w:top w:type="dxa" w:w="80"/>
              <w:left w:type="dxa" w:w="120"/>
              <w:bottom w:type="dxa" w:w="80"/>
              <w:right w:type="dxa" w:w="120"/>
            </w:tcMar>
          </w:tcPr>
          <w:p>
            <w:pPr>
              <w:spacing w:after="0"/>
            </w:pPr>
            <w:r>
              <w:rPr>
                <w:b w:val="false"/>
                <w:bCs w:val="false"/>
                <w:sz w:val="20"/>
                <w:szCs w:val="20"/>
              </w:rPr>
              <w:t xml:space="preserve">公共依賴性</w:t>
            </w:r>
          </w:p>
        </w:tc>
        <w:tc>
          <w:tcPr>
            <w:tcW w:type="dxa" w:w="2800"/>
            <w:tcMar>
              <w:top w:type="dxa" w:w="80"/>
              <w:left w:type="dxa" w:w="120"/>
              <w:bottom w:type="dxa" w:w="80"/>
              <w:right w:type="dxa" w:w="120"/>
            </w:tcMar>
          </w:tcPr>
          <w:p>
            <w:pPr>
              <w:spacing w:after="0"/>
            </w:pPr>
            <w:r>
              <w:rPr>
                <w:b w:val="false"/>
                <w:bCs w:val="false"/>
                <w:sz w:val="20"/>
                <w:szCs w:val="20"/>
              </w:rPr>
              <w:t xml:space="preserve">僅個別機關使用</w:t>
            </w:r>
          </w:p>
        </w:tc>
        <w:tc>
          <w:tcPr>
            <w:tcW w:type="dxa" w:w="2800"/>
            <w:tcMar>
              <w:top w:type="dxa" w:w="80"/>
              <w:left w:type="dxa" w:w="120"/>
              <w:bottom w:type="dxa" w:w="80"/>
              <w:right w:type="dxa" w:w="120"/>
            </w:tcMar>
          </w:tcPr>
          <w:p>
            <w:pPr>
              <w:spacing w:after="0"/>
            </w:pPr>
            <w:r>
              <w:rPr>
                <w:b w:val="false"/>
                <w:bCs w:val="false"/>
                <w:sz w:val="20"/>
                <w:szCs w:val="20"/>
              </w:rPr>
              <w:t xml:space="preserve">多數機關或特定群體依賴</w:t>
            </w:r>
          </w:p>
        </w:tc>
        <w:tc>
          <w:tcPr>
            <w:tcW w:type="dxa" w:w="2800"/>
            <w:tcMar>
              <w:top w:type="dxa" w:w="80"/>
              <w:left w:type="dxa" w:w="120"/>
              <w:bottom w:type="dxa" w:w="80"/>
              <w:right w:type="dxa" w:w="120"/>
            </w:tcMar>
          </w:tcPr>
          <w:p>
            <w:pPr>
              <w:spacing w:after="0"/>
            </w:pPr>
            <w:r>
              <w:rPr>
                <w:b w:val="false"/>
                <w:bCs w:val="false"/>
                <w:sz w:val="20"/>
                <w:szCs w:val="20"/>
              </w:rPr>
              <w:t xml:space="preserve">公共服務或災防高度依賴</w:t>
            </w:r>
          </w:p>
        </w:tc>
      </w:tr>
      <w:tr>
        <w:tc>
          <w:tcPr>
            <w:tcW w:type="dxa" w:w="2200"/>
            <w:tcMar>
              <w:top w:type="dxa" w:w="80"/>
              <w:left w:type="dxa" w:w="120"/>
              <w:bottom w:type="dxa" w:w="80"/>
              <w:right w:type="dxa" w:w="120"/>
            </w:tcMar>
          </w:tcPr>
          <w:p>
            <w:pPr>
              <w:spacing w:after="0"/>
            </w:pPr>
            <w:r>
              <w:rPr>
                <w:b w:val="false"/>
                <w:bCs w:val="false"/>
                <w:sz w:val="20"/>
                <w:szCs w:val="20"/>
              </w:rPr>
              <w:t xml:space="preserve">不可替代性</w:t>
            </w:r>
          </w:p>
        </w:tc>
        <w:tc>
          <w:tcPr>
            <w:tcW w:type="dxa" w:w="2800"/>
            <w:tcMar>
              <w:top w:type="dxa" w:w="80"/>
              <w:left w:type="dxa" w:w="120"/>
              <w:bottom w:type="dxa" w:w="80"/>
              <w:right w:type="dxa" w:w="120"/>
            </w:tcMar>
          </w:tcPr>
          <w:p>
            <w:pPr>
              <w:spacing w:after="0"/>
            </w:pPr>
            <w:r>
              <w:rPr>
                <w:b w:val="false"/>
                <w:bCs w:val="false"/>
                <w:sz w:val="20"/>
                <w:szCs w:val="20"/>
              </w:rPr>
              <w:t xml:space="preserve">可於短期內轉換</w:t>
            </w:r>
          </w:p>
        </w:tc>
        <w:tc>
          <w:tcPr>
            <w:tcW w:type="dxa" w:w="2800"/>
            <w:tcMar>
              <w:top w:type="dxa" w:w="80"/>
              <w:left w:type="dxa" w:w="120"/>
              <w:bottom w:type="dxa" w:w="80"/>
              <w:right w:type="dxa" w:w="120"/>
            </w:tcMar>
          </w:tcPr>
          <w:p>
            <w:pPr>
              <w:spacing w:after="0"/>
            </w:pPr>
            <w:r>
              <w:rPr>
                <w:b w:val="false"/>
                <w:bCs w:val="false"/>
                <w:sz w:val="20"/>
                <w:szCs w:val="20"/>
              </w:rPr>
              <w:t xml:space="preserve">轉換需付出顯著成本</w:t>
            </w:r>
          </w:p>
        </w:tc>
        <w:tc>
          <w:tcPr>
            <w:tcW w:type="dxa" w:w="2800"/>
            <w:tcMar>
              <w:top w:type="dxa" w:w="80"/>
              <w:left w:type="dxa" w:w="120"/>
              <w:bottom w:type="dxa" w:w="80"/>
              <w:right w:type="dxa" w:w="120"/>
            </w:tcMar>
          </w:tcPr>
          <w:p>
            <w:pPr>
              <w:spacing w:after="0"/>
            </w:pPr>
            <w:r>
              <w:rPr>
                <w:b w:val="false"/>
                <w:bCs w:val="false"/>
                <w:sz w:val="20"/>
                <w:szCs w:val="20"/>
              </w:rPr>
              <w:t xml:space="preserve">中斷將造成重大公共損害</w:t>
            </w:r>
          </w:p>
        </w:tc>
      </w:tr>
      <w:tr>
        <w:tc>
          <w:tcPr>
            <w:tcW w:type="dxa" w:w="2200"/>
            <w:tcMar>
              <w:top w:type="dxa" w:w="80"/>
              <w:left w:type="dxa" w:w="120"/>
              <w:bottom w:type="dxa" w:w="80"/>
              <w:right w:type="dxa" w:w="120"/>
            </w:tcMar>
          </w:tcPr>
          <w:p>
            <w:pPr>
              <w:spacing w:after="0"/>
            </w:pPr>
            <w:r>
              <w:rPr>
                <w:b w:val="false"/>
                <w:bCs w:val="false"/>
                <w:sz w:val="20"/>
                <w:szCs w:val="20"/>
              </w:rPr>
              <w:t xml:space="preserve">公共價值影響</w:t>
            </w:r>
          </w:p>
        </w:tc>
        <w:tc>
          <w:tcPr>
            <w:tcW w:type="dxa" w:w="2800"/>
            <w:tcMar>
              <w:top w:type="dxa" w:w="80"/>
              <w:left w:type="dxa" w:w="120"/>
              <w:bottom w:type="dxa" w:w="80"/>
              <w:right w:type="dxa" w:w="120"/>
            </w:tcMar>
          </w:tcPr>
          <w:p>
            <w:pPr>
              <w:spacing w:after="0"/>
            </w:pPr>
            <w:r>
              <w:rPr>
                <w:b w:val="false"/>
                <w:bCs w:val="false"/>
                <w:sz w:val="20"/>
                <w:szCs w:val="20"/>
              </w:rPr>
              <w:t xml:space="preserve">個別使用者權益</w:t>
            </w:r>
          </w:p>
        </w:tc>
        <w:tc>
          <w:tcPr>
            <w:tcW w:type="dxa" w:w="2800"/>
            <w:tcMar>
              <w:top w:type="dxa" w:w="80"/>
              <w:left w:type="dxa" w:w="120"/>
              <w:bottom w:type="dxa" w:w="80"/>
              <w:right w:type="dxa" w:w="120"/>
            </w:tcMar>
          </w:tcPr>
          <w:p>
            <w:pPr>
              <w:spacing w:after="0"/>
            </w:pPr>
            <w:r>
              <w:rPr>
                <w:b w:val="false"/>
                <w:bCs w:val="false"/>
                <w:sz w:val="20"/>
                <w:szCs w:val="20"/>
              </w:rPr>
              <w:t xml:space="preserve">特定公共領域受影響</w:t>
            </w:r>
          </w:p>
        </w:tc>
        <w:tc>
          <w:tcPr>
            <w:tcW w:type="dxa" w:w="2800"/>
            <w:tcMar>
              <w:top w:type="dxa" w:w="80"/>
              <w:left w:type="dxa" w:w="120"/>
              <w:bottom w:type="dxa" w:w="80"/>
              <w:right w:type="dxa" w:w="120"/>
            </w:tcMar>
          </w:tcPr>
          <w:p>
            <w:pPr>
              <w:spacing w:after="0"/>
            </w:pPr>
            <w:r>
              <w:rPr>
                <w:b w:val="false"/>
                <w:bCs w:val="false"/>
                <w:sz w:val="20"/>
                <w:szCs w:val="20"/>
              </w:rPr>
              <w:t xml:space="preserve">基本權、民主審議或公共安全受影響</w:t>
            </w:r>
          </w:p>
        </w:tc>
      </w:tr>
    </w:tbl>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1800"/>
        <w:gridCol w:w="5000"/>
        <w:gridCol w:w="2600"/>
      </w:tblGrid>
      <w:tr>
        <w:tc>
          <w:tcPr>
            <w:tcW w:type="dxa" w:w="1800"/>
            <w:shd w:fill="DEEAF6" w:val="clear"/>
            <w:tcMar>
              <w:top w:type="dxa" w:w="80"/>
              <w:left w:type="dxa" w:w="120"/>
              <w:bottom w:type="dxa" w:w="80"/>
              <w:right w:type="dxa" w:w="120"/>
            </w:tcMar>
          </w:tcPr>
          <w:p>
            <w:pPr>
              <w:spacing w:after="0"/>
            </w:pPr>
            <w:r>
              <w:rPr>
                <w:b/>
                <w:bCs/>
                <w:sz w:val="20"/>
                <w:szCs w:val="20"/>
              </w:rPr>
              <w:t xml:space="preserve">層級</w:t>
            </w:r>
          </w:p>
        </w:tc>
        <w:tc>
          <w:tcPr>
            <w:tcW w:type="dxa" w:w="5000"/>
            <w:shd w:fill="DEEAF6" w:val="clear"/>
            <w:tcMar>
              <w:top w:type="dxa" w:w="80"/>
              <w:left w:type="dxa" w:w="120"/>
              <w:bottom w:type="dxa" w:w="80"/>
              <w:right w:type="dxa" w:w="120"/>
            </w:tcMar>
          </w:tcPr>
          <w:p>
            <w:pPr>
              <w:spacing w:after="0"/>
            </w:pPr>
            <w:r>
              <w:rPr>
                <w:b/>
                <w:bCs/>
                <w:sz w:val="20"/>
                <w:szCs w:val="20"/>
              </w:rPr>
              <w:t xml:space="preserve">判定方式（六項座標組合條件）</w:t>
            </w:r>
          </w:p>
        </w:tc>
        <w:tc>
          <w:tcPr>
            <w:tcW w:type="dxa" w:w="2600"/>
            <w:shd w:fill="DEEAF6" w:val="clear"/>
            <w:tcMar>
              <w:top w:type="dxa" w:w="80"/>
              <w:left w:type="dxa" w:w="120"/>
              <w:bottom w:type="dxa" w:w="80"/>
              <w:right w:type="dxa" w:w="120"/>
            </w:tcMar>
          </w:tcPr>
          <w:p>
            <w:pPr>
              <w:spacing w:after="0"/>
            </w:pPr>
            <w:r>
              <w:rPr>
                <w:b/>
                <w:bCs/>
                <w:sz w:val="20"/>
                <w:szCs w:val="20"/>
              </w:rPr>
              <w:t xml:space="preserve">主要義務</w:t>
            </w:r>
          </w:p>
        </w:tc>
      </w:tr>
      <w:tr>
        <w:tc>
          <w:tcPr>
            <w:tcW w:type="dxa" w:w="1800"/>
            <w:tcMar>
              <w:top w:type="dxa" w:w="80"/>
              <w:left w:type="dxa" w:w="120"/>
              <w:bottom w:type="dxa" w:w="80"/>
              <w:right w:type="dxa" w:w="120"/>
            </w:tcMar>
          </w:tcPr>
          <w:p>
            <w:pPr>
              <w:spacing w:after="0"/>
            </w:pPr>
            <w:r>
              <w:rPr>
                <w:b w:val="false"/>
                <w:bCs w:val="false"/>
                <w:sz w:val="20"/>
                <w:szCs w:val="20"/>
              </w:rPr>
              <w:t xml:space="preserve">一般平台</w:t>
            </w:r>
          </w:p>
        </w:tc>
        <w:tc>
          <w:tcPr>
            <w:tcW w:type="dxa" w:w="5000"/>
            <w:tcMar>
              <w:top w:type="dxa" w:w="80"/>
              <w:left w:type="dxa" w:w="120"/>
              <w:bottom w:type="dxa" w:w="80"/>
              <w:right w:type="dxa" w:w="120"/>
            </w:tcMar>
          </w:tcPr>
          <w:p>
            <w:pPr>
              <w:spacing w:after="0"/>
            </w:pPr>
            <w:r>
              <w:rPr>
                <w:b w:val="false"/>
                <w:bCs w:val="false"/>
                <w:sz w:val="20"/>
                <w:szCs w:val="20"/>
              </w:rPr>
              <w:t xml:space="preserve">三項核心面向均低，且該特定功能不涉及重大公共服務、基本權或公共安全；即使平台具有一定市場集中度，只要仍存在實質可行的替代方案，原則上適用一般市場規範。</w:t>
            </w:r>
          </w:p>
        </w:tc>
        <w:tc>
          <w:tcPr>
            <w:tcW w:type="dxa" w:w="2600"/>
            <w:tcMar>
              <w:top w:type="dxa" w:w="80"/>
              <w:left w:type="dxa" w:w="120"/>
              <w:bottom w:type="dxa" w:w="80"/>
              <w:right w:type="dxa" w:w="120"/>
            </w:tcMar>
          </w:tcPr>
          <w:p>
            <w:pPr>
              <w:spacing w:after="0"/>
            </w:pPr>
            <w:r>
              <w:rPr>
                <w:b w:val="false"/>
                <w:bCs w:val="false"/>
                <w:sz w:val="20"/>
                <w:szCs w:val="20"/>
              </w:rPr>
              <w:t xml:space="preserve">適用一般競爭、消費者保護及個人資料規範。</w:t>
            </w:r>
          </w:p>
        </w:tc>
      </w:tr>
      <w:tr>
        <w:tc>
          <w:tcPr>
            <w:tcW w:type="dxa" w:w="1800"/>
            <w:tcMar>
              <w:top w:type="dxa" w:w="80"/>
              <w:left w:type="dxa" w:w="120"/>
              <w:bottom w:type="dxa" w:w="80"/>
              <w:right w:type="dxa" w:w="120"/>
            </w:tcMar>
          </w:tcPr>
          <w:p>
            <w:pPr>
              <w:spacing w:after="0"/>
            </w:pPr>
            <w:r>
              <w:rPr>
                <w:b w:val="false"/>
                <w:bCs w:val="false"/>
                <w:sz w:val="20"/>
                <w:szCs w:val="20"/>
              </w:rPr>
              <w:t xml:space="preserve">高影響平台</w:t>
            </w:r>
          </w:p>
        </w:tc>
        <w:tc>
          <w:tcPr>
            <w:tcW w:type="dxa" w:w="5000"/>
            <w:tcMar>
              <w:top w:type="dxa" w:w="80"/>
              <w:left w:type="dxa" w:w="120"/>
              <w:bottom w:type="dxa" w:w="80"/>
              <w:right w:type="dxa" w:w="120"/>
            </w:tcMar>
          </w:tcPr>
          <w:p>
            <w:pPr>
              <w:spacing w:after="0"/>
            </w:pPr>
            <w:r>
              <w:rPr>
                <w:b w:val="false"/>
                <w:bCs w:val="false"/>
                <w:sz w:val="20"/>
                <w:szCs w:val="20"/>
              </w:rPr>
              <w:t xml:space="preserve">三項核心面向其中至少一項達中度以上，該面向與具體公共功能存在可證明的功能性關聯，且伴隨至少一項加重因素。不得僅因市場規模大，即將一般娛樂或商業功能逕列為高影響公共功能。</w:t>
            </w:r>
          </w:p>
        </w:tc>
        <w:tc>
          <w:tcPr>
            <w:tcW w:type="dxa" w:w="2600"/>
            <w:tcMar>
              <w:top w:type="dxa" w:w="80"/>
              <w:left w:type="dxa" w:w="120"/>
              <w:bottom w:type="dxa" w:w="80"/>
              <w:right w:type="dxa" w:w="120"/>
            </w:tcMar>
          </w:tcPr>
          <w:p>
            <w:pPr>
              <w:spacing w:after="0"/>
            </w:pPr>
            <w:r>
              <w:rPr>
                <w:b w:val="false"/>
                <w:bCs w:val="false"/>
                <w:sz w:val="20"/>
                <w:szCs w:val="20"/>
              </w:rPr>
              <w:t xml:space="preserve">增加透明度與風險揭露義務。</w:t>
            </w:r>
          </w:p>
        </w:tc>
      </w:tr>
      <w:tr>
        <w:tc>
          <w:tcPr>
            <w:tcW w:type="dxa" w:w="1800"/>
            <w:tcMar>
              <w:top w:type="dxa" w:w="80"/>
              <w:left w:type="dxa" w:w="120"/>
              <w:bottom w:type="dxa" w:w="80"/>
              <w:right w:type="dxa" w:w="120"/>
            </w:tcMar>
          </w:tcPr>
          <w:p>
            <w:pPr>
              <w:spacing w:after="0"/>
            </w:pPr>
            <w:r>
              <w:rPr>
                <w:b w:val="false"/>
                <w:bCs w:val="false"/>
                <w:sz w:val="20"/>
                <w:szCs w:val="20"/>
              </w:rPr>
              <w:t xml:space="preserve">準公共平台</w:t>
            </w:r>
          </w:p>
        </w:tc>
        <w:tc>
          <w:tcPr>
            <w:tcW w:type="dxa" w:w="5000"/>
            <w:tcMar>
              <w:top w:type="dxa" w:w="80"/>
              <w:left w:type="dxa" w:w="120"/>
              <w:bottom w:type="dxa" w:w="80"/>
              <w:right w:type="dxa" w:w="120"/>
            </w:tcMar>
          </w:tcPr>
          <w:p>
            <w:pPr>
              <w:spacing w:after="0"/>
            </w:pPr>
            <w:r>
              <w:rPr>
                <w:b w:val="false"/>
                <w:bCs w:val="false"/>
                <w:sz w:val="20"/>
                <w:szCs w:val="20"/>
              </w:rPr>
              <w:t xml:space="preserve">三項核心面向均達高度，並至少具備一項有證據支撐的加重因素。功能不可替代性單獨達高度時，只觸發高影響等級之透明、備援與連續性義務，尚不構成準公共平台正式認定。</w:t>
            </w:r>
          </w:p>
        </w:tc>
        <w:tc>
          <w:tcPr>
            <w:tcW w:type="dxa" w:w="2600"/>
            <w:tcMar>
              <w:top w:type="dxa" w:w="80"/>
              <w:left w:type="dxa" w:w="120"/>
              <w:bottom w:type="dxa" w:w="80"/>
              <w:right w:type="dxa" w:w="120"/>
            </w:tcMar>
          </w:tcPr>
          <w:p>
            <w:pPr>
              <w:spacing w:after="0"/>
            </w:pPr>
            <w:r>
              <w:rPr>
                <w:b w:val="false"/>
                <w:bCs w:val="false"/>
                <w:sz w:val="20"/>
                <w:szCs w:val="20"/>
              </w:rPr>
              <w:t xml:space="preserve">承擔完整之課責、負責、透明、公正及退場備援義務（詳見柒章）。</w:t>
            </w:r>
          </w:p>
        </w:tc>
      </w:tr>
    </w:tbl>
    <w:p>
      <w:pPr>
        <w:spacing w:after="160" w:line="320"/>
        <w:ind w:firstLine="431"/>
      </w:pPr>
      <w:r>
        <w:t xml:space="preserve">在分級之外，本文並以下列分析鏈條，說明準公共基礎設施化的動態形成機制：平台市場集中 → 公共功能依賴 → 功能不可替代與社會鎖定 → 私人規則產生公共效果 → 課責、負責、透明及公正鏈出現斷裂 → 國家規制能力受到壓縮 → 公私權力重新配置 → 制度責任與公共能力重建。</w:t>
      </w:r>
    </w:p>
    <w:p>
      <w:pPr>
        <w:spacing w:after="140" w:before="280"/>
      </w:pPr>
      <w:r>
        <w:rPr>
          <w:b/>
          <w:bCs/>
          <w:color w:val="1F4E79"/>
          <w:sz w:val="24"/>
          <w:szCs w:val="24"/>
        </w:rPr>
        <w:t xml:space="preserve">五、適用範圍與排除條件</w:t>
      </w:r>
    </w:p>
    <w:p>
      <w:pPr>
        <w:spacing w:after="160" w:line="320"/>
        <w:ind w:firstLine="431"/>
      </w:pPr>
      <w:r>
        <w:t xml:space="preserve">並非所有大型平台都具有準公共性。以下平台原則上應排除：市場競爭充分、使用者轉換成本低的平台；不承載重要公共資訊或公共服務的平台；停止服務不會造成廣泛社會或公共治理後果的平台；僅具有高商業價值，但不具公共價值影響力的平台。</w:t>
      </w:r>
    </w:p>
    <w:p>
      <w:pPr>
        <w:spacing w:after="160" w:line="320"/>
        <w:ind w:firstLine="431"/>
      </w:pPr>
      <w:r>
        <w:t xml:space="preserve">此外，本文聚焦應用層及服務層的平台，不處理平台背後的能源、土地、水資源、資料中心、海底電纜及電信基地台等物質性基礎設施，該部分留待 038 進一步分析。</w:t>
      </w:r>
    </w:p>
    <w:p>
      <w:pPr>
        <w:spacing w:after="100" w:before="200"/>
      </w:pPr>
      <w:r>
        <w:rPr>
          <w:b/>
          <w:bCs/>
          <w:sz w:val="22"/>
          <w:szCs w:val="22"/>
        </w:rPr>
        <w:t xml:space="preserve">（一）延伸適用與研究限制：生成式 AI 平台</w:t>
      </w:r>
    </w:p>
    <w:p>
      <w:pPr>
        <w:spacing w:after="160" w:line="320"/>
        <w:ind w:firstLine="431"/>
      </w:pPr>
      <w:r>
        <w:t xml:space="preserve">本文六項判定座標亦可作為檢視新興平台形態的分析工具，而非僅適用於既有的搜尋、社群與通訊平台。以 2023 年以降快速普及的生成式 AI 對話系統與 AI Overview 等『答案引擎』為例，其在市場集中、公共依賴及功能不可替代性等面向，均已初步展現與既有準公共基礎設施相似的結構特徵，顯示本文架構具有一定的延伸適用性。</w:t>
      </w:r>
    </w:p>
    <w:p>
      <w:pPr>
        <w:spacing w:after="160" w:line="320"/>
        <w:ind w:firstLine="431"/>
      </w:pPr>
      <w:r>
        <w:t xml:space="preserve">然而，生成式 AI 平台僅作為本文概念的邊界測試，不作為主要個案，也不處理政府機關使用 AI 所涉及的內部行政責任問題；其作為公民接觸公共資訊之新守門人所產生的公共效果，是否應被納入準公共基礎設施的判定範圍、又應如何與既有平台形成的公共依賴區分計算，屬於後續研究可進一步處理的問題，本文不在此深入開展。</w:t>
      </w:r>
    </w:p>
    <w:p>
      <w:pPr>
        <w:pStyle w:val="Heading1"/>
        <w:pageBreakBefore/>
        <w:spacing w:after="200" w:before="420"/>
      </w:pPr>
      <w:r>
        <w:t xml:space="preserve">肆、平台公共化與國家能力落差</w:t>
      </w:r>
    </w:p>
    <w:p>
      <w:pPr>
        <w:spacing w:after="160" w:line="320"/>
        <w:ind w:firstLine="431"/>
      </w:pPr>
      <w:r>
        <w:t xml:space="preserve">規制型國家面對準公共平台時，其角色正從「管制個別企業」逐漸擴及「治理具有基礎設施性質的平台」——這正是本章討論規制型國家能力邊界的出發點。</w:t>
      </w:r>
    </w:p>
    <w:p>
      <w:pPr>
        <w:spacing w:after="160" w:line="320"/>
        <w:ind w:firstLine="431"/>
      </w:pPr>
      <w:r>
        <w:t xml:space="preserve">傳統規制型國家通常將企業視為市場參與者，透過競爭法、消費者保護、行政裁罰及事後司法救濟進行管制。然而，準公共平台的特殊性在於，它們不只是被管制的市場主體，也是自行制定規則、分配存取權、控制資訊流及執行私人秩序的治理系統。因此，國家面對平台時，不能只問平台是否違反市場競爭規則，也必須問：平台是否持續承擔公共服務功能？平台的私人規則是否產生大規模公共效果？國家是否能夠理解平台決策？發生重大風險時，國家是否有介入、替代及退場能力？</w:t>
      </w:r>
    </w:p>
    <w:p>
      <w:pPr>
        <w:spacing w:after="160" w:line="320"/>
        <w:ind w:firstLine="431"/>
      </w:pPr>
      <w:r>
        <w:t xml:space="preserve">本文所稱「平台國家化治理」，是指國家將平台的公共效果納入制度責任與治理能力範圍，而非將平台所有權移轉給國家。換言之：平台國家化治理不是平台國有化，也不是內容國家化，而是平台公共責任的制度化：國家保留對公共效果的理解、監督、介入、替代與退場能力，但不取得所有權、一般內容決定權或日常經營權。</w:t>
      </w:r>
    </w:p>
    <w:p>
      <w:pPr>
        <w:spacing w:after="140" w:before="280"/>
      </w:pPr>
      <w:r>
        <w:rPr>
          <w:b/>
          <w:bCs/>
          <w:color w:val="1F4E79"/>
          <w:sz w:val="24"/>
          <w:szCs w:val="24"/>
        </w:rPr>
        <w:t xml:space="preserve">一、資訊與技術黑箱</w:t>
      </w:r>
    </w:p>
    <w:p>
      <w:pPr>
        <w:spacing w:after="160" w:line="320"/>
        <w:ind w:firstLine="431"/>
      </w:pPr>
      <w:r>
        <w:t xml:space="preserve">平台掌握演算法、資料、推薦排序及使用者行為資訊，行政機關通常只能取得有限、延遲或由平台自行整理的資料。傳統事後舉證制度難以有效處理持續變動的演算法及複雜的資料生態系。這直接影響透明鏈與課責鏈：如果國家無法知道平台如何決策，就無法有效要求平台說明、改正或接受責任追究。</w:t>
      </w:r>
    </w:p>
    <w:p>
      <w:pPr>
        <w:spacing w:after="140" w:before="280"/>
      </w:pPr>
      <w:r>
        <w:rPr>
          <w:b/>
          <w:bCs/>
          <w:color w:val="1F4E79"/>
          <w:sz w:val="24"/>
          <w:szCs w:val="24"/>
        </w:rPr>
        <w:t xml:space="preserve">二、跨境管轄</w:t>
      </w:r>
    </w:p>
    <w:p>
      <w:pPr>
        <w:spacing w:after="160" w:line="320"/>
        <w:ind w:firstLine="431"/>
      </w:pPr>
      <w:r>
        <w:t xml:space="preserve">跨境平台可以透過公司架構、境外服務條款、資料跨境及自動化營運，降低在地法律對其實際行為的控制力。平台可能在臺灣提供廣泛服務，卻缺乏能真正處理法律、營運及公共事件的在地責任主體。這使負責鏈出現斷裂：平台在市場上具有高度影響力，卻可能缺乏相應的在地法律責任與行政協力義務。</w:t>
      </w:r>
    </w:p>
    <w:p>
      <w:pPr>
        <w:spacing w:after="140" w:before="280"/>
      </w:pPr>
      <w:r>
        <w:rPr>
          <w:b/>
          <w:bCs/>
          <w:color w:val="1F4E79"/>
          <w:sz w:val="24"/>
          <w:szCs w:val="24"/>
        </w:rPr>
        <w:t xml:space="preserve">三、公私法界線</w:t>
      </w:r>
    </w:p>
    <w:p>
      <w:pPr>
        <w:spacing w:after="160" w:line="320"/>
        <w:ind w:firstLine="431"/>
      </w:pPr>
      <w:r>
        <w:t xml:space="preserve">競爭法通常關注市場支配、價格、交易條件及競爭秩序，但平台權力也可能影響言論市場、公共資訊傳遞及民主參與。另一方面，若將行政程序法完整套用於平台與使用者的每一項帳號處置，又可能造成公私法界線混亂。因此，制度設計的關鍵不是將平台完全公法化，而是針對具有重大公共效果的處置建立最低限度的程序要求。</w:t>
      </w:r>
    </w:p>
    <w:p>
      <w:pPr>
        <w:spacing w:after="140" w:before="280"/>
      </w:pPr>
      <w:r>
        <w:rPr>
          <w:b/>
          <w:bCs/>
          <w:color w:val="1F4E79"/>
          <w:sz w:val="24"/>
          <w:szCs w:val="24"/>
        </w:rPr>
        <w:t xml:space="preserve">四、公共價值與市場效率</w:t>
      </w:r>
    </w:p>
    <w:p>
      <w:pPr>
        <w:spacing w:after="160" w:line="320"/>
        <w:ind w:firstLine="431"/>
      </w:pPr>
      <w:r>
        <w:t xml:space="preserve">平台通常以營收、使用時間、廣告轉換率及使用者黏著度為核心目標；公共行政則必須重視平等、透明、程序、公民權利、資訊多元及公共服務連續性。當平台演算法偏好高互動、爭議性或極化內容時，市場效率與公共價值之間便可能發生結構性衝突。此時，國家需要重新思考：公共價值是否只能在市場效率之外被動補救，或應在平台的設計、透明及程序中被制度化？</w:t>
      </w:r>
    </w:p>
    <w:p>
      <w:pPr>
        <w:spacing w:after="140" w:before="280"/>
      </w:pPr>
      <w:r>
        <w:rPr>
          <w:b/>
          <w:bCs/>
          <w:color w:val="1F4E79"/>
          <w:sz w:val="24"/>
          <w:szCs w:val="24"/>
        </w:rPr>
        <w:t xml:space="preserve">五、五項國家能力指標</w:t>
      </w:r>
    </w:p>
    <w:p>
      <w:pPr>
        <w:spacing w:after="160" w:line="320"/>
        <w:ind w:firstLine="431"/>
      </w:pPr>
      <w:r>
        <w:t xml:space="preserve">四條治理鏈可以與上述能力落差對應：</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2200"/>
        <w:gridCol w:w="4200"/>
      </w:tblGrid>
      <w:tr>
        <w:tc>
          <w:tcPr>
            <w:tcW w:type="dxa" w:w="2600"/>
            <w:shd w:fill="DEEAF6" w:val="clear"/>
            <w:tcMar>
              <w:top w:type="dxa" w:w="80"/>
              <w:left w:type="dxa" w:w="120"/>
              <w:bottom w:type="dxa" w:w="80"/>
              <w:right w:type="dxa" w:w="120"/>
            </w:tcMar>
          </w:tcPr>
          <w:p>
            <w:pPr>
              <w:spacing w:after="0"/>
            </w:pPr>
            <w:r>
              <w:rPr>
                <w:b/>
                <w:bCs/>
                <w:sz w:val="20"/>
                <w:szCs w:val="20"/>
              </w:rPr>
              <w:t xml:space="preserve">國家能力問題</w:t>
            </w:r>
          </w:p>
        </w:tc>
        <w:tc>
          <w:tcPr>
            <w:tcW w:type="dxa" w:w="2200"/>
            <w:shd w:fill="DEEAF6" w:val="clear"/>
            <w:tcMar>
              <w:top w:type="dxa" w:w="80"/>
              <w:left w:type="dxa" w:w="120"/>
              <w:bottom w:type="dxa" w:w="80"/>
              <w:right w:type="dxa" w:w="120"/>
            </w:tcMar>
          </w:tcPr>
          <w:p>
            <w:pPr>
              <w:spacing w:after="0"/>
            </w:pPr>
            <w:r>
              <w:rPr>
                <w:b/>
                <w:bCs/>
                <w:sz w:val="20"/>
                <w:szCs w:val="20"/>
              </w:rPr>
              <w:t xml:space="preserve">受影響的治理鏈</w:t>
            </w:r>
          </w:p>
        </w:tc>
        <w:tc>
          <w:tcPr>
            <w:tcW w:type="dxa" w:w="4200"/>
            <w:shd w:fill="DEEAF6" w:val="clear"/>
            <w:tcMar>
              <w:top w:type="dxa" w:w="80"/>
              <w:left w:type="dxa" w:w="120"/>
              <w:bottom w:type="dxa" w:w="80"/>
              <w:right w:type="dxa" w:w="120"/>
            </w:tcMar>
          </w:tcPr>
          <w:p>
            <w:pPr>
              <w:spacing w:after="0"/>
            </w:pPr>
            <w:r>
              <w:rPr>
                <w:b/>
                <w:bCs/>
                <w:sz w:val="20"/>
                <w:szCs w:val="20"/>
              </w:rPr>
              <w:t xml:space="preserve">制度回應方向</w:t>
            </w:r>
          </w:p>
        </w:tc>
      </w:tr>
      <w:tr>
        <w:tc>
          <w:tcPr>
            <w:tcW w:type="dxa" w:w="2600"/>
            <w:tcMar>
              <w:top w:type="dxa" w:w="80"/>
              <w:left w:type="dxa" w:w="120"/>
              <w:bottom w:type="dxa" w:w="80"/>
              <w:right w:type="dxa" w:w="120"/>
            </w:tcMar>
          </w:tcPr>
          <w:p>
            <w:pPr>
              <w:spacing w:after="0"/>
            </w:pPr>
            <w:r>
              <w:rPr>
                <w:b w:val="false"/>
                <w:bCs w:val="false"/>
                <w:sz w:val="20"/>
                <w:szCs w:val="20"/>
              </w:rPr>
              <w:t xml:space="preserve">不知道平台如何運作</w:t>
            </w:r>
          </w:p>
        </w:tc>
        <w:tc>
          <w:tcPr>
            <w:tcW w:type="dxa" w:w="2200"/>
            <w:tcMar>
              <w:top w:type="dxa" w:w="80"/>
              <w:left w:type="dxa" w:w="120"/>
              <w:bottom w:type="dxa" w:w="80"/>
              <w:right w:type="dxa" w:w="120"/>
            </w:tcMar>
          </w:tcPr>
          <w:p>
            <w:pPr>
              <w:spacing w:after="0"/>
            </w:pPr>
            <w:r>
              <w:rPr>
                <w:b w:val="false"/>
                <w:bCs w:val="false"/>
                <w:sz w:val="20"/>
                <w:szCs w:val="20"/>
              </w:rPr>
              <w:t xml:space="preserve">透明鏈</w:t>
            </w:r>
          </w:p>
        </w:tc>
        <w:tc>
          <w:tcPr>
            <w:tcW w:type="dxa" w:w="4200"/>
            <w:tcMar>
              <w:top w:type="dxa" w:w="80"/>
              <w:left w:type="dxa" w:w="120"/>
              <w:bottom w:type="dxa" w:w="80"/>
              <w:right w:type="dxa" w:w="120"/>
            </w:tcMar>
          </w:tcPr>
          <w:p>
            <w:pPr>
              <w:spacing w:after="0"/>
            </w:pPr>
            <w:r>
              <w:rPr>
                <w:b w:val="false"/>
                <w:bCs w:val="false"/>
                <w:sz w:val="20"/>
                <w:szCs w:val="20"/>
              </w:rPr>
              <w:t xml:space="preserve">建立資料揭露、稽核、研究者存取及演算法影響評估。</w:t>
            </w:r>
          </w:p>
        </w:tc>
      </w:tr>
      <w:tr>
        <w:tc>
          <w:tcPr>
            <w:tcW w:type="dxa" w:w="2600"/>
            <w:tcMar>
              <w:top w:type="dxa" w:w="80"/>
              <w:left w:type="dxa" w:w="120"/>
              <w:bottom w:type="dxa" w:w="80"/>
              <w:right w:type="dxa" w:w="120"/>
            </w:tcMar>
          </w:tcPr>
          <w:p>
            <w:pPr>
              <w:spacing w:after="0"/>
            </w:pPr>
            <w:r>
              <w:rPr>
                <w:b w:val="false"/>
                <w:bCs w:val="false"/>
                <w:sz w:val="20"/>
                <w:szCs w:val="20"/>
              </w:rPr>
              <w:t xml:space="preserve">不知道誰應負責</w:t>
            </w:r>
          </w:p>
        </w:tc>
        <w:tc>
          <w:tcPr>
            <w:tcW w:type="dxa" w:w="2200"/>
            <w:tcMar>
              <w:top w:type="dxa" w:w="80"/>
              <w:left w:type="dxa" w:w="120"/>
              <w:bottom w:type="dxa" w:w="80"/>
              <w:right w:type="dxa" w:w="120"/>
            </w:tcMar>
          </w:tcPr>
          <w:p>
            <w:pPr>
              <w:spacing w:after="0"/>
            </w:pPr>
            <w:r>
              <w:rPr>
                <w:b w:val="false"/>
                <w:bCs w:val="false"/>
                <w:sz w:val="20"/>
                <w:szCs w:val="20"/>
              </w:rPr>
              <w:t xml:space="preserve">負責鏈</w:t>
            </w:r>
          </w:p>
        </w:tc>
        <w:tc>
          <w:tcPr>
            <w:tcW w:type="dxa" w:w="4200"/>
            <w:tcMar>
              <w:top w:type="dxa" w:w="80"/>
              <w:left w:type="dxa" w:w="120"/>
              <w:bottom w:type="dxa" w:w="80"/>
              <w:right w:type="dxa" w:w="120"/>
            </w:tcMar>
          </w:tcPr>
          <w:p>
            <w:pPr>
              <w:spacing w:after="0"/>
            </w:pPr>
            <w:r>
              <w:rPr>
                <w:b w:val="false"/>
                <w:bCs w:val="false"/>
                <w:sz w:val="20"/>
                <w:szCs w:val="20"/>
              </w:rPr>
              <w:t xml:space="preserve">要求在地實質代理人、責任窗口及重大事件通報義務。</w:t>
            </w:r>
          </w:p>
        </w:tc>
      </w:tr>
      <w:tr>
        <w:tc>
          <w:tcPr>
            <w:tcW w:type="dxa" w:w="2600"/>
            <w:tcMar>
              <w:top w:type="dxa" w:w="80"/>
              <w:left w:type="dxa" w:w="120"/>
              <w:bottom w:type="dxa" w:w="80"/>
              <w:right w:type="dxa" w:w="120"/>
            </w:tcMar>
          </w:tcPr>
          <w:p>
            <w:pPr>
              <w:spacing w:after="0"/>
            </w:pPr>
            <w:r>
              <w:rPr>
                <w:b w:val="false"/>
                <w:bCs w:val="false"/>
                <w:sz w:val="20"/>
                <w:szCs w:val="20"/>
              </w:rPr>
              <w:t xml:space="preserve">無法要求平台改正</w:t>
            </w:r>
          </w:p>
        </w:tc>
        <w:tc>
          <w:tcPr>
            <w:tcW w:type="dxa" w:w="2200"/>
            <w:tcMar>
              <w:top w:type="dxa" w:w="80"/>
              <w:left w:type="dxa" w:w="120"/>
              <w:bottom w:type="dxa" w:w="80"/>
              <w:right w:type="dxa" w:w="120"/>
            </w:tcMar>
          </w:tcPr>
          <w:p>
            <w:pPr>
              <w:spacing w:after="0"/>
            </w:pPr>
            <w:r>
              <w:rPr>
                <w:b w:val="false"/>
                <w:bCs w:val="false"/>
                <w:sz w:val="20"/>
                <w:szCs w:val="20"/>
              </w:rPr>
              <w:t xml:space="preserve">課責鏈</w:t>
            </w:r>
          </w:p>
        </w:tc>
        <w:tc>
          <w:tcPr>
            <w:tcW w:type="dxa" w:w="4200"/>
            <w:tcMar>
              <w:top w:type="dxa" w:w="80"/>
              <w:left w:type="dxa" w:w="120"/>
              <w:bottom w:type="dxa" w:w="80"/>
              <w:right w:type="dxa" w:w="120"/>
            </w:tcMar>
          </w:tcPr>
          <w:p>
            <w:pPr>
              <w:spacing w:after="0"/>
            </w:pPr>
            <w:r>
              <w:rPr>
                <w:b w:val="false"/>
                <w:bCs w:val="false"/>
                <w:sz w:val="20"/>
                <w:szCs w:val="20"/>
              </w:rPr>
              <w:t xml:space="preserve">建立分級監理、裁罰、矯正命令及必要時的備援與退場工具。</w:t>
            </w:r>
          </w:p>
        </w:tc>
      </w:tr>
      <w:tr>
        <w:tc>
          <w:tcPr>
            <w:tcW w:type="dxa" w:w="2600"/>
            <w:tcMar>
              <w:top w:type="dxa" w:w="80"/>
              <w:left w:type="dxa" w:w="120"/>
              <w:bottom w:type="dxa" w:w="80"/>
              <w:right w:type="dxa" w:w="120"/>
            </w:tcMar>
          </w:tcPr>
          <w:p>
            <w:pPr>
              <w:spacing w:after="0"/>
            </w:pPr>
            <w:r>
              <w:rPr>
                <w:b w:val="false"/>
                <w:bCs w:val="false"/>
                <w:sz w:val="20"/>
                <w:szCs w:val="20"/>
              </w:rPr>
              <w:t xml:space="preserve">使用者無法獲得公平處置</w:t>
            </w:r>
          </w:p>
        </w:tc>
        <w:tc>
          <w:tcPr>
            <w:tcW w:type="dxa" w:w="2200"/>
            <w:tcMar>
              <w:top w:type="dxa" w:w="80"/>
              <w:left w:type="dxa" w:w="120"/>
              <w:bottom w:type="dxa" w:w="80"/>
              <w:right w:type="dxa" w:w="120"/>
            </w:tcMar>
          </w:tcPr>
          <w:p>
            <w:pPr>
              <w:spacing w:after="0"/>
            </w:pPr>
            <w:r>
              <w:rPr>
                <w:b w:val="false"/>
                <w:bCs w:val="false"/>
                <w:sz w:val="20"/>
                <w:szCs w:val="20"/>
              </w:rPr>
              <w:t xml:space="preserve">公正鏈</w:t>
            </w:r>
          </w:p>
        </w:tc>
        <w:tc>
          <w:tcPr>
            <w:tcW w:type="dxa" w:w="4200"/>
            <w:tcMar>
              <w:top w:type="dxa" w:w="80"/>
              <w:left w:type="dxa" w:w="120"/>
              <w:bottom w:type="dxa" w:w="80"/>
              <w:right w:type="dxa" w:w="120"/>
            </w:tcMar>
          </w:tcPr>
          <w:p>
            <w:pPr>
              <w:spacing w:after="0"/>
            </w:pPr>
            <w:r>
              <w:rPr>
                <w:b w:val="false"/>
                <w:bCs w:val="false"/>
                <w:sz w:val="20"/>
                <w:szCs w:val="20"/>
              </w:rPr>
              <w:t xml:space="preserve">要求通知、理由說明、申訴、人工審查及獨立救濟程序。</w:t>
            </w:r>
          </w:p>
        </w:tc>
      </w:tr>
    </w:tbl>
    <w:p>
      <w:pPr>
        <w:spacing w:after="160" w:line="320"/>
        <w:ind w:firstLine="431"/>
      </w:pPr>
      <w:r>
        <w:t xml:space="preserve">從上表的對應關係可以看出，四項結構性能力落差並非彼此獨立的技術問題，而是分別鑲嵌在四條治理鏈的特定環節上：資訊不對稱與技術黑箱直接掏空透明鏈與課責鏈的運作基礎，因為若國家無法理解平台如何決策，便無從要求平台說明，更遑論究責；跨境管轄與執法落差集中侵蝕負責鏈，使平台在市場上具有高度影響力，卻缺乏對應的在地法律責任主體；競爭法與公共行政程序的制度交錯，本質上是公正鏈欠缺最低限度程序保障的體現；公共價值與市場效率的衝突，則同時牽動透明鏈、公正鏈與課責鏈——當演算法的商業誘因與公共價值原則相互抵觸，若三條鏈條均未能提供有效的異議與更正管道，公共價值便只能在市場邏輯之外被動補救。這組對應關係說明，國家能力的落差不是單點性的個別缺陷，而是多條治理鏈未能形成足以相互支撐的制度組合，因而產生國家能力與公共依賴之間的結構性失衡；制度回應因此不能只挑選其中一條鏈進行補強，而必須如伍章的跨國比較與柒章的制度設計所示，同時處理四條鏈的相互支撐關係。</w:t>
      </w:r>
    </w:p>
    <w:p>
      <w:pPr>
        <w:spacing w:after="160" w:line="320"/>
        <w:ind w:firstLine="431"/>
      </w:pPr>
      <w:r>
        <w:t xml:space="preserve">需特別說明的是，前四節所述資訊、管轄、程序與價值四項，是規制型國家可能面臨的能力落差來源；以下五項國家能力指標，則是將這些問題轉化為國家應具備的正向能力，兩者分別回應「問題從何而來」與「能力應如何重建」兩個不同問題，數量上並無須一一對應。為避免「理解、監督、介入、替代與退場」流於規範性口號，下表將其轉化為可觀察、可供跨國比較與後續實證研究操作化之五項國家能力指標：</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00"/>
        <w:gridCol w:w="6800"/>
      </w:tblGrid>
      <w:tr>
        <w:tc>
          <w:tcPr>
            <w:tcW w:type="dxa" w:w="2200"/>
            <w:shd w:fill="DEEAF6" w:val="clear"/>
            <w:tcMar>
              <w:top w:type="dxa" w:w="80"/>
              <w:left w:type="dxa" w:w="120"/>
              <w:bottom w:type="dxa" w:w="80"/>
              <w:right w:type="dxa" w:w="120"/>
            </w:tcMar>
          </w:tcPr>
          <w:p>
            <w:pPr>
              <w:spacing w:after="0"/>
            </w:pPr>
            <w:r>
              <w:rPr>
                <w:b/>
                <w:bCs/>
                <w:sz w:val="20"/>
                <w:szCs w:val="20"/>
              </w:rPr>
              <w:t xml:space="preserve">國家能力</w:t>
            </w:r>
          </w:p>
        </w:tc>
        <w:tc>
          <w:tcPr>
            <w:tcW w:type="dxa" w:w="6800"/>
            <w:shd w:fill="DEEAF6" w:val="clear"/>
            <w:tcMar>
              <w:top w:type="dxa" w:w="80"/>
              <w:left w:type="dxa" w:w="120"/>
              <w:bottom w:type="dxa" w:w="80"/>
              <w:right w:type="dxa" w:w="120"/>
            </w:tcMar>
          </w:tcPr>
          <w:p>
            <w:pPr>
              <w:spacing w:after="0"/>
            </w:pPr>
            <w:r>
              <w:rPr>
                <w:b/>
                <w:bCs/>
                <w:sz w:val="20"/>
                <w:szCs w:val="20"/>
              </w:rPr>
              <w:t xml:space="preserve">可觀察指標</w:t>
            </w:r>
          </w:p>
        </w:tc>
      </w:tr>
      <w:tr>
        <w:tc>
          <w:tcPr>
            <w:tcW w:type="dxa" w:w="2200"/>
            <w:tcMar>
              <w:top w:type="dxa" w:w="80"/>
              <w:left w:type="dxa" w:w="120"/>
              <w:bottom w:type="dxa" w:w="80"/>
              <w:right w:type="dxa" w:w="120"/>
            </w:tcMar>
          </w:tcPr>
          <w:p>
            <w:pPr>
              <w:spacing w:after="0"/>
            </w:pPr>
            <w:r>
              <w:rPr>
                <w:b w:val="false"/>
                <w:bCs w:val="false"/>
                <w:sz w:val="20"/>
                <w:szCs w:val="20"/>
              </w:rPr>
              <w:t xml:space="preserve">理解</w:t>
            </w:r>
          </w:p>
        </w:tc>
        <w:tc>
          <w:tcPr>
            <w:tcW w:type="dxa" w:w="6800"/>
            <w:tcMar>
              <w:top w:type="dxa" w:w="80"/>
              <w:left w:type="dxa" w:w="120"/>
              <w:bottom w:type="dxa" w:w="80"/>
              <w:right w:type="dxa" w:w="120"/>
            </w:tcMar>
          </w:tcPr>
          <w:p>
            <w:pPr>
              <w:spacing w:after="0"/>
            </w:pPr>
            <w:r>
              <w:rPr>
                <w:b w:val="false"/>
                <w:bCs w:val="false"/>
                <w:sz w:val="20"/>
                <w:szCs w:val="20"/>
              </w:rPr>
              <w:t xml:space="preserve">是否能取得平台之資料、風險報告與重大決策紀錄</w:t>
            </w:r>
          </w:p>
        </w:tc>
      </w:tr>
      <w:tr>
        <w:tc>
          <w:tcPr>
            <w:tcW w:type="dxa" w:w="2200"/>
            <w:tcMar>
              <w:top w:type="dxa" w:w="80"/>
              <w:left w:type="dxa" w:w="120"/>
              <w:bottom w:type="dxa" w:w="80"/>
              <w:right w:type="dxa" w:w="120"/>
            </w:tcMar>
          </w:tcPr>
          <w:p>
            <w:pPr>
              <w:spacing w:after="0"/>
            </w:pPr>
            <w:r>
              <w:rPr>
                <w:b w:val="false"/>
                <w:bCs w:val="false"/>
                <w:sz w:val="20"/>
                <w:szCs w:val="20"/>
              </w:rPr>
              <w:t xml:space="preserve">監督</w:t>
            </w:r>
          </w:p>
        </w:tc>
        <w:tc>
          <w:tcPr>
            <w:tcW w:type="dxa" w:w="6800"/>
            <w:tcMar>
              <w:top w:type="dxa" w:w="80"/>
              <w:left w:type="dxa" w:w="120"/>
              <w:bottom w:type="dxa" w:w="80"/>
              <w:right w:type="dxa" w:w="120"/>
            </w:tcMar>
          </w:tcPr>
          <w:p>
            <w:pPr>
              <w:spacing w:after="0"/>
            </w:pPr>
            <w:r>
              <w:rPr>
                <w:b w:val="false"/>
                <w:bCs w:val="false"/>
                <w:sz w:val="20"/>
                <w:szCs w:val="20"/>
              </w:rPr>
              <w:t xml:space="preserve">是否設有專責協調機關、稽核權限與持續監測制度</w:t>
            </w:r>
          </w:p>
        </w:tc>
      </w:tr>
      <w:tr>
        <w:tc>
          <w:tcPr>
            <w:tcW w:type="dxa" w:w="2200"/>
            <w:tcMar>
              <w:top w:type="dxa" w:w="80"/>
              <w:left w:type="dxa" w:w="120"/>
              <w:bottom w:type="dxa" w:w="80"/>
              <w:right w:type="dxa" w:w="120"/>
            </w:tcMar>
          </w:tcPr>
          <w:p>
            <w:pPr>
              <w:spacing w:after="0"/>
            </w:pPr>
            <w:r>
              <w:rPr>
                <w:b w:val="false"/>
                <w:bCs w:val="false"/>
                <w:sz w:val="20"/>
                <w:szCs w:val="20"/>
              </w:rPr>
              <w:t xml:space="preserve">介入</w:t>
            </w:r>
          </w:p>
        </w:tc>
        <w:tc>
          <w:tcPr>
            <w:tcW w:type="dxa" w:w="6800"/>
            <w:tcMar>
              <w:top w:type="dxa" w:w="80"/>
              <w:left w:type="dxa" w:w="120"/>
              <w:bottom w:type="dxa" w:w="80"/>
              <w:right w:type="dxa" w:w="120"/>
            </w:tcMar>
          </w:tcPr>
          <w:p>
            <w:pPr>
              <w:spacing w:after="0"/>
            </w:pPr>
            <w:r>
              <w:rPr>
                <w:b w:val="false"/>
                <w:bCs w:val="false"/>
                <w:sz w:val="20"/>
                <w:szCs w:val="20"/>
              </w:rPr>
              <w:t xml:space="preserve">是否具備矯正命令、分級裁罰與緊急處置權</w:t>
            </w:r>
          </w:p>
        </w:tc>
      </w:tr>
      <w:tr>
        <w:tc>
          <w:tcPr>
            <w:tcW w:type="dxa" w:w="2200"/>
            <w:tcMar>
              <w:top w:type="dxa" w:w="80"/>
              <w:left w:type="dxa" w:w="120"/>
              <w:bottom w:type="dxa" w:w="80"/>
              <w:right w:type="dxa" w:w="120"/>
            </w:tcMar>
          </w:tcPr>
          <w:p>
            <w:pPr>
              <w:spacing w:after="0"/>
            </w:pPr>
            <w:r>
              <w:rPr>
                <w:b w:val="false"/>
                <w:bCs w:val="false"/>
                <w:sz w:val="20"/>
                <w:szCs w:val="20"/>
              </w:rPr>
              <w:t xml:space="preserve">替代</w:t>
            </w:r>
          </w:p>
        </w:tc>
        <w:tc>
          <w:tcPr>
            <w:tcW w:type="dxa" w:w="6800"/>
            <w:tcMar>
              <w:top w:type="dxa" w:w="80"/>
              <w:left w:type="dxa" w:w="120"/>
              <w:bottom w:type="dxa" w:w="80"/>
              <w:right w:type="dxa" w:w="120"/>
            </w:tcMar>
          </w:tcPr>
          <w:p>
            <w:pPr>
              <w:spacing w:after="0"/>
            </w:pPr>
            <w:r>
              <w:rPr>
                <w:b w:val="false"/>
                <w:bCs w:val="false"/>
                <w:sz w:val="20"/>
                <w:szCs w:val="20"/>
              </w:rPr>
              <w:t xml:space="preserve">是否備有多元通路、資料可攜與公共服務備援安排</w:t>
            </w:r>
          </w:p>
        </w:tc>
      </w:tr>
      <w:tr>
        <w:tc>
          <w:tcPr>
            <w:tcW w:type="dxa" w:w="2200"/>
            <w:tcMar>
              <w:top w:type="dxa" w:w="80"/>
              <w:left w:type="dxa" w:w="120"/>
              <w:bottom w:type="dxa" w:w="80"/>
              <w:right w:type="dxa" w:w="120"/>
            </w:tcMar>
          </w:tcPr>
          <w:p>
            <w:pPr>
              <w:spacing w:after="0"/>
            </w:pPr>
            <w:r>
              <w:rPr>
                <w:b w:val="false"/>
                <w:bCs w:val="false"/>
                <w:sz w:val="20"/>
                <w:szCs w:val="20"/>
              </w:rPr>
              <w:t xml:space="preserve">退場</w:t>
            </w:r>
          </w:p>
        </w:tc>
        <w:tc>
          <w:tcPr>
            <w:tcW w:type="dxa" w:w="6800"/>
            <w:tcMar>
              <w:top w:type="dxa" w:w="80"/>
              <w:left w:type="dxa" w:w="120"/>
              <w:bottom w:type="dxa" w:w="80"/>
              <w:right w:type="dxa" w:w="120"/>
            </w:tcMar>
          </w:tcPr>
          <w:p>
            <w:pPr>
              <w:spacing w:after="0"/>
            </w:pPr>
            <w:r>
              <w:rPr>
                <w:b w:val="false"/>
                <w:bCs w:val="false"/>
                <w:sz w:val="20"/>
                <w:szCs w:val="20"/>
              </w:rPr>
              <w:t xml:space="preserve">是否能處理平台停止服務、併購、控制權變更與服務移轉等情境</w:t>
            </w:r>
          </w:p>
        </w:tc>
      </w:tr>
    </w:tbl>
    <w:p>
      <w:pPr>
        <w:pStyle w:val="Heading1"/>
        <w:pageBreakBefore/>
        <w:spacing w:after="200" w:before="420"/>
      </w:pPr>
      <w:r>
        <w:t xml:space="preserve">伍、歐盟、美國與臺灣的制度比較</w:t>
      </w:r>
    </w:p>
    <w:p>
      <w:pPr>
        <w:spacing w:after="160" w:line="320"/>
        <w:ind w:firstLine="431"/>
      </w:pPr>
      <w:r>
        <w:t xml:space="preserve">本文以課責、負責、透明、公正四條治理鏈作為制度比較的共同軸線，並將資料治理、競爭規範、公共依賴及跨境執法納入分析。</w:t>
      </w:r>
    </w:p>
    <w:p>
      <w:pPr>
        <w:spacing w:after="140" w:before="280"/>
      </w:pPr>
      <w:r>
        <w:rPr>
          <w:b/>
          <w:bCs/>
          <w:color w:val="1F4E79"/>
          <w:sz w:val="24"/>
          <w:szCs w:val="24"/>
        </w:rPr>
        <w:t xml:space="preserve">一、比較設計與共同分析軸線</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900"/>
        <w:gridCol w:w="2400"/>
        <w:gridCol w:w="2400"/>
        <w:gridCol w:w="2300"/>
      </w:tblGrid>
      <w:tr>
        <w:tc>
          <w:tcPr>
            <w:tcW w:type="dxa" w:w="1900"/>
            <w:shd w:fill="DEEAF6" w:val="clear"/>
            <w:tcMar>
              <w:top w:type="dxa" w:w="80"/>
              <w:left w:type="dxa" w:w="120"/>
              <w:bottom w:type="dxa" w:w="80"/>
              <w:right w:type="dxa" w:w="120"/>
            </w:tcMar>
          </w:tcPr>
          <w:p>
            <w:pPr>
              <w:spacing w:after="0"/>
            </w:pPr>
            <w:r>
              <w:rPr>
                <w:b/>
                <w:bCs/>
                <w:sz w:val="20"/>
                <w:szCs w:val="20"/>
              </w:rPr>
              <w:t xml:space="preserve">治理鏈／制度維度</w:t>
            </w:r>
          </w:p>
        </w:tc>
        <w:tc>
          <w:tcPr>
            <w:tcW w:type="dxa" w:w="2400"/>
            <w:shd w:fill="DEEAF6" w:val="clear"/>
            <w:tcMar>
              <w:top w:type="dxa" w:w="80"/>
              <w:left w:type="dxa" w:w="120"/>
              <w:bottom w:type="dxa" w:w="80"/>
              <w:right w:type="dxa" w:w="120"/>
            </w:tcMar>
          </w:tcPr>
          <w:p>
            <w:pPr>
              <w:spacing w:after="0"/>
            </w:pPr>
            <w:r>
              <w:rPr>
                <w:b/>
                <w:bCs/>
                <w:sz w:val="20"/>
                <w:szCs w:val="20"/>
              </w:rPr>
              <w:t xml:space="preserve">歐盟模式</w:t>
            </w:r>
          </w:p>
        </w:tc>
        <w:tc>
          <w:tcPr>
            <w:tcW w:type="dxa" w:w="2400"/>
            <w:shd w:fill="DEEAF6" w:val="clear"/>
            <w:tcMar>
              <w:top w:type="dxa" w:w="80"/>
              <w:left w:type="dxa" w:w="120"/>
              <w:bottom w:type="dxa" w:w="80"/>
              <w:right w:type="dxa" w:w="120"/>
            </w:tcMar>
          </w:tcPr>
          <w:p>
            <w:pPr>
              <w:spacing w:after="0"/>
            </w:pPr>
            <w:r>
              <w:rPr>
                <w:b/>
                <w:bCs/>
                <w:sz w:val="20"/>
                <w:szCs w:val="20"/>
              </w:rPr>
              <w:t xml:space="preserve">美國模式</w:t>
            </w:r>
          </w:p>
        </w:tc>
        <w:tc>
          <w:tcPr>
            <w:tcW w:type="dxa" w:w="2300"/>
            <w:shd w:fill="DEEAF6" w:val="clear"/>
            <w:tcMar>
              <w:top w:type="dxa" w:w="80"/>
              <w:left w:type="dxa" w:w="120"/>
              <w:bottom w:type="dxa" w:w="80"/>
              <w:right w:type="dxa" w:w="120"/>
            </w:tcMar>
          </w:tcPr>
          <w:p>
            <w:pPr>
              <w:spacing w:after="0"/>
            </w:pPr>
            <w:r>
              <w:rPr>
                <w:b/>
                <w:bCs/>
                <w:sz w:val="20"/>
                <w:szCs w:val="20"/>
              </w:rPr>
              <w:t xml:space="preserve">臺灣現況與問題</w:t>
            </w:r>
          </w:p>
        </w:tc>
      </w:tr>
      <w:tr>
        <w:tc>
          <w:tcPr>
            <w:tcW w:type="dxa" w:w="1900"/>
            <w:tcMar>
              <w:top w:type="dxa" w:w="80"/>
              <w:left w:type="dxa" w:w="120"/>
              <w:bottom w:type="dxa" w:w="80"/>
              <w:right w:type="dxa" w:w="120"/>
            </w:tcMar>
          </w:tcPr>
          <w:p>
            <w:pPr>
              <w:spacing w:after="0"/>
            </w:pPr>
            <w:r>
              <w:rPr>
                <w:b w:val="false"/>
                <w:bCs w:val="false"/>
                <w:sz w:val="20"/>
                <w:szCs w:val="20"/>
              </w:rPr>
              <w:t xml:space="preserve">透明鏈：平台透明與資訊揭露</w:t>
            </w:r>
          </w:p>
        </w:tc>
        <w:tc>
          <w:tcPr>
            <w:tcW w:type="dxa" w:w="2400"/>
            <w:tcMar>
              <w:top w:type="dxa" w:w="80"/>
              <w:left w:type="dxa" w:w="120"/>
              <w:bottom w:type="dxa" w:w="80"/>
              <w:right w:type="dxa" w:w="120"/>
            </w:tcMar>
          </w:tcPr>
          <w:p>
            <w:pPr>
              <w:spacing w:after="0"/>
            </w:pPr>
            <w:r>
              <w:rPr>
                <w:b w:val="false"/>
                <w:bCs w:val="false"/>
                <w:sz w:val="20"/>
                <w:szCs w:val="20"/>
              </w:rPr>
              <w:t xml:space="preserve">透過 DSA、DMA 等制度，要求大型平台提供風險、內容管理、推薦系統及部分資料存取相關資訊。</w:t>
            </w:r>
          </w:p>
        </w:tc>
        <w:tc>
          <w:tcPr>
            <w:tcW w:type="dxa" w:w="2400"/>
            <w:tcMar>
              <w:top w:type="dxa" w:w="80"/>
              <w:left w:type="dxa" w:w="120"/>
              <w:bottom w:type="dxa" w:w="80"/>
              <w:right w:type="dxa" w:w="120"/>
            </w:tcMar>
          </w:tcPr>
          <w:p>
            <w:pPr>
              <w:spacing w:after="0"/>
            </w:pPr>
            <w:r>
              <w:rPr>
                <w:b w:val="false"/>
                <w:bCs w:val="false"/>
                <w:sz w:val="20"/>
                <w:szCs w:val="20"/>
              </w:rPr>
              <w:t xml:space="preserve">較依賴國會聽證、訴訟開示、吹哨者揭露及個案性監督。</w:t>
            </w:r>
          </w:p>
        </w:tc>
        <w:tc>
          <w:tcPr>
            <w:tcW w:type="dxa" w:w="2300"/>
            <w:tcMar>
              <w:top w:type="dxa" w:w="80"/>
              <w:left w:type="dxa" w:w="120"/>
              <w:bottom w:type="dxa" w:w="80"/>
              <w:right w:type="dxa" w:w="120"/>
            </w:tcMar>
          </w:tcPr>
          <w:p>
            <w:pPr>
              <w:spacing w:after="0"/>
            </w:pPr>
            <w:r>
              <w:rPr>
                <w:b w:val="false"/>
                <w:bCs w:val="false"/>
                <w:sz w:val="20"/>
                <w:szCs w:val="20"/>
              </w:rPr>
              <w:t xml:space="preserve">缺乏完整法定揭露架構，多依賴行政指導、平台自律或個案要求。</w:t>
            </w:r>
          </w:p>
        </w:tc>
      </w:tr>
      <w:tr>
        <w:tc>
          <w:tcPr>
            <w:tcW w:type="dxa" w:w="1900"/>
            <w:tcMar>
              <w:top w:type="dxa" w:w="80"/>
              <w:left w:type="dxa" w:w="120"/>
              <w:bottom w:type="dxa" w:w="80"/>
              <w:right w:type="dxa" w:w="120"/>
            </w:tcMar>
          </w:tcPr>
          <w:p>
            <w:pPr>
              <w:spacing w:after="0"/>
            </w:pPr>
            <w:r>
              <w:rPr>
                <w:b w:val="false"/>
                <w:bCs w:val="false"/>
                <w:sz w:val="20"/>
                <w:szCs w:val="20"/>
              </w:rPr>
              <w:t xml:space="preserve">透明鏈：資料治理與可攜互通</w:t>
            </w:r>
          </w:p>
        </w:tc>
        <w:tc>
          <w:tcPr>
            <w:tcW w:type="dxa" w:w="2400"/>
            <w:tcMar>
              <w:top w:type="dxa" w:w="80"/>
              <w:left w:type="dxa" w:w="120"/>
              <w:bottom w:type="dxa" w:w="80"/>
              <w:right w:type="dxa" w:w="120"/>
            </w:tcMar>
          </w:tcPr>
          <w:p>
            <w:pPr>
              <w:spacing w:after="0"/>
            </w:pPr>
            <w:r>
              <w:rPr>
                <w:b w:val="false"/>
                <w:bCs w:val="false"/>
                <w:sz w:val="20"/>
                <w:szCs w:val="20"/>
              </w:rPr>
              <w:t xml:space="preserve">強調資料可攜、互通及降低平台鎖定，並透過數位市場規範限制守門人封閉生態系。</w:t>
            </w:r>
          </w:p>
        </w:tc>
        <w:tc>
          <w:tcPr>
            <w:tcW w:type="dxa" w:w="2400"/>
            <w:tcMar>
              <w:top w:type="dxa" w:w="80"/>
              <w:left w:type="dxa" w:w="120"/>
              <w:bottom w:type="dxa" w:w="80"/>
              <w:right w:type="dxa" w:w="120"/>
            </w:tcMar>
          </w:tcPr>
          <w:p>
            <w:pPr>
              <w:spacing w:after="0"/>
            </w:pPr>
            <w:r>
              <w:rPr>
                <w:b w:val="false"/>
                <w:bCs w:val="false"/>
                <w:sz w:val="20"/>
                <w:szCs w:val="20"/>
              </w:rPr>
              <w:t xml:space="preserve">多透過市場競爭及個別反壟斷訴訟處理資料封閉。</w:t>
            </w:r>
          </w:p>
        </w:tc>
        <w:tc>
          <w:tcPr>
            <w:tcW w:type="dxa" w:w="2300"/>
            <w:tcMar>
              <w:top w:type="dxa" w:w="80"/>
              <w:left w:type="dxa" w:w="120"/>
              <w:bottom w:type="dxa" w:w="80"/>
              <w:right w:type="dxa" w:w="120"/>
            </w:tcMar>
          </w:tcPr>
          <w:p>
            <w:pPr>
              <w:spacing w:after="0"/>
            </w:pPr>
            <w:r>
              <w:rPr>
                <w:b w:val="false"/>
                <w:bCs w:val="false"/>
                <w:sz w:val="20"/>
                <w:szCs w:val="20"/>
              </w:rPr>
              <w:t xml:space="preserve">個資保護規範有基本保障，但跨平台資料互通及公共資料可用性仍不足。</w:t>
            </w:r>
          </w:p>
        </w:tc>
      </w:tr>
      <w:tr>
        <w:tc>
          <w:tcPr>
            <w:tcW w:type="dxa" w:w="1900"/>
            <w:tcMar>
              <w:top w:type="dxa" w:w="80"/>
              <w:left w:type="dxa" w:w="120"/>
              <w:bottom w:type="dxa" w:w="80"/>
              <w:right w:type="dxa" w:w="120"/>
            </w:tcMar>
          </w:tcPr>
          <w:p>
            <w:pPr>
              <w:spacing w:after="0"/>
            </w:pPr>
            <w:r>
              <w:rPr>
                <w:b w:val="false"/>
                <w:bCs w:val="false"/>
                <w:sz w:val="20"/>
                <w:szCs w:val="20"/>
              </w:rPr>
              <w:t xml:space="preserve">公正鏈：內容與排序程序</w:t>
            </w:r>
          </w:p>
        </w:tc>
        <w:tc>
          <w:tcPr>
            <w:tcW w:type="dxa" w:w="2400"/>
            <w:tcMar>
              <w:top w:type="dxa" w:w="80"/>
              <w:left w:type="dxa" w:w="120"/>
              <w:bottom w:type="dxa" w:w="80"/>
              <w:right w:type="dxa" w:w="120"/>
            </w:tcMar>
          </w:tcPr>
          <w:p>
            <w:pPr>
              <w:spacing w:after="0"/>
            </w:pPr>
            <w:r>
              <w:rPr>
                <w:b w:val="false"/>
                <w:bCs w:val="false"/>
                <w:sz w:val="20"/>
                <w:szCs w:val="20"/>
              </w:rPr>
              <w:t xml:space="preserve">要求平台提供內容處置理由、申訴及救濟程序，並建立較完整的程序透明要求。</w:t>
            </w:r>
          </w:p>
        </w:tc>
        <w:tc>
          <w:tcPr>
            <w:tcW w:type="dxa" w:w="2400"/>
            <w:tcMar>
              <w:top w:type="dxa" w:w="80"/>
              <w:left w:type="dxa" w:w="120"/>
              <w:bottom w:type="dxa" w:w="80"/>
              <w:right w:type="dxa" w:w="120"/>
            </w:tcMar>
          </w:tcPr>
          <w:p>
            <w:pPr>
              <w:spacing w:after="0"/>
            </w:pPr>
            <w:r>
              <w:rPr>
                <w:b w:val="false"/>
                <w:bCs w:val="false"/>
                <w:sz w:val="20"/>
                <w:szCs w:val="20"/>
              </w:rPr>
              <w:t xml:space="preserve">第一修正案對政府介入內容及排序具有高度限制；聯邦最高法院於 2024 年 Moody v. NetChoice 案發回德州、佛州反下架法律重審，要求逐一檢視法律所有適用情境，惟截至 2026 年 8 月，兩州法律的合憲性仍未終局確定，相關禁制令及後續訴訟程序仍在進行，平台內容審核的憲法地位尚未終局判定。</w:t>
            </w:r>
          </w:p>
        </w:tc>
        <w:tc>
          <w:tcPr>
            <w:tcW w:type="dxa" w:w="2300"/>
            <w:tcMar>
              <w:top w:type="dxa" w:w="80"/>
              <w:left w:type="dxa" w:w="120"/>
              <w:bottom w:type="dxa" w:w="80"/>
              <w:right w:type="dxa" w:w="120"/>
            </w:tcMar>
          </w:tcPr>
          <w:p>
            <w:pPr>
              <w:spacing w:after="0"/>
            </w:pPr>
            <w:r>
              <w:rPr>
                <w:b w:val="false"/>
                <w:bCs w:val="false"/>
                <w:sz w:val="20"/>
                <w:szCs w:val="20"/>
              </w:rPr>
              <w:t xml:space="preserve">平台停權、降流、封號及內容處置多依服務條款，公民及公共機關缺乏實質在地救濟。</w:t>
            </w:r>
          </w:p>
        </w:tc>
      </w:tr>
      <w:tr>
        <w:tc>
          <w:tcPr>
            <w:tcW w:type="dxa" w:w="1900"/>
            <w:tcMar>
              <w:top w:type="dxa" w:w="80"/>
              <w:left w:type="dxa" w:w="120"/>
              <w:bottom w:type="dxa" w:w="80"/>
              <w:right w:type="dxa" w:w="120"/>
            </w:tcMar>
          </w:tcPr>
          <w:p>
            <w:pPr>
              <w:spacing w:after="0"/>
            </w:pPr>
            <w:r>
              <w:rPr>
                <w:b w:val="false"/>
                <w:bCs w:val="false"/>
                <w:sz w:val="20"/>
                <w:szCs w:val="20"/>
              </w:rPr>
              <w:t xml:space="preserve">課責鏈：競爭與市場支配力</w:t>
            </w:r>
          </w:p>
        </w:tc>
        <w:tc>
          <w:tcPr>
            <w:tcW w:type="dxa" w:w="2400"/>
            <w:tcMar>
              <w:top w:type="dxa" w:w="80"/>
              <w:left w:type="dxa" w:w="120"/>
              <w:bottom w:type="dxa" w:w="80"/>
              <w:right w:type="dxa" w:w="120"/>
            </w:tcMar>
          </w:tcPr>
          <w:p>
            <w:pPr>
              <w:spacing w:after="0"/>
            </w:pPr>
            <w:r>
              <w:rPr>
                <w:b w:val="false"/>
                <w:bCs w:val="false"/>
                <w:sz w:val="20"/>
                <w:szCs w:val="20"/>
              </w:rPr>
              <w:t xml:space="preserve">對守門人採事前規範，限制自我偏好、資料封鎖及其他排除競爭行為；2025 年 4 月對 Apple、Meta 做出 DMA 上路以來首次不合規裁罰（合計約 7 億歐元）。</w:t>
            </w:r>
          </w:p>
        </w:tc>
        <w:tc>
          <w:tcPr>
            <w:tcW w:type="dxa" w:w="2400"/>
            <w:tcMar>
              <w:top w:type="dxa" w:w="80"/>
              <w:left w:type="dxa" w:w="120"/>
              <w:bottom w:type="dxa" w:w="80"/>
              <w:right w:type="dxa" w:w="120"/>
            </w:tcMar>
          </w:tcPr>
          <w:p>
            <w:pPr>
              <w:spacing w:after="0"/>
            </w:pPr>
            <w:r>
              <w:rPr>
                <w:b w:val="false"/>
                <w:bCs w:val="false"/>
                <w:sz w:val="20"/>
                <w:szCs w:val="20"/>
              </w:rPr>
              <w:t xml:space="preserve">主要依賴 FTC、司法部及州檢察長的事後反壟斷訴訟。</w:t>
            </w:r>
          </w:p>
        </w:tc>
        <w:tc>
          <w:tcPr>
            <w:tcW w:type="dxa" w:w="2300"/>
            <w:tcMar>
              <w:top w:type="dxa" w:w="80"/>
              <w:left w:type="dxa" w:w="120"/>
              <w:bottom w:type="dxa" w:w="80"/>
              <w:right w:type="dxa" w:w="120"/>
            </w:tcMar>
          </w:tcPr>
          <w:p>
            <w:pPr>
              <w:spacing w:after="0"/>
            </w:pPr>
            <w:r>
              <w:rPr>
                <w:b w:val="false"/>
                <w:bCs w:val="false"/>
                <w:sz w:val="20"/>
                <w:szCs w:val="20"/>
              </w:rPr>
              <w:t xml:space="preserve">以公平交易法為主，但網絡效應、生態系支配及公共效果的處理經驗仍有限。</w:t>
            </w:r>
          </w:p>
        </w:tc>
      </w:tr>
      <w:tr>
        <w:tc>
          <w:tcPr>
            <w:tcW w:type="dxa" w:w="1900"/>
            <w:tcMar>
              <w:top w:type="dxa" w:w="80"/>
              <w:left w:type="dxa" w:w="120"/>
              <w:bottom w:type="dxa" w:w="80"/>
              <w:right w:type="dxa" w:w="120"/>
            </w:tcMar>
          </w:tcPr>
          <w:p>
            <w:pPr>
              <w:spacing w:after="0"/>
            </w:pPr>
            <w:r>
              <w:rPr>
                <w:b w:val="false"/>
                <w:bCs w:val="false"/>
                <w:sz w:val="20"/>
                <w:szCs w:val="20"/>
              </w:rPr>
              <w:t xml:space="preserve">負責鏈：跨境規制與在地責任</w:t>
            </w:r>
          </w:p>
        </w:tc>
        <w:tc>
          <w:tcPr>
            <w:tcW w:type="dxa" w:w="2400"/>
            <w:tcMar>
              <w:top w:type="dxa" w:w="80"/>
              <w:left w:type="dxa" w:w="120"/>
              <w:bottom w:type="dxa" w:w="80"/>
              <w:right w:type="dxa" w:w="120"/>
            </w:tcMar>
          </w:tcPr>
          <w:p>
            <w:pPr>
              <w:spacing w:after="0"/>
            </w:pPr>
            <w:r>
              <w:rPr>
                <w:b w:val="false"/>
                <w:bCs w:val="false"/>
                <w:sz w:val="20"/>
                <w:szCs w:val="20"/>
              </w:rPr>
              <w:t xml:space="preserve">透過市場進入條件、在地代表、全球營業額罰款及多層次監理提高平台責任。</w:t>
            </w:r>
          </w:p>
        </w:tc>
        <w:tc>
          <w:tcPr>
            <w:tcW w:type="dxa" w:w="2400"/>
            <w:tcMar>
              <w:top w:type="dxa" w:w="80"/>
              <w:left w:type="dxa" w:w="120"/>
              <w:bottom w:type="dxa" w:w="80"/>
              <w:right w:type="dxa" w:w="120"/>
            </w:tcMar>
          </w:tcPr>
          <w:p>
            <w:pPr>
              <w:spacing w:after="0"/>
            </w:pPr>
            <w:r>
              <w:rPr>
                <w:b w:val="false"/>
                <w:bCs w:val="false"/>
                <w:sz w:val="20"/>
                <w:szCs w:val="20"/>
              </w:rPr>
              <w:t xml:space="preserve">由聯邦機關、司法部及州政府形成多層次訴訟與執法網絡。</w:t>
            </w:r>
          </w:p>
        </w:tc>
        <w:tc>
          <w:tcPr>
            <w:tcW w:type="dxa" w:w="2300"/>
            <w:tcMar>
              <w:top w:type="dxa" w:w="80"/>
              <w:left w:type="dxa" w:w="120"/>
              <w:bottom w:type="dxa" w:w="80"/>
              <w:right w:type="dxa" w:w="120"/>
            </w:tcMar>
          </w:tcPr>
          <w:p>
            <w:pPr>
              <w:spacing w:after="0"/>
            </w:pPr>
            <w:r>
              <w:rPr>
                <w:b w:val="false"/>
                <w:bCs w:val="false"/>
                <w:sz w:val="20"/>
                <w:szCs w:val="20"/>
              </w:rPr>
              <w:t xml:space="preserve">數發部、NCC、公平會等機關分工較為破碎，跨境平台的實質責任與制裁工具不足。</w:t>
            </w:r>
          </w:p>
        </w:tc>
      </w:tr>
      <w:tr>
        <w:tc>
          <w:tcPr>
            <w:tcW w:type="dxa" w:w="1900"/>
            <w:tcMar>
              <w:top w:type="dxa" w:w="80"/>
              <w:left w:type="dxa" w:w="120"/>
              <w:bottom w:type="dxa" w:w="80"/>
              <w:right w:type="dxa" w:w="120"/>
            </w:tcMar>
          </w:tcPr>
          <w:p>
            <w:pPr>
              <w:spacing w:after="0"/>
            </w:pPr>
            <w:r>
              <w:rPr>
                <w:b w:val="false"/>
                <w:bCs w:val="false"/>
                <w:sz w:val="20"/>
                <w:szCs w:val="20"/>
              </w:rPr>
              <w:t xml:space="preserve">課責鏈與負責鏈：公共服務依賴</w:t>
            </w:r>
          </w:p>
        </w:tc>
        <w:tc>
          <w:tcPr>
            <w:tcW w:type="dxa" w:w="2400"/>
            <w:tcMar>
              <w:top w:type="dxa" w:w="80"/>
              <w:left w:type="dxa" w:w="120"/>
              <w:bottom w:type="dxa" w:w="80"/>
              <w:right w:type="dxa" w:w="120"/>
            </w:tcMar>
          </w:tcPr>
          <w:p>
            <w:pPr>
              <w:spacing w:after="0"/>
            </w:pPr>
            <w:r>
              <w:rPr>
                <w:b w:val="false"/>
                <w:bCs w:val="false"/>
                <w:sz w:val="20"/>
                <w:szCs w:val="20"/>
              </w:rPr>
              <w:t xml:space="preserve">重視數位主權、公共部門的替代性及降低單一平台鎖定。</w:t>
            </w:r>
          </w:p>
        </w:tc>
        <w:tc>
          <w:tcPr>
            <w:tcW w:type="dxa" w:w="2400"/>
            <w:tcMar>
              <w:top w:type="dxa" w:w="80"/>
              <w:left w:type="dxa" w:w="120"/>
              <w:bottom w:type="dxa" w:w="80"/>
              <w:right w:type="dxa" w:w="120"/>
            </w:tcMar>
          </w:tcPr>
          <w:p>
            <w:pPr>
              <w:spacing w:after="0"/>
            </w:pPr>
            <w:r>
              <w:rPr>
                <w:b w:val="false"/>
                <w:bCs w:val="false"/>
                <w:sz w:val="20"/>
                <w:szCs w:val="20"/>
              </w:rPr>
              <w:t xml:space="preserve">鼓勵公私合作，並透過資安、採購及契約條件管理風險。</w:t>
            </w:r>
          </w:p>
        </w:tc>
        <w:tc>
          <w:tcPr>
            <w:tcW w:type="dxa" w:w="2300"/>
            <w:tcMar>
              <w:top w:type="dxa" w:w="80"/>
              <w:left w:type="dxa" w:w="120"/>
              <w:bottom w:type="dxa" w:w="80"/>
              <w:right w:type="dxa" w:w="120"/>
            </w:tcMar>
          </w:tcPr>
          <w:p>
            <w:pPr>
              <w:spacing w:after="0"/>
            </w:pPr>
            <w:r>
              <w:rPr>
                <w:b w:val="false"/>
                <w:bCs w:val="false"/>
                <w:sz w:val="20"/>
                <w:szCs w:val="20"/>
              </w:rPr>
              <w:t xml:space="preserve">公共機關高度依賴 LINE、Facebook 等平台作為宣導及通報通路，備援、替代與退場機制不足。</w:t>
            </w:r>
          </w:p>
        </w:tc>
      </w:tr>
    </w:tbl>
    <w:p>
      <w:pPr>
        <w:spacing w:after="160" w:line="320"/>
        <w:ind w:firstLine="431"/>
      </w:pPr>
      <w:r>
        <w:t xml:space="preserve">表中呈現的比較結果顯示，歐盟、美國與臺灣在四條治理鏈上的強弱分佈並不對稱，這正是後續三個制度場域比較的分析起點：歐盟在課責鏈與透明鏈上透過法定義務取得明顯優勢，卻仍須面對公正鏈（言論自由界線）與負責鏈（跨境執法）的憲政與外交侷限；美國以公正鏈的憲法保障（第一修正案）換取課責鏈與負責鏈上相對薄弱的法定工具，高度仰賴事後訴訟填補空缺；臺灣的處境最為特殊——並非選擇性地強化某一條鏈，而是四條鏈普遍處於監理分工破碎、法定授權不足的狀態，公共依賴卻已先行形成。這種「依賴先於能力」的結構性落差，使臺灣在下列四、臺灣模式一節，以及陸章的個案分析中，成為檢視規制型國家能力邊界最迫切的案例。以下三節將分別檢視歐盟、美國與臺灣如何在各自的憲政傳統與行政能力限制下，於四條治理鏈間做出不同的制度選擇。</w:t>
      </w:r>
    </w:p>
    <w:p>
      <w:pPr>
        <w:spacing w:after="160" w:line="320"/>
        <w:ind w:firstLine="431"/>
      </w:pPr>
      <w:r>
        <w:t xml:space="preserve">須說明的是，以下歐盟、美國、臺灣三節之分類，是為分析目的所建構的理想型（ideal type），用於凸顯三個場域主要制度傾向之差異，而非主張各場域內部制度完全一致：歐盟並非僅有事前規範，亦有競爭法與司法審查工具；美國並非僅依賴事後執法，亦存在產業規制、州法、政府採購與行政調查等機制；臺灣亦非完全欠缺事前義務，而是相關規範分散於不同法律與機關之中，尚未整合為一致的事前規範體系。</w:t>
      </w:r>
    </w:p>
    <w:p>
      <w:pPr>
        <w:spacing w:after="140" w:before="280"/>
      </w:pPr>
      <w:r>
        <w:rPr>
          <w:b/>
          <w:bCs/>
          <w:color w:val="1F4E79"/>
          <w:sz w:val="24"/>
          <w:szCs w:val="24"/>
        </w:rPr>
        <w:t xml:space="preserve">二、歐盟：事前規範</w:t>
      </w:r>
    </w:p>
    <w:p>
      <w:pPr>
        <w:spacing w:after="160" w:line="320"/>
        <w:ind w:firstLine="431"/>
      </w:pPr>
      <w:r>
        <w:t xml:space="preserve">歐盟模式的核心，是不等待平台造成完整損害後才介入，而是針對具有守門人或系統性影響力的平台建立事前義務。其制度特色包括：將平台的規模、影響力及系統性風險納入規範強度；要求平台提高透明度並承擔一定程序義務；透過競爭法以外的事前規範處理平台生態系支配；將資料可攜、互通、研究者存取及風險評估納入制度；透過市場進入權及高額制裁提高跨境執法效果。就四條治理鏈而言，歐盟主要是透過法律義務補強透明鏈、公正鏈及課責鏈，並透過在地代表及市場准入條件補強負責鏈。</w:t>
      </w:r>
    </w:p>
    <w:p>
      <w:pPr>
        <w:spacing w:after="160" w:line="320"/>
        <w:ind w:firstLine="431"/>
      </w:pPr>
      <w:r>
        <w:t xml:space="preserve">這套事前規範在 2025 至 2026 年間已從立法條文進入實質執行階段。歐盟執委會於 2025 年 4 月對 Apple、Meta 做出 DMA 上路以來首次的不合規裁罰：Apple 因限制 App 內開發者引導使用者前往較便宜的外部購買管道，遭裁罰 5 億歐元；Meta 因其『同意或付費』模式未能提供使用較少個人資料的對等服務選項，遭裁罰 2 億歐元。同批決定中，執委會也將 Facebook Marketplace 移出 DMA 守門人服務的指定範圍，顯示守門人分類會隨市場狀況動態調整，並非一經指定即永久適用。DSA 施行滿兩週年之際（2026 年 2 月），執委會的執法進展也顯示調查已從『開案』階段進入具體認定：對 TikTok 的『成癮性設計』做出初步違規認定，對 X 的推薦系統與其部署的生成式 AI 工具展開調查，並對 Shein 的成癮性設計、透明度不足與違法商品銷售開案調查，違規平台最高可能面臨全球年營業額 6% 的裁罰。</w:t>
      </w:r>
    </w:p>
    <w:p>
      <w:pPr>
        <w:spacing w:after="160" w:line="320"/>
        <w:ind w:firstLine="431"/>
      </w:pPr>
      <w:r>
        <w:t xml:space="preserve">需要特別澄清的是：2025 年底歐盟執委會提出的『Digital Omnibus』簡化包，引發『歐盟是否開始鬆綁數位監理』的討論，但就目前公開資訊而言，這一輪簡化提案主要鎖定 AI 法與個資保護規則，並未直接提出削減 DSA 或 DMA 本身義務的修正案。因此，DSA、DMA 的事前規範模式在 2025－2026 年間不僅未見鬆動，反而正透過具體裁罰產生可觀察的執行後果——這是伍-5比較結果所依據的最新事實基礎。</w:t>
      </w:r>
    </w:p>
    <w:p>
      <w:pPr>
        <w:spacing w:after="160" w:line="320"/>
        <w:ind w:firstLine="431"/>
      </w:pPr>
      <w:r>
        <w:t xml:space="preserve">為避免僅呈現官方裁罰之單一視角，亦應納入學術評論與後續執行動態之平衡觀點：de Streel 等人（2024）一方面肯定 DMA 事前規範之制度創新，另一方面也指出守門人指定之動態調整（如前述 Facebook Marketplace 案例）、執行成本，以及裁罰與言論自由界線之爭議。2026 年 2 月執委會另認定 Apple Ads、Apple Maps 不應指定為守門人核心平臺服務，再次顯示指定可隨市場門檻調整。執委會 2026 年 5 月第三份 DMA 執行年報彙整 2025 年對 Apple、Meta 合計 7 億歐元裁罰及首次核心平臺服務除名；裁罰啟動後，產業觀察仍質疑市場可競爭性是否實質改變，執委會對 Meta 新廣告模式、Apple 新開發者條款亦改走監理對話而非立即再罰。這不推翻「事前規範已進入執行」，但顯示 DMA 的實際成效仍有待更長期之執行經驗檢驗，而非可逕自視為事前規範模式已然成功之定論。</w:t>
      </w:r>
    </w:p>
    <w:p>
      <w:pPr>
        <w:spacing w:after="160" w:line="320"/>
        <w:ind w:firstLine="431"/>
      </w:pPr>
      <w:r>
        <w:t xml:space="preserve">伍章涉及之 2025–2026 年歐盟執法事項，正式稿應逐案標示法律依據、程序階段、官方文件與在本文中的分析功能，避免僅以概述帶過。暫定對照如下：Apple 反導流不合規決定及 5 億歐元裁罰——執委會 DMA 決定——課責鏈；Meta「同意或付費」模式及 2 億歐元裁罰——執委會 DMA 決定——透明鏈／資料使用；Facebook Marketplace 移出守門人指定——執委會指定調整決定——動態分級；Apple Ads／Apple Maps 不指定——執委會 2026 年 2 月認定——指定可逆；TikTok 成癮性設計初步違規認定、對 X 推薦系統與生成式 AI 工具調查、對 Shein 開案——DSA 程序不同階段——事前規範進入執行；Digital Omnibus 簡化包——提案文本——用於排除「DSA／DMA 本身已被削減」的過度推論；2026 年 5 月 DMA 執行年報 COM(2026) 247 final——彙整裁罰與除名——比較章的最新事實基礎。</w:t>
      </w:r>
    </w:p>
    <w:p>
      <w:pPr>
        <w:spacing w:after="140" w:before="280"/>
      </w:pPr>
      <w:r>
        <w:rPr>
          <w:b/>
          <w:bCs/>
          <w:color w:val="1F4E79"/>
          <w:sz w:val="24"/>
          <w:szCs w:val="24"/>
        </w:rPr>
        <w:t xml:space="preserve">三、美國：憲法界線與事後執法</w:t>
      </w:r>
    </w:p>
    <w:p>
      <w:pPr>
        <w:spacing w:after="160" w:line="320"/>
        <w:ind w:firstLine="431"/>
      </w:pPr>
      <w:r>
        <w:t xml:space="preserve">美國制度對政府介入平台內容治理設有較高的憲法審查障礙（第一修正案），但其對市場支配、消費者保護及平台結構性權力的介入，並不因此當然薄弱；美國主要透過國會監督、訴訟開示、吹哨者揭露及反壟斷訴訟處理平台權力，是在憲法界線與市場工具之間做出的制度分工，而非整體上「較重視」言論自由或「較不重視」平台問責。其優勢在於：對政府干預私人言論及內容排序設下較高憲法門檻；透過訴訟及開示制度揭露平台內部決策；以 FTC、司法部及州檢察長形成多層次執法；以事後競爭法處理市場支配及反競爭行為。但其限制也相當明顯：事後訴訟通常耗時較長，且不一定能及時處理平台對公共資訊、程序公平及服務連續性的影響。</w:t>
      </w:r>
    </w:p>
    <w:p>
      <w:pPr>
        <w:spacing w:after="160" w:line="320"/>
        <w:ind w:firstLine="431"/>
      </w:pPr>
      <w:r>
        <w:t xml:space="preserve">美國聯邦最高法院於 2024 年 7 月就 Moody v. NetChoice 案作出判決，值得在此精確交代其實際內容：九位大法官一致認為，下級法院對佛州 SB 7072、德州 HB 20 是否違反第一修正案的分析並不完整——兩州法律的適用範圍極廣，不只涵蓋大型社群平台的內容排序，也涵蓋其他各種服務的其他功能，下級法院應逐一檢視法律的所有適用情境，而非只針對社群平台的內容審核功能做單一判斷。最高法院因此撤銷原判決、發回重審，但維持原本禁止兩州法律生效的禁制令。發回後，案件於 2025 至 2026 年仍在地方法院進行：佛州案於 2025 年 5 月駁回州政府撤銷之訴，2026 年 6 月地院就交叉簡易判決進行言詞辯論後駁回雙方簡易判決、改付審判；德州案同樣尚未終局判定。換言之，至 2026 年 8 月，兩州「反下架」法律的合憲性仍未終局判定。這個發展不宜簡化為「美國最高法院已確立平台享有編輯言論自由」；較精確的說法是，最高法院要求以更細緻、逐項適用情境的方式審查政府介入平台內容規則的正當性，這反而印證了本文肆-3 的判斷：即使在美國，要為「平台何時該被要求說明或不得任意下架言論」劃出清楚的法律界線，本身就是尚未解決的難題。另須說明：2025－2026 年州法戰場已部分從「反下架」擴散至未成年帳號同意與年齡推定等規制，巡迴法院反覆援引 Moody 的面部挑戰標準；本文比較焦點仍停在內容處置的憲法界線未決，不另展開兒少隱私專論。</w:t>
      </w:r>
    </w:p>
    <w:p>
      <w:pPr>
        <w:spacing w:after="140" w:before="280"/>
      </w:pPr>
      <w:r>
        <w:rPr>
          <w:b/>
          <w:bCs/>
          <w:color w:val="1F4E79"/>
          <w:sz w:val="24"/>
          <w:szCs w:val="24"/>
        </w:rPr>
        <w:t xml:space="preserve">四、臺灣：碎片化與依賴</w:t>
      </w:r>
    </w:p>
    <w:p>
      <w:pPr>
        <w:spacing w:after="160" w:line="320"/>
        <w:ind w:firstLine="431"/>
      </w:pPr>
      <w:r>
        <w:t xml:space="preserve">臺灣的主要問題不是完全沒有監管機關，而是存在以下制度性落差：監管權限分散於數位發展、通訊傳播、競爭、個資及其他機關；尚缺乏以「準公共基礎設施」為中心的統整性政策分類；平台跨境營運造成在地執法與責任追究困難；部分公共機關在特定資訊發布與災害通報情境中，呈現對私人平台的高度依賴，其範圍、頻率與備援程度仍待以機關公告、契約及案例逐項核對；平台演算法、降流、內容處置及資料運用缺乏穩定法定透明機制；使用者與公共機關遭遇停權、封號或服務限制時，缺乏實質的在地程序與救濟；公共服務備援與退出機制是否充足，目前僅能作為初步觀察：部分情境顯示替代通路與資料保存安排不足，尚待以採購契約與演練紀錄驗證。</w:t>
      </w:r>
    </w:p>
    <w:p>
      <w:pPr>
        <w:spacing w:after="160" w:line="320"/>
        <w:ind w:firstLine="431"/>
      </w:pPr>
      <w:r>
        <w:t xml:space="preserve">臺灣的核心問題因此可概括為：公共部門已將私人平台納入公共服務運作，但制度上尚未要求國家同步保留對平台的理解、監督、介入及替代能力。</w:t>
      </w:r>
    </w:p>
    <w:p>
      <w:pPr>
        <w:spacing w:after="140" w:before="280"/>
      </w:pPr>
      <w:r>
        <w:rPr>
          <w:b/>
          <w:bCs/>
          <w:color w:val="1F4E79"/>
          <w:sz w:val="24"/>
          <w:szCs w:val="24"/>
        </w:rPr>
        <w:t xml:space="preserve">五、比較發現</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2400"/>
        <w:gridCol w:w="2400"/>
      </w:tblGrid>
      <w:tr>
        <w:tc>
          <w:tcPr>
            <w:tcW w:type="dxa" w:w="1800"/>
            <w:shd w:fill="DEEAF6" w:val="clear"/>
            <w:tcMar>
              <w:top w:type="dxa" w:w="80"/>
              <w:left w:type="dxa" w:w="120"/>
              <w:bottom w:type="dxa" w:w="80"/>
              <w:right w:type="dxa" w:w="120"/>
            </w:tcMar>
          </w:tcPr>
          <w:p>
            <w:pPr>
              <w:spacing w:after="0"/>
            </w:pPr>
            <w:r>
              <w:rPr>
                <w:b/>
                <w:bCs/>
                <w:sz w:val="20"/>
                <w:szCs w:val="20"/>
              </w:rPr>
              <w:t xml:space="preserve">面向</w:t>
            </w:r>
          </w:p>
        </w:tc>
        <w:tc>
          <w:tcPr>
            <w:tcW w:type="dxa" w:w="2400"/>
            <w:shd w:fill="DEEAF6" w:val="clear"/>
            <w:tcMar>
              <w:top w:type="dxa" w:w="80"/>
              <w:left w:type="dxa" w:w="120"/>
              <w:bottom w:type="dxa" w:w="80"/>
              <w:right w:type="dxa" w:w="120"/>
            </w:tcMar>
          </w:tcPr>
          <w:p>
            <w:pPr>
              <w:spacing w:after="0"/>
            </w:pPr>
            <w:r>
              <w:rPr>
                <w:b/>
                <w:bCs/>
                <w:sz w:val="20"/>
                <w:szCs w:val="20"/>
              </w:rPr>
              <w:t xml:space="preserve">歐盟</w:t>
            </w:r>
          </w:p>
        </w:tc>
        <w:tc>
          <w:tcPr>
            <w:tcW w:type="dxa" w:w="2400"/>
            <w:shd w:fill="DEEAF6" w:val="clear"/>
            <w:tcMar>
              <w:top w:type="dxa" w:w="80"/>
              <w:left w:type="dxa" w:w="120"/>
              <w:bottom w:type="dxa" w:w="80"/>
              <w:right w:type="dxa" w:w="120"/>
            </w:tcMar>
          </w:tcPr>
          <w:p>
            <w:pPr>
              <w:spacing w:after="0"/>
            </w:pPr>
            <w:r>
              <w:rPr>
                <w:b/>
                <w:bCs/>
                <w:sz w:val="20"/>
                <w:szCs w:val="20"/>
              </w:rPr>
              <w:t xml:space="preserve">美國</w:t>
            </w:r>
          </w:p>
        </w:tc>
        <w:tc>
          <w:tcPr>
            <w:tcW w:type="dxa" w:w="2400"/>
            <w:shd w:fill="DEEAF6" w:val="clear"/>
            <w:tcMar>
              <w:top w:type="dxa" w:w="80"/>
              <w:left w:type="dxa" w:w="120"/>
              <w:bottom w:type="dxa" w:w="80"/>
              <w:right w:type="dxa" w:w="120"/>
            </w:tcMar>
          </w:tcPr>
          <w:p>
            <w:pPr>
              <w:spacing w:after="0"/>
            </w:pPr>
            <w:r>
              <w:rPr>
                <w:b/>
                <w:bCs/>
                <w:sz w:val="20"/>
                <w:szCs w:val="20"/>
              </w:rPr>
              <w:t xml:space="preserve">臺灣</w:t>
            </w:r>
          </w:p>
        </w:tc>
      </w:tr>
      <w:tr>
        <w:tc>
          <w:tcPr>
            <w:tcW w:type="dxa" w:w="1800"/>
            <w:tcMar>
              <w:top w:type="dxa" w:w="80"/>
              <w:left w:type="dxa" w:w="120"/>
              <w:bottom w:type="dxa" w:w="80"/>
              <w:right w:type="dxa" w:w="120"/>
            </w:tcMar>
          </w:tcPr>
          <w:p>
            <w:pPr>
              <w:spacing w:after="0"/>
            </w:pPr>
            <w:r>
              <w:rPr>
                <w:b w:val="false"/>
                <w:bCs w:val="false"/>
                <w:sz w:val="20"/>
                <w:szCs w:val="20"/>
              </w:rPr>
              <w:t xml:space="preserve">主要介入時間</w:t>
            </w:r>
          </w:p>
        </w:tc>
        <w:tc>
          <w:tcPr>
            <w:tcW w:type="dxa" w:w="2400"/>
            <w:tcMar>
              <w:top w:type="dxa" w:w="80"/>
              <w:left w:type="dxa" w:w="120"/>
              <w:bottom w:type="dxa" w:w="80"/>
              <w:right w:type="dxa" w:w="120"/>
            </w:tcMar>
          </w:tcPr>
          <w:p>
            <w:pPr>
              <w:spacing w:after="0"/>
            </w:pPr>
            <w:r>
              <w:rPr>
                <w:b w:val="false"/>
                <w:bCs w:val="false"/>
                <w:sz w:val="20"/>
                <w:szCs w:val="20"/>
              </w:rPr>
              <w:t xml:space="preserve">事前規範</w:t>
            </w:r>
          </w:p>
        </w:tc>
        <w:tc>
          <w:tcPr>
            <w:tcW w:type="dxa" w:w="2400"/>
            <w:tcMar>
              <w:top w:type="dxa" w:w="80"/>
              <w:left w:type="dxa" w:w="120"/>
              <w:bottom w:type="dxa" w:w="80"/>
              <w:right w:type="dxa" w:w="120"/>
            </w:tcMar>
          </w:tcPr>
          <w:p>
            <w:pPr>
              <w:spacing w:after="0"/>
            </w:pPr>
            <w:r>
              <w:rPr>
                <w:b w:val="false"/>
                <w:bCs w:val="false"/>
                <w:sz w:val="20"/>
                <w:szCs w:val="20"/>
              </w:rPr>
              <w:t xml:space="preserve">事後訴訟與競爭法</w:t>
            </w:r>
          </w:p>
        </w:tc>
        <w:tc>
          <w:tcPr>
            <w:tcW w:type="dxa" w:w="2400"/>
            <w:tcMar>
              <w:top w:type="dxa" w:w="80"/>
              <w:left w:type="dxa" w:w="120"/>
              <w:bottom w:type="dxa" w:w="80"/>
              <w:right w:type="dxa" w:w="120"/>
            </w:tcMar>
          </w:tcPr>
          <w:p>
            <w:pPr>
              <w:spacing w:after="0"/>
            </w:pPr>
            <w:r>
              <w:rPr>
                <w:b w:val="false"/>
                <w:bCs w:val="false"/>
                <w:sz w:val="20"/>
                <w:szCs w:val="20"/>
              </w:rPr>
              <w:t xml:space="preserve">個案監管與行政協調</w:t>
            </w:r>
          </w:p>
        </w:tc>
      </w:tr>
      <w:tr>
        <w:tc>
          <w:tcPr>
            <w:tcW w:type="dxa" w:w="1800"/>
            <w:tcMar>
              <w:top w:type="dxa" w:w="80"/>
              <w:left w:type="dxa" w:w="120"/>
              <w:bottom w:type="dxa" w:w="80"/>
              <w:right w:type="dxa" w:w="120"/>
            </w:tcMar>
          </w:tcPr>
          <w:p>
            <w:pPr>
              <w:spacing w:after="0"/>
            </w:pPr>
            <w:r>
              <w:rPr>
                <w:b w:val="false"/>
                <w:bCs w:val="false"/>
                <w:sz w:val="20"/>
                <w:szCs w:val="20"/>
              </w:rPr>
              <w:t xml:space="preserve">核心制度邏輯</w:t>
            </w:r>
          </w:p>
        </w:tc>
        <w:tc>
          <w:tcPr>
            <w:tcW w:type="dxa" w:w="2400"/>
            <w:tcMar>
              <w:top w:type="dxa" w:w="80"/>
              <w:left w:type="dxa" w:w="120"/>
              <w:bottom w:type="dxa" w:w="80"/>
              <w:right w:type="dxa" w:w="120"/>
            </w:tcMar>
          </w:tcPr>
          <w:p>
            <w:pPr>
              <w:spacing w:after="0"/>
            </w:pPr>
            <w:r>
              <w:rPr>
                <w:b w:val="false"/>
                <w:bCs w:val="false"/>
                <w:sz w:val="20"/>
                <w:szCs w:val="20"/>
              </w:rPr>
              <w:t xml:space="preserve">平台公共責任制度化</w:t>
            </w:r>
          </w:p>
        </w:tc>
        <w:tc>
          <w:tcPr>
            <w:tcW w:type="dxa" w:w="2400"/>
            <w:tcMar>
              <w:top w:type="dxa" w:w="80"/>
              <w:left w:type="dxa" w:w="120"/>
              <w:bottom w:type="dxa" w:w="80"/>
              <w:right w:type="dxa" w:w="120"/>
            </w:tcMar>
          </w:tcPr>
          <w:p>
            <w:pPr>
              <w:spacing w:after="0"/>
            </w:pPr>
            <w:r>
              <w:rPr>
                <w:b w:val="false"/>
                <w:bCs w:val="false"/>
                <w:sz w:val="20"/>
                <w:szCs w:val="20"/>
              </w:rPr>
              <w:t xml:space="preserve">憲法界線與市場競爭</w:t>
            </w:r>
          </w:p>
        </w:tc>
        <w:tc>
          <w:tcPr>
            <w:tcW w:type="dxa" w:w="2400"/>
            <w:tcMar>
              <w:top w:type="dxa" w:w="80"/>
              <w:left w:type="dxa" w:w="120"/>
              <w:bottom w:type="dxa" w:w="80"/>
              <w:right w:type="dxa" w:w="120"/>
            </w:tcMar>
          </w:tcPr>
          <w:p>
            <w:pPr>
              <w:spacing w:after="0"/>
            </w:pPr>
            <w:r>
              <w:rPr>
                <w:b w:val="false"/>
                <w:bCs w:val="false"/>
                <w:sz w:val="20"/>
                <w:szCs w:val="20"/>
              </w:rPr>
              <w:t xml:space="preserve">權責分散與高度依賴</w:t>
            </w:r>
          </w:p>
        </w:tc>
      </w:tr>
      <w:tr>
        <w:tc>
          <w:tcPr>
            <w:tcW w:type="dxa" w:w="1800"/>
            <w:tcMar>
              <w:top w:type="dxa" w:w="80"/>
              <w:left w:type="dxa" w:w="120"/>
              <w:bottom w:type="dxa" w:w="80"/>
              <w:right w:type="dxa" w:w="120"/>
            </w:tcMar>
          </w:tcPr>
          <w:p>
            <w:pPr>
              <w:spacing w:after="0"/>
            </w:pPr>
            <w:r>
              <w:rPr>
                <w:b w:val="false"/>
                <w:bCs w:val="false"/>
                <w:sz w:val="20"/>
                <w:szCs w:val="20"/>
              </w:rPr>
              <w:t xml:space="preserve">課責鏈</w:t>
            </w:r>
          </w:p>
        </w:tc>
        <w:tc>
          <w:tcPr>
            <w:tcW w:type="dxa" w:w="2400"/>
            <w:tcMar>
              <w:top w:type="dxa" w:w="80"/>
              <w:left w:type="dxa" w:w="120"/>
              <w:bottom w:type="dxa" w:w="80"/>
              <w:right w:type="dxa" w:w="120"/>
            </w:tcMar>
          </w:tcPr>
          <w:p>
            <w:pPr>
              <w:spacing w:after="0"/>
            </w:pPr>
            <w:r>
              <w:rPr>
                <w:b w:val="false"/>
                <w:bCs w:val="false"/>
                <w:sz w:val="20"/>
                <w:szCs w:val="20"/>
              </w:rPr>
              <w:t xml:space="preserve">法定義務、監理與制裁</w:t>
            </w:r>
          </w:p>
        </w:tc>
        <w:tc>
          <w:tcPr>
            <w:tcW w:type="dxa" w:w="2400"/>
            <w:tcMar>
              <w:top w:type="dxa" w:w="80"/>
              <w:left w:type="dxa" w:w="120"/>
              <w:bottom w:type="dxa" w:w="80"/>
              <w:right w:type="dxa" w:w="120"/>
            </w:tcMar>
          </w:tcPr>
          <w:p>
            <w:pPr>
              <w:spacing w:after="0"/>
            </w:pPr>
            <w:r>
              <w:rPr>
                <w:b w:val="false"/>
                <w:bCs w:val="false"/>
                <w:sz w:val="20"/>
                <w:szCs w:val="20"/>
              </w:rPr>
              <w:t xml:space="preserve">訴訟、聽證與反壟斷</w:t>
            </w:r>
          </w:p>
        </w:tc>
        <w:tc>
          <w:tcPr>
            <w:tcW w:type="dxa" w:w="2400"/>
            <w:tcMar>
              <w:top w:type="dxa" w:w="80"/>
              <w:left w:type="dxa" w:w="120"/>
              <w:bottom w:type="dxa" w:w="80"/>
              <w:right w:type="dxa" w:w="120"/>
            </w:tcMar>
          </w:tcPr>
          <w:p>
            <w:pPr>
              <w:spacing w:after="0"/>
            </w:pPr>
            <w:r>
              <w:rPr>
                <w:b w:val="false"/>
                <w:bCs w:val="false"/>
                <w:sz w:val="20"/>
                <w:szCs w:val="20"/>
              </w:rPr>
              <w:t xml:space="preserve">監管分工破碎</w:t>
            </w:r>
          </w:p>
        </w:tc>
      </w:tr>
      <w:tr>
        <w:tc>
          <w:tcPr>
            <w:tcW w:type="dxa" w:w="1800"/>
            <w:tcMar>
              <w:top w:type="dxa" w:w="80"/>
              <w:left w:type="dxa" w:w="120"/>
              <w:bottom w:type="dxa" w:w="80"/>
              <w:right w:type="dxa" w:w="120"/>
            </w:tcMar>
          </w:tcPr>
          <w:p>
            <w:pPr>
              <w:spacing w:after="0"/>
            </w:pPr>
            <w:r>
              <w:rPr>
                <w:b w:val="false"/>
                <w:bCs w:val="false"/>
                <w:sz w:val="20"/>
                <w:szCs w:val="20"/>
              </w:rPr>
              <w:t xml:space="preserve">負責鏈</w:t>
            </w:r>
          </w:p>
        </w:tc>
        <w:tc>
          <w:tcPr>
            <w:tcW w:type="dxa" w:w="2400"/>
            <w:tcMar>
              <w:top w:type="dxa" w:w="80"/>
              <w:left w:type="dxa" w:w="120"/>
              <w:bottom w:type="dxa" w:w="80"/>
              <w:right w:type="dxa" w:w="120"/>
            </w:tcMar>
          </w:tcPr>
          <w:p>
            <w:pPr>
              <w:spacing w:after="0"/>
            </w:pPr>
            <w:r>
              <w:rPr>
                <w:b w:val="false"/>
                <w:bCs w:val="false"/>
                <w:sz w:val="20"/>
                <w:szCs w:val="20"/>
              </w:rPr>
              <w:t xml:space="preserve">在地代表與市場准入</w:t>
            </w:r>
          </w:p>
        </w:tc>
        <w:tc>
          <w:tcPr>
            <w:tcW w:type="dxa" w:w="2400"/>
            <w:tcMar>
              <w:top w:type="dxa" w:w="80"/>
              <w:left w:type="dxa" w:w="120"/>
              <w:bottom w:type="dxa" w:w="80"/>
              <w:right w:type="dxa" w:w="120"/>
            </w:tcMar>
          </w:tcPr>
          <w:p>
            <w:pPr>
              <w:spacing w:after="0"/>
            </w:pPr>
            <w:r>
              <w:rPr>
                <w:b w:val="false"/>
                <w:bCs w:val="false"/>
                <w:sz w:val="20"/>
                <w:szCs w:val="20"/>
              </w:rPr>
              <w:t xml:space="preserve">聯邦及州多層執法</w:t>
            </w:r>
          </w:p>
        </w:tc>
        <w:tc>
          <w:tcPr>
            <w:tcW w:type="dxa" w:w="2400"/>
            <w:tcMar>
              <w:top w:type="dxa" w:w="80"/>
              <w:left w:type="dxa" w:w="120"/>
              <w:bottom w:type="dxa" w:w="80"/>
              <w:right w:type="dxa" w:w="120"/>
            </w:tcMar>
          </w:tcPr>
          <w:p>
            <w:pPr>
              <w:spacing w:after="0"/>
            </w:pPr>
            <w:r>
              <w:rPr>
                <w:b w:val="false"/>
                <w:bCs w:val="false"/>
                <w:sz w:val="20"/>
                <w:szCs w:val="20"/>
              </w:rPr>
              <w:t xml:space="preserve">實質在地責任不足</w:t>
            </w:r>
          </w:p>
        </w:tc>
      </w:tr>
      <w:tr>
        <w:tc>
          <w:tcPr>
            <w:tcW w:type="dxa" w:w="1800"/>
            <w:tcMar>
              <w:top w:type="dxa" w:w="80"/>
              <w:left w:type="dxa" w:w="120"/>
              <w:bottom w:type="dxa" w:w="80"/>
              <w:right w:type="dxa" w:w="120"/>
            </w:tcMar>
          </w:tcPr>
          <w:p>
            <w:pPr>
              <w:spacing w:after="0"/>
            </w:pPr>
            <w:r>
              <w:rPr>
                <w:b w:val="false"/>
                <w:bCs w:val="false"/>
                <w:sz w:val="20"/>
                <w:szCs w:val="20"/>
              </w:rPr>
              <w:t xml:space="preserve">透明鏈</w:t>
            </w:r>
          </w:p>
        </w:tc>
        <w:tc>
          <w:tcPr>
            <w:tcW w:type="dxa" w:w="2400"/>
            <w:tcMar>
              <w:top w:type="dxa" w:w="80"/>
              <w:left w:type="dxa" w:w="120"/>
              <w:bottom w:type="dxa" w:w="80"/>
              <w:right w:type="dxa" w:w="120"/>
            </w:tcMar>
          </w:tcPr>
          <w:p>
            <w:pPr>
              <w:spacing w:after="0"/>
            </w:pPr>
            <w:r>
              <w:rPr>
                <w:b w:val="false"/>
                <w:bCs w:val="false"/>
                <w:sz w:val="20"/>
                <w:szCs w:val="20"/>
              </w:rPr>
              <w:t xml:space="preserve">法定揭露、稽核及資料存取</w:t>
            </w:r>
          </w:p>
        </w:tc>
        <w:tc>
          <w:tcPr>
            <w:tcW w:type="dxa" w:w="2400"/>
            <w:tcMar>
              <w:top w:type="dxa" w:w="80"/>
              <w:left w:type="dxa" w:w="120"/>
              <w:bottom w:type="dxa" w:w="80"/>
              <w:right w:type="dxa" w:w="120"/>
            </w:tcMar>
          </w:tcPr>
          <w:p>
            <w:pPr>
              <w:spacing w:after="0"/>
            </w:pPr>
            <w:r>
              <w:rPr>
                <w:b w:val="false"/>
                <w:bCs w:val="false"/>
                <w:sz w:val="20"/>
                <w:szCs w:val="20"/>
              </w:rPr>
              <w:t xml:space="preserve">開示、吹哨者及聽證</w:t>
            </w:r>
          </w:p>
        </w:tc>
        <w:tc>
          <w:tcPr>
            <w:tcW w:type="dxa" w:w="2400"/>
            <w:tcMar>
              <w:top w:type="dxa" w:w="80"/>
              <w:left w:type="dxa" w:w="120"/>
              <w:bottom w:type="dxa" w:w="80"/>
              <w:right w:type="dxa" w:w="120"/>
            </w:tcMar>
          </w:tcPr>
          <w:p>
            <w:pPr>
              <w:spacing w:after="0"/>
            </w:pPr>
            <w:r>
              <w:rPr>
                <w:b w:val="false"/>
                <w:bCs w:val="false"/>
                <w:sz w:val="20"/>
                <w:szCs w:val="20"/>
              </w:rPr>
              <w:t xml:space="preserve">自律及行政指導為主</w:t>
            </w:r>
          </w:p>
        </w:tc>
      </w:tr>
      <w:tr>
        <w:tc>
          <w:tcPr>
            <w:tcW w:type="dxa" w:w="1800"/>
            <w:tcMar>
              <w:top w:type="dxa" w:w="80"/>
              <w:left w:type="dxa" w:w="120"/>
              <w:bottom w:type="dxa" w:w="80"/>
              <w:right w:type="dxa" w:w="120"/>
            </w:tcMar>
          </w:tcPr>
          <w:p>
            <w:pPr>
              <w:spacing w:after="0"/>
            </w:pPr>
            <w:r>
              <w:rPr>
                <w:b w:val="false"/>
                <w:bCs w:val="false"/>
                <w:sz w:val="20"/>
                <w:szCs w:val="20"/>
              </w:rPr>
              <w:t xml:space="preserve">公正鏈</w:t>
            </w:r>
          </w:p>
        </w:tc>
        <w:tc>
          <w:tcPr>
            <w:tcW w:type="dxa" w:w="2400"/>
            <w:tcMar>
              <w:top w:type="dxa" w:w="80"/>
              <w:left w:type="dxa" w:w="120"/>
              <w:bottom w:type="dxa" w:w="80"/>
              <w:right w:type="dxa" w:w="120"/>
            </w:tcMar>
          </w:tcPr>
          <w:p>
            <w:pPr>
              <w:spacing w:after="0"/>
            </w:pPr>
            <w:r>
              <w:rPr>
                <w:b w:val="false"/>
                <w:bCs w:val="false"/>
                <w:sz w:val="20"/>
                <w:szCs w:val="20"/>
              </w:rPr>
              <w:t xml:space="preserve">法定申訴與理由說明</w:t>
            </w:r>
          </w:p>
        </w:tc>
        <w:tc>
          <w:tcPr>
            <w:tcW w:type="dxa" w:w="2400"/>
            <w:tcMar>
              <w:top w:type="dxa" w:w="80"/>
              <w:left w:type="dxa" w:w="120"/>
              <w:bottom w:type="dxa" w:w="80"/>
              <w:right w:type="dxa" w:w="120"/>
            </w:tcMar>
          </w:tcPr>
          <w:p>
            <w:pPr>
              <w:spacing w:after="0"/>
            </w:pPr>
            <w:r>
              <w:rPr>
                <w:b w:val="false"/>
                <w:bCs w:val="false"/>
                <w:sz w:val="20"/>
                <w:szCs w:val="20"/>
              </w:rPr>
              <w:t xml:space="preserve">受第一修正案高度限制</w:t>
            </w:r>
          </w:p>
        </w:tc>
        <w:tc>
          <w:tcPr>
            <w:tcW w:type="dxa" w:w="2400"/>
            <w:tcMar>
              <w:top w:type="dxa" w:w="80"/>
              <w:left w:type="dxa" w:w="120"/>
              <w:bottom w:type="dxa" w:w="80"/>
              <w:right w:type="dxa" w:w="120"/>
            </w:tcMar>
          </w:tcPr>
          <w:p>
            <w:pPr>
              <w:spacing w:after="0"/>
            </w:pPr>
            <w:r>
              <w:rPr>
                <w:b w:val="false"/>
                <w:bCs w:val="false"/>
                <w:sz w:val="20"/>
                <w:szCs w:val="20"/>
              </w:rPr>
              <w:t xml:space="preserve">缺乏完整法定救濟</w:t>
            </w:r>
          </w:p>
        </w:tc>
      </w:tr>
      <w:tr>
        <w:tc>
          <w:tcPr>
            <w:tcW w:type="dxa" w:w="1800"/>
            <w:tcMar>
              <w:top w:type="dxa" w:w="80"/>
              <w:left w:type="dxa" w:w="120"/>
              <w:bottom w:type="dxa" w:w="80"/>
              <w:right w:type="dxa" w:w="120"/>
            </w:tcMar>
          </w:tcPr>
          <w:p>
            <w:pPr>
              <w:spacing w:after="0"/>
            </w:pPr>
            <w:r>
              <w:rPr>
                <w:b w:val="false"/>
                <w:bCs w:val="false"/>
                <w:sz w:val="20"/>
                <w:szCs w:val="20"/>
              </w:rPr>
              <w:t xml:space="preserve">公共依賴管理</w:t>
            </w:r>
          </w:p>
        </w:tc>
        <w:tc>
          <w:tcPr>
            <w:tcW w:type="dxa" w:w="2400"/>
            <w:tcMar>
              <w:top w:type="dxa" w:w="80"/>
              <w:left w:type="dxa" w:w="120"/>
              <w:bottom w:type="dxa" w:w="80"/>
              <w:right w:type="dxa" w:w="120"/>
            </w:tcMar>
          </w:tcPr>
          <w:p>
            <w:pPr>
              <w:spacing w:after="0"/>
            </w:pPr>
            <w:r>
              <w:rPr>
                <w:b w:val="false"/>
                <w:bCs w:val="false"/>
                <w:sz w:val="20"/>
                <w:szCs w:val="20"/>
              </w:rPr>
              <w:t xml:space="preserve">強調數位主權與替代性</w:t>
            </w:r>
          </w:p>
        </w:tc>
        <w:tc>
          <w:tcPr>
            <w:tcW w:type="dxa" w:w="2400"/>
            <w:tcMar>
              <w:top w:type="dxa" w:w="80"/>
              <w:left w:type="dxa" w:w="120"/>
              <w:bottom w:type="dxa" w:w="80"/>
              <w:right w:type="dxa" w:w="120"/>
            </w:tcMar>
          </w:tcPr>
          <w:p>
            <w:pPr>
              <w:spacing w:after="0"/>
            </w:pPr>
            <w:r>
              <w:rPr>
                <w:b w:val="false"/>
                <w:bCs w:val="false"/>
                <w:sz w:val="20"/>
                <w:szCs w:val="20"/>
              </w:rPr>
              <w:t xml:space="preserve">以採購及資安降低風險</w:t>
            </w:r>
          </w:p>
        </w:tc>
        <w:tc>
          <w:tcPr>
            <w:tcW w:type="dxa" w:w="2400"/>
            <w:tcMar>
              <w:top w:type="dxa" w:w="80"/>
              <w:left w:type="dxa" w:w="120"/>
              <w:bottom w:type="dxa" w:w="80"/>
              <w:right w:type="dxa" w:w="120"/>
            </w:tcMar>
          </w:tcPr>
          <w:p>
            <w:pPr>
              <w:spacing w:after="0"/>
            </w:pPr>
            <w:r>
              <w:rPr>
                <w:b w:val="false"/>
                <w:bCs w:val="false"/>
                <w:sz w:val="20"/>
                <w:szCs w:val="20"/>
              </w:rPr>
              <w:t xml:space="preserve">備援與退場機制不足</w:t>
            </w:r>
          </w:p>
        </w:tc>
      </w:tr>
    </w:tbl>
    <w:p>
      <w:pPr>
        <w:spacing w:after="160" w:line="320"/>
        <w:ind w:firstLine="431"/>
      </w:pPr>
      <w:r>
        <w:t xml:space="preserve">比較結果顯示，全球制度回應已逐漸從完全相信市場自律，轉向要求大型平台承擔與其公共效果相稱的制度責任。不過，歐盟與美國的制度邏輯並不相同：歐盟重視事前公共責任，美國重視憲法界線與事後競爭，臺灣則面臨公共依賴已先行形成、制度工具卻尚未跟上的問題。</w:t>
      </w:r>
    </w:p>
    <w:p>
      <w:pPr>
        <w:pStyle w:val="Heading1"/>
        <w:pageBreakBefore/>
        <w:spacing w:after="200" w:before="420"/>
      </w:pPr>
      <w:r>
        <w:t xml:space="preserve">陸、臺灣個案研究</w:t>
      </w:r>
    </w:p>
    <w:p>
      <w:pPr>
        <w:spacing w:after="140" w:before="280"/>
      </w:pPr>
      <w:r>
        <w:rPr>
          <w:b/>
          <w:bCs/>
          <w:color w:val="1F4E79"/>
          <w:sz w:val="24"/>
          <w:szCs w:val="24"/>
        </w:rPr>
        <w:t xml:space="preserve">一、中介法草案的制度設計</w:t>
      </w:r>
    </w:p>
    <w:p>
      <w:pPr>
        <w:spacing w:after="160" w:line="320"/>
        <w:ind w:firstLine="431"/>
      </w:pPr>
      <w:r>
        <w:t xml:space="preserve">在條列臺灣的制度性問題之前，本節先處理一個具體個案：《數位中介服務法》草案。這是臺灣近年最完整、且最接近柒章所建議那套制度（分級義務、透明揭露、風險評估、跨機關監理）的一次立法嘗試。本文所稱「制度未落實」，是指草案未完成立法、原定監理機制未建立，且後續政策工具未承接其全部法定義務；其撤回與政策路線轉向，正是本文所要診斷的國家能力落差示範——臺灣並非缺乏制度想像力，而是在政治可行性與國家執行能力上遭遇結構性障礙。</w:t>
      </w:r>
    </w:p>
    <w:p>
      <w:pPr>
        <w:spacing w:after="160" w:line="320"/>
        <w:ind w:firstLine="431"/>
      </w:pPr>
      <w:r>
        <w:t xml:space="preserve">本節個案分析以法規文本、官方文件、新聞報導及臺灣學界既有研究為基礎。與草案直接相關的本土文獻，至少包括：林修睿（2022）以歐盟 DSA 為比較對象，指出草案權責較不明確、大型平臺門檻未充分考量國情、第 20 條「暫時加註警示」可能在未得法院裁定前即以行政處分干預言論；林家暘（2022）將爭議收斂為法遵義務、資訊限制令與暫時加註警示三點，並主張社會反彈同時反映規範細緻度不足與長期欠缺中介者規範的結構後果；顏廷棟（2023）以日本服務提供者責任限制法對照草案第 18－20 條，主張資訊限制令應更嚴格對齊法院保留與緊急避難要件。學位論文方面，周義哲（2023）、林佑貞（2023）、陳俐蓉（2024）均以草案與 DSA 逐條或制度比較為核心；政大新聞所碩士論文《〈數位中介服務法〉草案的演變與論述分析》另以歷史制度主義與批判論述分析指出，草案在參考 DSA 架構時額外納入歐盟法未見的資訊限制令與暫時加註警示，公開說明會呈現多元主義與新自由主義論述競逐。謝宜哲（2025）則強調草案對「違法或有害內容」定義不明，易引發執法爭議。上述文獻高度集中於公正鏈／資訊限制令爭議，可與陸-2 所列撤回與未落實成因相互印證；政大論述分析並提供說明會層次的過程機制，降低僅依新聞推論因果的風險。</w:t>
      </w:r>
    </w:p>
    <w:p>
      <w:pPr>
        <w:spacing w:after="160" w:line="320"/>
        <w:ind w:firstLine="431"/>
      </w:pPr>
      <w:r>
        <w:t xml:space="preserve">對本文過程追蹤的方法論用途而言，法律期刊高度集中於公正鏈與資訊限制令，與陸-2對撤回與未落實成因的判斷一致；政大論述分析則額外提供「溝通程序不足＋論述效應」的過程機制，可作為「官方文件／說明會紀錄」一層的學術交叉核對。</w:t>
      </w:r>
    </w:p>
    <w:p>
      <w:pPr>
        <w:spacing w:after="100" w:before="200"/>
      </w:pPr>
      <w:r>
        <w:rPr>
          <w:b/>
          <w:bCs/>
          <w:sz w:val="22"/>
          <w:szCs w:val="22"/>
        </w:rPr>
        <w:t xml:space="preserve">（一）時間軸</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400"/>
        <w:gridCol w:w="6600"/>
      </w:tblGrid>
      <w:tr>
        <w:tc>
          <w:tcPr>
            <w:tcW w:type="dxa" w:w="2400"/>
            <w:shd w:fill="DEEAF6" w:val="clear"/>
            <w:tcMar>
              <w:top w:type="dxa" w:w="80"/>
              <w:left w:type="dxa" w:w="120"/>
              <w:bottom w:type="dxa" w:w="80"/>
              <w:right w:type="dxa" w:w="120"/>
            </w:tcMar>
          </w:tcPr>
          <w:p>
            <w:pPr>
              <w:spacing w:after="0"/>
            </w:pPr>
            <w:r>
              <w:rPr>
                <w:b/>
                <w:bCs/>
                <w:sz w:val="20"/>
                <w:szCs w:val="20"/>
              </w:rPr>
              <w:t xml:space="preserve">時間</w:t>
            </w:r>
          </w:p>
        </w:tc>
        <w:tc>
          <w:tcPr>
            <w:tcW w:type="dxa" w:w="6600"/>
            <w:shd w:fill="DEEAF6" w:val="clear"/>
            <w:tcMar>
              <w:top w:type="dxa" w:w="80"/>
              <w:left w:type="dxa" w:w="120"/>
              <w:bottom w:type="dxa" w:w="80"/>
              <w:right w:type="dxa" w:w="120"/>
            </w:tcMar>
          </w:tcPr>
          <w:p>
            <w:pPr>
              <w:spacing w:after="0"/>
            </w:pPr>
            <w:r>
              <w:rPr>
                <w:b/>
                <w:bCs/>
                <w:sz w:val="20"/>
                <w:szCs w:val="20"/>
              </w:rPr>
              <w:t xml:space="preserve">事件</w:t>
            </w:r>
          </w:p>
        </w:tc>
      </w:tr>
      <w:tr>
        <w:tc>
          <w:tcPr>
            <w:tcW w:type="dxa" w:w="2400"/>
            <w:tcMar>
              <w:top w:type="dxa" w:w="80"/>
              <w:left w:type="dxa" w:w="120"/>
              <w:bottom w:type="dxa" w:w="80"/>
              <w:right w:type="dxa" w:w="120"/>
            </w:tcMar>
          </w:tcPr>
          <w:p>
            <w:pPr>
              <w:spacing w:after="0"/>
            </w:pPr>
            <w:r>
              <w:rPr>
                <w:b w:val="false"/>
                <w:bCs w:val="false"/>
                <w:sz w:val="20"/>
                <w:szCs w:val="20"/>
              </w:rPr>
              <w:t xml:space="preserve">2022 年 6 月底～7 月初</w:t>
            </w:r>
          </w:p>
        </w:tc>
        <w:tc>
          <w:tcPr>
            <w:tcW w:type="dxa" w:w="6600"/>
            <w:tcMar>
              <w:top w:type="dxa" w:w="80"/>
              <w:left w:type="dxa" w:w="120"/>
              <w:bottom w:type="dxa" w:w="80"/>
              <w:right w:type="dxa" w:w="120"/>
            </w:tcMar>
          </w:tcPr>
          <w:p>
            <w:pPr>
              <w:spacing w:after="0"/>
            </w:pPr>
            <w:r>
              <w:rPr>
                <w:b w:val="false"/>
                <w:bCs w:val="false"/>
                <w:sz w:val="20"/>
                <w:szCs w:val="20"/>
              </w:rPr>
              <w:t xml:space="preserve">NCC 對外預告並於 7 月 4 日正式公告《數位中介服務法》草案，擬設立專責機構，投入約 25 億元預算推動平台監理。</w:t>
            </w:r>
          </w:p>
        </w:tc>
      </w:tr>
      <w:tr>
        <w:tc>
          <w:tcPr>
            <w:tcW w:type="dxa" w:w="2400"/>
            <w:tcMar>
              <w:top w:type="dxa" w:w="80"/>
              <w:left w:type="dxa" w:w="120"/>
              <w:bottom w:type="dxa" w:w="80"/>
              <w:right w:type="dxa" w:w="120"/>
            </w:tcMar>
          </w:tcPr>
          <w:p>
            <w:pPr>
              <w:spacing w:after="0"/>
            </w:pPr>
            <w:r>
              <w:rPr>
                <w:b w:val="false"/>
                <w:bCs w:val="false"/>
                <w:sz w:val="20"/>
                <w:szCs w:val="20"/>
              </w:rPr>
              <w:t xml:space="preserve">2022 年 7～8 月</w:t>
            </w:r>
          </w:p>
        </w:tc>
        <w:tc>
          <w:tcPr>
            <w:tcW w:type="dxa" w:w="6600"/>
            <w:tcMar>
              <w:top w:type="dxa" w:w="80"/>
              <w:left w:type="dxa" w:w="120"/>
              <w:bottom w:type="dxa" w:w="80"/>
              <w:right w:type="dxa" w:w="120"/>
            </w:tcMar>
          </w:tcPr>
          <w:p>
            <w:pPr>
              <w:spacing w:after="0"/>
            </w:pPr>
            <w:r>
              <w:rPr>
                <w:b w:val="false"/>
                <w:bCs w:val="false"/>
                <w:sz w:val="20"/>
                <w:szCs w:val="20"/>
              </w:rPr>
              <w:t xml:space="preserve">草案內容曝光後迅速引發輿論反彈，PTT 站方代表公開表示形同要求關站，在野黨與部分公民團體密集批評，法界人士質疑草案違反比例原則、限制言論自由。</w:t>
            </w:r>
          </w:p>
        </w:tc>
      </w:tr>
      <w:tr>
        <w:tc>
          <w:tcPr>
            <w:tcW w:type="dxa" w:w="2400"/>
            <w:tcMar>
              <w:top w:type="dxa" w:w="80"/>
              <w:left w:type="dxa" w:w="120"/>
              <w:bottom w:type="dxa" w:w="80"/>
              <w:right w:type="dxa" w:w="120"/>
            </w:tcMar>
          </w:tcPr>
          <w:p>
            <w:pPr>
              <w:spacing w:after="0"/>
            </w:pPr>
            <w:r>
              <w:rPr>
                <w:b w:val="false"/>
                <w:bCs w:val="false"/>
                <w:sz w:val="20"/>
                <w:szCs w:val="20"/>
              </w:rPr>
              <w:t xml:space="preserve">2022 年 8 月</w:t>
            </w:r>
          </w:p>
        </w:tc>
        <w:tc>
          <w:tcPr>
            <w:tcW w:type="dxa" w:w="6600"/>
            <w:tcMar>
              <w:top w:type="dxa" w:w="80"/>
              <w:left w:type="dxa" w:w="120"/>
              <w:bottom w:type="dxa" w:w="80"/>
              <w:right w:type="dxa" w:w="120"/>
            </w:tcMar>
          </w:tcPr>
          <w:p>
            <w:pPr>
              <w:spacing w:after="0"/>
            </w:pPr>
            <w:r>
              <w:rPr>
                <w:b w:val="false"/>
                <w:bCs w:val="false"/>
                <w:sz w:val="20"/>
                <w:szCs w:val="20"/>
              </w:rPr>
              <w:t xml:space="preserve">反對聲浪升高，藍營人士至 NCC 大門潑漆抗議；線上連署與懶人包廣泛流傳。</w:t>
            </w:r>
          </w:p>
        </w:tc>
      </w:tr>
      <w:tr>
        <w:tc>
          <w:tcPr>
            <w:tcW w:type="dxa" w:w="2400"/>
            <w:tcMar>
              <w:top w:type="dxa" w:w="80"/>
              <w:left w:type="dxa" w:w="120"/>
              <w:bottom w:type="dxa" w:w="80"/>
              <w:right w:type="dxa" w:w="120"/>
            </w:tcMar>
          </w:tcPr>
          <w:p>
            <w:pPr>
              <w:spacing w:after="0"/>
            </w:pPr>
            <w:r>
              <w:rPr>
                <w:b w:val="false"/>
                <w:bCs w:val="false"/>
                <w:sz w:val="20"/>
                <w:szCs w:val="20"/>
              </w:rPr>
              <w:t xml:space="preserve">2022 年 12 月</w:t>
            </w:r>
          </w:p>
        </w:tc>
        <w:tc>
          <w:tcPr>
            <w:tcW w:type="dxa" w:w="6600"/>
            <w:tcMar>
              <w:top w:type="dxa" w:w="80"/>
              <w:left w:type="dxa" w:w="120"/>
              <w:bottom w:type="dxa" w:w="80"/>
              <w:right w:type="dxa" w:w="120"/>
            </w:tcMar>
          </w:tcPr>
          <w:p>
            <w:pPr>
              <w:spacing w:after="0"/>
            </w:pPr>
            <w:r>
              <w:rPr>
                <w:b w:val="false"/>
                <w:bCs w:val="false"/>
                <w:sz w:val="20"/>
                <w:szCs w:val="20"/>
              </w:rPr>
              <w:t xml:space="preserve">行政院與總統府介入喊停；NCC 主委陳耀祥公開表態不會再推有爭議的中介法，草案實質撤回。</w:t>
            </w:r>
          </w:p>
        </w:tc>
      </w:tr>
      <w:tr>
        <w:tc>
          <w:tcPr>
            <w:tcW w:type="dxa" w:w="2400"/>
            <w:tcMar>
              <w:top w:type="dxa" w:w="80"/>
              <w:left w:type="dxa" w:w="120"/>
              <w:bottom w:type="dxa" w:w="80"/>
              <w:right w:type="dxa" w:w="120"/>
            </w:tcMar>
          </w:tcPr>
          <w:p>
            <w:pPr>
              <w:spacing w:after="0"/>
            </w:pPr>
            <w:r>
              <w:rPr>
                <w:b w:val="false"/>
                <w:bCs w:val="false"/>
                <w:sz w:val="20"/>
                <w:szCs w:val="20"/>
              </w:rPr>
              <w:t xml:space="preserve">2023 年 9 月</w:t>
            </w:r>
          </w:p>
        </w:tc>
        <w:tc>
          <w:tcPr>
            <w:tcW w:type="dxa" w:w="6600"/>
            <w:tcMar>
              <w:top w:type="dxa" w:w="80"/>
              <w:left w:type="dxa" w:w="120"/>
              <w:bottom w:type="dxa" w:w="80"/>
              <w:right w:type="dxa" w:w="120"/>
            </w:tcMar>
          </w:tcPr>
          <w:p>
            <w:pPr>
              <w:spacing w:after="0"/>
            </w:pPr>
            <w:r>
              <w:rPr>
                <w:b w:val="false"/>
                <w:bCs w:val="false"/>
                <w:sz w:val="20"/>
                <w:szCs w:val="20"/>
              </w:rPr>
              <w:t xml:space="preserve">NCC 對外表示正研議『網際網路傳播政策白皮書』，訊號顯示政策路線由立法轉向政策白皮書。</w:t>
            </w:r>
          </w:p>
        </w:tc>
      </w:tr>
      <w:tr>
        <w:tc>
          <w:tcPr>
            <w:tcW w:type="dxa" w:w="2400"/>
            <w:tcMar>
              <w:top w:type="dxa" w:w="80"/>
              <w:left w:type="dxa" w:w="120"/>
              <w:bottom w:type="dxa" w:w="80"/>
              <w:right w:type="dxa" w:w="120"/>
            </w:tcMar>
          </w:tcPr>
          <w:p>
            <w:pPr>
              <w:spacing w:after="0"/>
            </w:pPr>
            <w:r>
              <w:rPr>
                <w:b w:val="false"/>
                <w:bCs w:val="false"/>
                <w:sz w:val="20"/>
                <w:szCs w:val="20"/>
              </w:rPr>
              <w:t xml:space="preserve">2024 年 7 月</w:t>
            </w:r>
          </w:p>
        </w:tc>
        <w:tc>
          <w:tcPr>
            <w:tcW w:type="dxa" w:w="6600"/>
            <w:tcMar>
              <w:top w:type="dxa" w:w="80"/>
              <w:left w:type="dxa" w:w="120"/>
              <w:bottom w:type="dxa" w:w="80"/>
              <w:right w:type="dxa" w:w="120"/>
            </w:tcMar>
          </w:tcPr>
          <w:p>
            <w:pPr>
              <w:spacing w:after="0"/>
            </w:pPr>
            <w:r>
              <w:rPr>
                <w:b w:val="false"/>
                <w:bCs w:val="false"/>
                <w:sz w:val="20"/>
                <w:szCs w:val="20"/>
              </w:rPr>
              <w:t xml:space="preserve">NCC 通過組織法修正案，成立『網際網路傳播治理處』；主秘同時表示，是否仍需要數位中介服務法，可能要等下一屆委員會持續討論。</w:t>
            </w:r>
          </w:p>
        </w:tc>
      </w:tr>
      <w:tr>
        <w:tc>
          <w:tcPr>
            <w:tcW w:type="dxa" w:w="2400"/>
            <w:tcMar>
              <w:top w:type="dxa" w:w="80"/>
              <w:left w:type="dxa" w:w="120"/>
              <w:bottom w:type="dxa" w:w="80"/>
              <w:right w:type="dxa" w:w="120"/>
            </w:tcMar>
          </w:tcPr>
          <w:p>
            <w:pPr>
              <w:spacing w:after="0"/>
            </w:pPr>
            <w:r>
              <w:rPr>
                <w:b w:val="false"/>
                <w:bCs w:val="false"/>
                <w:sz w:val="20"/>
                <w:szCs w:val="20"/>
              </w:rPr>
              <w:t xml:space="preserve">2024 年（稍後）</w:t>
            </w:r>
          </w:p>
        </w:tc>
        <w:tc>
          <w:tcPr>
            <w:tcW w:type="dxa" w:w="6600"/>
            <w:tcMar>
              <w:top w:type="dxa" w:w="80"/>
              <w:left w:type="dxa" w:w="120"/>
              <w:bottom w:type="dxa" w:w="80"/>
              <w:right w:type="dxa" w:w="120"/>
            </w:tcMar>
          </w:tcPr>
          <w:p>
            <w:pPr>
              <w:spacing w:after="0"/>
            </w:pPr>
            <w:r>
              <w:rPr>
                <w:b w:val="false"/>
                <w:bCs w:val="false"/>
                <w:sz w:val="20"/>
                <w:szCs w:val="20"/>
              </w:rPr>
              <w:t xml:space="preserve">NCC 公布『網際網路傳播政策白皮書』初稿，提出三願景、四理念、五目標，並以『三律共管』（法律、自律、共管）取代單一立法路線作為政策框架。</w:t>
            </w:r>
          </w:p>
        </w:tc>
      </w:tr>
      <w:tr>
        <w:tc>
          <w:tcPr>
            <w:tcW w:type="dxa" w:w="2400"/>
            <w:tcMar>
              <w:top w:type="dxa" w:w="80"/>
              <w:left w:type="dxa" w:w="120"/>
              <w:bottom w:type="dxa" w:w="80"/>
              <w:right w:type="dxa" w:w="120"/>
            </w:tcMar>
          </w:tcPr>
          <w:p>
            <w:pPr>
              <w:spacing w:after="0"/>
            </w:pPr>
            <w:r>
              <w:rPr>
                <w:b w:val="false"/>
                <w:bCs w:val="false"/>
                <w:sz w:val="20"/>
                <w:szCs w:val="20"/>
              </w:rPr>
              <w:t xml:space="preserve">2026 年 8 月</w:t>
            </w:r>
          </w:p>
        </w:tc>
        <w:tc>
          <w:tcPr>
            <w:tcW w:type="dxa" w:w="6600"/>
            <w:tcMar>
              <w:top w:type="dxa" w:w="80"/>
              <w:left w:type="dxa" w:w="120"/>
              <w:bottom w:type="dxa" w:w="80"/>
              <w:right w:type="dxa" w:w="120"/>
            </w:tcMar>
          </w:tcPr>
          <w:p>
            <w:pPr>
              <w:spacing w:after="0"/>
            </w:pPr>
            <w:r>
              <w:rPr>
                <w:b w:val="false"/>
                <w:bCs w:val="false"/>
                <w:sz w:val="20"/>
                <w:szCs w:val="20"/>
              </w:rPr>
              <w:t xml:space="preserve">NCC 三位委員任期於 7 月 31 日屆滿，因立法院對被提名人審查延宕，NCC 自 8 月 1 日起陷入成立以來首次的『零委員』狀態，748 件審議案件無法依通常程序完成委員會議決議。</w:t>
            </w:r>
          </w:p>
        </w:tc>
      </w:tr>
    </w:tbl>
    <w:p>
      <w:pPr>
        <w:spacing w:after="100" w:before="200"/>
      </w:pPr>
      <w:r>
        <w:rPr>
          <w:b/>
          <w:bCs/>
          <w:sz w:val="22"/>
          <w:szCs w:val="22"/>
        </w:rPr>
        <w:t xml:space="preserve">（二）草案的內容：分級義務結構</w:t>
      </w:r>
    </w:p>
    <w:p>
      <w:pPr>
        <w:spacing w:after="160" w:line="320"/>
        <w:ind w:firstLine="431"/>
      </w:pPr>
      <w:r>
        <w:t xml:space="preserve">草案把中介服務分為三大類（連線服務、快速存取服務、資訊儲存服務），並依角色疊加義務：</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3200"/>
        <w:gridCol w:w="4800"/>
        <w:gridCol w:w="2000"/>
      </w:tblGrid>
      <w:tr>
        <w:tc>
          <w:tcPr>
            <w:tcW w:type="dxa" w:w="3200"/>
            <w:shd w:fill="DEEAF6" w:val="clear"/>
            <w:tcMar>
              <w:top w:type="dxa" w:w="80"/>
              <w:left w:type="dxa" w:w="120"/>
              <w:bottom w:type="dxa" w:w="80"/>
              <w:right w:type="dxa" w:w="120"/>
            </w:tcMar>
          </w:tcPr>
          <w:p>
            <w:pPr>
              <w:spacing w:after="0"/>
            </w:pPr>
            <w:r>
              <w:rPr>
                <w:b/>
                <w:bCs/>
                <w:sz w:val="20"/>
                <w:szCs w:val="20"/>
              </w:rPr>
              <w:t xml:space="preserve">業者類型</w:t>
            </w:r>
          </w:p>
        </w:tc>
        <w:tc>
          <w:tcPr>
            <w:tcW w:type="dxa" w:w="4800"/>
            <w:shd w:fill="DEEAF6" w:val="clear"/>
            <w:tcMar>
              <w:top w:type="dxa" w:w="80"/>
              <w:left w:type="dxa" w:w="120"/>
              <w:bottom w:type="dxa" w:w="80"/>
              <w:right w:type="dxa" w:w="120"/>
            </w:tcMar>
          </w:tcPr>
          <w:p>
            <w:pPr>
              <w:spacing w:after="0"/>
            </w:pPr>
            <w:r>
              <w:rPr>
                <w:b/>
                <w:bCs/>
                <w:sz w:val="20"/>
                <w:szCs w:val="20"/>
              </w:rPr>
              <w:t xml:space="preserve">額外義務</w:t>
            </w:r>
          </w:p>
        </w:tc>
        <w:tc>
          <w:tcPr>
            <w:tcW w:type="dxa" w:w="2000"/>
            <w:shd w:fill="DEEAF6" w:val="clear"/>
            <w:tcMar>
              <w:top w:type="dxa" w:w="80"/>
              <w:left w:type="dxa" w:w="120"/>
              <w:bottom w:type="dxa" w:w="80"/>
              <w:right w:type="dxa" w:w="120"/>
            </w:tcMar>
          </w:tcPr>
          <w:p>
            <w:pPr>
              <w:spacing w:after="0"/>
            </w:pPr>
            <w:r>
              <w:rPr>
                <w:b/>
                <w:bCs/>
                <w:sz w:val="20"/>
                <w:szCs w:val="20"/>
              </w:rPr>
              <w:t xml:space="preserve">罰鍰上限</w:t>
            </w:r>
          </w:p>
        </w:tc>
      </w:tr>
      <w:tr>
        <w:tc>
          <w:tcPr>
            <w:tcW w:type="dxa" w:w="3200"/>
            <w:tcMar>
              <w:top w:type="dxa" w:w="80"/>
              <w:left w:type="dxa" w:w="120"/>
              <w:bottom w:type="dxa" w:w="80"/>
              <w:right w:type="dxa" w:w="120"/>
            </w:tcMar>
          </w:tcPr>
          <w:p>
            <w:pPr>
              <w:spacing w:after="0"/>
            </w:pPr>
            <w:r>
              <w:rPr>
                <w:b w:val="false"/>
                <w:bCs w:val="false"/>
                <w:sz w:val="20"/>
                <w:szCs w:val="20"/>
              </w:rPr>
              <w:t xml:space="preserve">一般中介業者（全體適用）</w:t>
            </w:r>
          </w:p>
        </w:tc>
        <w:tc>
          <w:tcPr>
            <w:tcW w:type="dxa" w:w="4800"/>
            <w:tcMar>
              <w:top w:type="dxa" w:w="80"/>
              <w:left w:type="dxa" w:w="120"/>
              <w:bottom w:type="dxa" w:w="80"/>
              <w:right w:type="dxa" w:w="120"/>
            </w:tcMar>
          </w:tcPr>
          <w:p>
            <w:pPr>
              <w:spacing w:after="0"/>
            </w:pPr>
            <w:r>
              <w:rPr>
                <w:b w:val="false"/>
                <w:bCs w:val="false"/>
                <w:sz w:val="20"/>
                <w:szCs w:val="20"/>
              </w:rPr>
              <w:t xml:space="preserve">資訊揭露、指定代理人、公告服務條款、透明度報告、資料調取配合、資訊限制令配合、緊急限制令配合、登載義務（共 8 項）</w:t>
            </w:r>
          </w:p>
        </w:tc>
        <w:tc>
          <w:tcPr>
            <w:tcW w:type="dxa" w:w="2000"/>
            <w:tcMar>
              <w:top w:type="dxa" w:w="80"/>
              <w:left w:type="dxa" w:w="120"/>
              <w:bottom w:type="dxa" w:w="80"/>
              <w:right w:type="dxa" w:w="120"/>
            </w:tcMar>
          </w:tcPr>
          <w:p>
            <w:pPr>
              <w:spacing w:after="0"/>
            </w:pPr>
            <w:r>
              <w:rPr>
                <w:b w:val="false"/>
                <w:bCs w:val="false"/>
                <w:sz w:val="20"/>
                <w:szCs w:val="20"/>
              </w:rPr>
              <w:t xml:space="preserve">5～50 萬元</w:t>
            </w:r>
          </w:p>
        </w:tc>
      </w:tr>
      <w:tr>
        <w:tc>
          <w:tcPr>
            <w:tcW w:type="dxa" w:w="3200"/>
            <w:tcMar>
              <w:top w:type="dxa" w:w="80"/>
              <w:left w:type="dxa" w:w="120"/>
              <w:bottom w:type="dxa" w:w="80"/>
              <w:right w:type="dxa" w:w="120"/>
            </w:tcMar>
          </w:tcPr>
          <w:p>
            <w:pPr>
              <w:spacing w:after="0"/>
            </w:pPr>
            <w:r>
              <w:rPr>
                <w:b w:val="false"/>
                <w:bCs w:val="false"/>
                <w:sz w:val="20"/>
                <w:szCs w:val="20"/>
              </w:rPr>
              <w:t xml:space="preserve">資訊儲存業者</w:t>
            </w:r>
          </w:p>
        </w:tc>
        <w:tc>
          <w:tcPr>
            <w:tcW w:type="dxa" w:w="4800"/>
            <w:tcMar>
              <w:top w:type="dxa" w:w="80"/>
              <w:left w:type="dxa" w:w="120"/>
              <w:bottom w:type="dxa" w:w="80"/>
              <w:right w:type="dxa" w:w="120"/>
            </w:tcMar>
          </w:tcPr>
          <w:p>
            <w:pPr>
              <w:spacing w:after="0"/>
            </w:pPr>
            <w:r>
              <w:rPr>
                <w:b w:val="false"/>
                <w:bCs w:val="false"/>
                <w:sz w:val="20"/>
                <w:szCs w:val="20"/>
              </w:rPr>
              <w:t xml:space="preserve">通知及回應機制、資訊限制告知（額外 2 項）</w:t>
            </w:r>
          </w:p>
        </w:tc>
        <w:tc>
          <w:tcPr>
            <w:tcW w:type="dxa" w:w="2000"/>
            <w:tcMar>
              <w:top w:type="dxa" w:w="80"/>
              <w:left w:type="dxa" w:w="120"/>
              <w:bottom w:type="dxa" w:w="80"/>
              <w:right w:type="dxa" w:w="120"/>
            </w:tcMar>
          </w:tcPr>
          <w:p>
            <w:pPr>
              <w:spacing w:after="0"/>
            </w:pPr>
            <w:r>
              <w:rPr>
                <w:b w:val="false"/>
                <w:bCs w:val="false"/>
                <w:sz w:val="20"/>
                <w:szCs w:val="20"/>
              </w:rPr>
              <w:t xml:space="preserve">10～100 萬元</w:t>
            </w:r>
          </w:p>
        </w:tc>
      </w:tr>
      <w:tr>
        <w:tc>
          <w:tcPr>
            <w:tcW w:type="dxa" w:w="3200"/>
            <w:tcMar>
              <w:top w:type="dxa" w:w="80"/>
              <w:left w:type="dxa" w:w="120"/>
              <w:bottom w:type="dxa" w:w="80"/>
              <w:right w:type="dxa" w:w="120"/>
            </w:tcMar>
          </w:tcPr>
          <w:p>
            <w:pPr>
              <w:spacing w:after="0"/>
            </w:pPr>
            <w:r>
              <w:rPr>
                <w:b w:val="false"/>
                <w:bCs w:val="false"/>
                <w:sz w:val="20"/>
                <w:szCs w:val="20"/>
              </w:rPr>
              <w:t xml:space="preserve">線上平臺業者</w:t>
            </w:r>
          </w:p>
        </w:tc>
        <w:tc>
          <w:tcPr>
            <w:tcW w:type="dxa" w:w="4800"/>
            <w:tcMar>
              <w:top w:type="dxa" w:w="80"/>
              <w:left w:type="dxa" w:w="120"/>
              <w:bottom w:type="dxa" w:w="80"/>
              <w:right w:type="dxa" w:w="120"/>
            </w:tcMar>
          </w:tcPr>
          <w:p>
            <w:pPr>
              <w:spacing w:after="0"/>
            </w:pPr>
            <w:r>
              <w:rPr>
                <w:b w:val="false"/>
                <w:bCs w:val="false"/>
                <w:sz w:val="20"/>
                <w:szCs w:val="20"/>
              </w:rPr>
              <w:t xml:space="preserve">內部異議機制、訴外爭議解決、認證舉報者、防濫用措施、賣方資訊揭露、加重透明度報告、線上廣告揭露（額外 7 項）</w:t>
            </w:r>
          </w:p>
        </w:tc>
        <w:tc>
          <w:tcPr>
            <w:tcW w:type="dxa" w:w="2000"/>
            <w:tcMar>
              <w:top w:type="dxa" w:w="80"/>
              <w:left w:type="dxa" w:w="120"/>
              <w:bottom w:type="dxa" w:w="80"/>
              <w:right w:type="dxa" w:w="120"/>
            </w:tcMar>
          </w:tcPr>
          <w:p>
            <w:pPr>
              <w:spacing w:after="0"/>
            </w:pPr>
            <w:r>
              <w:rPr>
                <w:b w:val="false"/>
                <w:bCs w:val="false"/>
                <w:sz w:val="20"/>
                <w:szCs w:val="20"/>
              </w:rPr>
              <w:t xml:space="preserve">50～500 萬元</w:t>
            </w:r>
          </w:p>
        </w:tc>
      </w:tr>
      <w:tr>
        <w:tc>
          <w:tcPr>
            <w:tcW w:type="dxa" w:w="3200"/>
            <w:tcMar>
              <w:top w:type="dxa" w:w="80"/>
              <w:left w:type="dxa" w:w="120"/>
              <w:bottom w:type="dxa" w:w="80"/>
              <w:right w:type="dxa" w:w="120"/>
            </w:tcMar>
          </w:tcPr>
          <w:p>
            <w:pPr>
              <w:spacing w:after="0"/>
            </w:pPr>
            <w:r>
              <w:rPr>
                <w:b w:val="false"/>
                <w:bCs w:val="false"/>
                <w:sz w:val="20"/>
                <w:szCs w:val="20"/>
              </w:rPr>
              <w:t xml:space="preserve">指定線上平臺業者（依本文所採草案版本：有效使用者 230 萬以上）</w:t>
            </w:r>
          </w:p>
        </w:tc>
        <w:tc>
          <w:tcPr>
            <w:tcW w:type="dxa" w:w="4800"/>
            <w:tcMar>
              <w:top w:type="dxa" w:w="80"/>
              <w:left w:type="dxa" w:w="120"/>
              <w:bottom w:type="dxa" w:w="80"/>
              <w:right w:type="dxa" w:w="120"/>
            </w:tcMar>
          </w:tcPr>
          <w:p>
            <w:pPr>
              <w:spacing w:after="0"/>
            </w:pPr>
            <w:r>
              <w:rPr>
                <w:b w:val="false"/>
                <w:bCs w:val="false"/>
                <w:sz w:val="20"/>
                <w:szCs w:val="20"/>
              </w:rPr>
              <w:t xml:space="preserve">風險管理、風險評估、獨立稽核、推薦系統透明化（額外 4 項）</w:t>
            </w:r>
          </w:p>
        </w:tc>
        <w:tc>
          <w:tcPr>
            <w:tcW w:type="dxa" w:w="2000"/>
            <w:tcMar>
              <w:top w:type="dxa" w:w="80"/>
              <w:left w:type="dxa" w:w="120"/>
              <w:bottom w:type="dxa" w:w="80"/>
              <w:right w:type="dxa" w:w="120"/>
            </w:tcMar>
          </w:tcPr>
          <w:p>
            <w:pPr>
              <w:spacing w:after="0"/>
            </w:pPr>
            <w:r>
              <w:rPr>
                <w:b w:val="false"/>
                <w:bCs w:val="false"/>
                <w:sz w:val="20"/>
                <w:szCs w:val="20"/>
              </w:rPr>
              <w:t xml:space="preserve">最高 1,000 萬元，可限期改善並按次處罰</w:t>
            </w:r>
          </w:p>
        </w:tc>
      </w:tr>
    </w:tbl>
    <w:p>
      <w:pPr>
        <w:spacing w:after="160" w:line="320"/>
        <w:ind w:firstLine="431"/>
      </w:pPr>
      <w:r>
        <w:t xml:space="preserve">這套分級架構在制度設計邏輯上，與本文參章的六項判定座標與柒章的分級治理高度重疊——依本文所採草案版本之「指定線上平臺業者」門檻（約 230 萬有效使用者，非正式現行法）近似於歐盟 DSA 的超大型線上平臺分類邏輯，風險評估、獨立稽核、推薦系統透明化等義務，也與柒-3『透明鏈的制度補強』幾乎逐條對應。臺灣不是沒有想到這套制度，而是想到了、設計出來了，卻在政治過程中無法落實。</w:t>
      </w:r>
    </w:p>
    <w:p>
      <w:pPr>
        <w:spacing w:after="140" w:before="280"/>
      </w:pPr>
      <w:r>
        <w:rPr>
          <w:b/>
          <w:bCs/>
          <w:color w:val="1F4E79"/>
          <w:sz w:val="24"/>
          <w:szCs w:val="24"/>
        </w:rPr>
        <w:t xml:space="preserve">二、草案撤回的政治與正當性因素</w:t>
      </w:r>
    </w:p>
    <w:p>
      <w:pPr>
        <w:spacing w:after="160" w:line="320"/>
        <w:ind w:firstLine="431"/>
      </w:pPr>
      <w:r>
        <w:t xml:space="preserve">言論自由疑慮：『資訊限制令』『緊急限制令』等條文被解讀為政府可要求平台下架言論，引發強烈的政治動員，在地社群平台直接將草案類比為要求關站。信任赤字：草案由 NCC 主導，但社會對政府是否會濫用『假訊息』認定權普遍缺乏信任，使得草案即使在條文上參考歐盟 DSA 模式，仍難以獲得正當性。溝通與時程問題：草案在短時間內公告、缺乏充分社會溝通與分階段試行，使爭議迅速政治化，難以留出修正空間。在野黨與政治週期：草案公告適逢地方選舉前夕，容易被捲入政黨攻防，降低理性討論的可能性。這組爭議焦點，呼應本文肆-3『競爭法與公共行政程序的制度交錯』的判斷：即使技術上設計出合理的分級義務架構，若公正鏈（程序正當性、社會信任）與課責鏈（誰來認定、如何究責）沒有同步處理，制度仍然無法通過政治過程的檢驗。</w:t>
      </w:r>
    </w:p>
    <w:p>
      <w:pPr>
        <w:spacing w:after="160" w:line="320"/>
        <w:ind w:firstLine="431"/>
      </w:pPr>
      <w:r>
        <w:t xml:space="preserve">本節關於草案撤回與制度未落實成因的歸納，必須分層書寫，避免把媒體論述直接轉成因果結論。證據層級暫定為：（1）官方可確認事實：NCC 預告與公告、行政院與總統府介入後之公開表態、草案實質撤回、其後白皮書與網際網路傳播治理處之組織調整；（2）政治行動：政黨聲明、立法院紀錄、抗議活動；（3）社會觀感：連署、在地社群平台聲明、媒體報導與評論；（4）作者推論：信任赤字、政治週期、溝通時程不足、公正鏈配套缺乏等機制判斷。僅（1）（2）可作為過程追蹤的主幹事件；（3）用於重建爭議如何被框定；（4）必須標示為推論，並說明其與（1）（2）的對應關係。</w:t>
      </w:r>
    </w:p>
    <w:p>
      <w:pPr>
        <w:spacing w:after="100" w:before="200"/>
      </w:pPr>
      <w:r>
        <w:rPr>
          <w:b/>
          <w:bCs/>
          <w:sz w:val="22"/>
          <w:szCs w:val="22"/>
        </w:rPr>
        <w:t xml:space="preserve">（一）撤回後的替代路線：從立法到『白皮書』與『三律共管』</w:t>
      </w:r>
    </w:p>
    <w:p>
      <w:pPr>
        <w:spacing w:after="160" w:line="320"/>
        <w:ind w:firstLine="431"/>
      </w:pPr>
      <w:r>
        <w:t xml:space="preserve">草案撤回後，NCC 並未完全放棄平台治理議題，而是轉向較軟性的政策路線：2023 年起研議『網際網路傳播政策白皮書』，2024 年成立常設的『網際網路傳播治理處』，並提出『三律共管』作為新的政策框架，同時明確表示是否重啟專法立法，留待『下一屆委員會』決定。這個轉向，實質上是把柒章建議的課責鏈（矯正命令、裁罰、退場工具）與負責鏈（在地代理人的實質法律責任）兩項最需要法律授權的機制暫時擱置，相較於原草案所設計的課責、負責與公正機制，撤回後的政策路線主要保留較低強制性的透明、自律與協調工具，未完整承接原定的法定責任與制裁機制。</w:t>
      </w:r>
    </w:p>
    <w:p>
      <w:pPr>
        <w:spacing w:after="100" w:before="200"/>
      </w:pPr>
      <w:r>
        <w:rPr>
          <w:b/>
          <w:bCs/>
          <w:sz w:val="22"/>
          <w:szCs w:val="22"/>
        </w:rPr>
        <w:t xml:space="preserve">（二）2026 年最新發展：執行機關陷入癱瘓</w:t>
      </w:r>
    </w:p>
    <w:p>
      <w:pPr>
        <w:spacing w:after="160" w:line="320"/>
        <w:ind w:firstLine="431"/>
      </w:pPr>
      <w:r>
        <w:t xml:space="preserve">依當時公開說明，三位在任委員任期於 2026 年 7 月 31 日屆滿後，NCC 自 8 月 1 日起因委員全數出缺而無法依通常程序召開委員會議。中央社引述會方說明，當時約有 748 件須留待委員會議審議之案（統計口徑待官方清單核對）。行政院公開說明指出，依《國家通訊傳播委員會組織法》第 5 條，委員全數出缺時無法指定代理主委，此為行政機關對現行條文的解釋，正式稿仍須核對條文全文。部分須經合議決定的裁罰、許可及政策案件因此無法完成決議；其他行政業務則仍由機關人員依權責維持。</w:t>
      </w:r>
    </w:p>
    <w:p>
      <w:pPr>
        <w:spacing w:after="160" w:line="320"/>
        <w:ind w:firstLine="431"/>
      </w:pPr>
      <w:r>
        <w:t xml:space="preserve">這個發展對本文而言意義重大：問題不只是「臺灣尚未完成平台治理立法」，而是「即使退回最軟性的白皮書與自律路線，執行機關本身的合議制決策能力都可能因為政治過程而失能」。惟後續事實亦顯示，零委員並非所有業務歸零。2026 年 8 月 13 日行政院指派 NCC 主任秘書溫俊瑜為機關代表人；NCC 8 月 17 日說明，空窗初期因欠缺代表人，待核發公文約 280 件、射頻器材核准函與執照案件約 269 件，後續將優先辦理電信管制射頻器材進口核准、船舶及航空器執照核換發等日常與重大公益事項，其餘依法須委員會保留之案件仍彙整清單、俟新委員會成立後審議。較精確的制度描述因此是：課責鏈在「國家自身」一端出現的是合議制決策能力中斷；行政事務可由代表人維持最低運作，但矯正命令、重大裁罰與政策分類所需的合議權能仍懸空。這對捌章「國家保留最終治理能力」的論證構成一個必須正面處理的限制條件：最終治理能力應區分行政續航能力與合議決策能力。</w:t>
      </w:r>
    </w:p>
    <w:p>
      <w:pPr>
        <w:spacing w:after="160" w:line="320"/>
        <w:ind w:firstLine="431"/>
      </w:pPr>
      <w:r>
        <w:t xml:space="preserve">為具體呈現上述爭議如何逐步導向草案撤回、乃至 2026 年監理機關癱瘓，下表以過程追蹤的方式，整理各階段的主要事件、因果機制及其對四條治理鏈的影響：</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000"/>
        <w:gridCol w:w="2600"/>
        <w:gridCol w:w="2600"/>
        <w:gridCol w:w="1800"/>
      </w:tblGrid>
      <w:tr>
        <w:tc>
          <w:tcPr>
            <w:tcW w:type="dxa" w:w="2000"/>
            <w:shd w:fill="DEEAF6" w:val="clear"/>
            <w:tcMar>
              <w:top w:type="dxa" w:w="80"/>
              <w:left w:type="dxa" w:w="120"/>
              <w:bottom w:type="dxa" w:w="80"/>
              <w:right w:type="dxa" w:w="120"/>
            </w:tcMar>
          </w:tcPr>
          <w:p>
            <w:pPr>
              <w:spacing w:after="0"/>
            </w:pPr>
            <w:r>
              <w:rPr>
                <w:b/>
                <w:bCs/>
                <w:sz w:val="20"/>
                <w:szCs w:val="20"/>
              </w:rPr>
              <w:t xml:space="preserve">階段</w:t>
            </w:r>
          </w:p>
        </w:tc>
        <w:tc>
          <w:tcPr>
            <w:tcW w:type="dxa" w:w="2600"/>
            <w:shd w:fill="DEEAF6" w:val="clear"/>
            <w:tcMar>
              <w:top w:type="dxa" w:w="80"/>
              <w:left w:type="dxa" w:w="120"/>
              <w:bottom w:type="dxa" w:w="80"/>
              <w:right w:type="dxa" w:w="120"/>
            </w:tcMar>
          </w:tcPr>
          <w:p>
            <w:pPr>
              <w:spacing w:after="0"/>
            </w:pPr>
            <w:r>
              <w:rPr>
                <w:b/>
                <w:bCs/>
                <w:sz w:val="20"/>
                <w:szCs w:val="20"/>
              </w:rPr>
              <w:t xml:space="preserve">主要事件</w:t>
            </w:r>
          </w:p>
        </w:tc>
        <w:tc>
          <w:tcPr>
            <w:tcW w:type="dxa" w:w="2600"/>
            <w:shd w:fill="DEEAF6" w:val="clear"/>
            <w:tcMar>
              <w:top w:type="dxa" w:w="80"/>
              <w:left w:type="dxa" w:w="120"/>
              <w:bottom w:type="dxa" w:w="80"/>
              <w:right w:type="dxa" w:w="120"/>
            </w:tcMar>
          </w:tcPr>
          <w:p>
            <w:pPr>
              <w:spacing w:after="0"/>
            </w:pPr>
            <w:r>
              <w:rPr>
                <w:b/>
                <w:bCs/>
                <w:sz w:val="20"/>
                <w:szCs w:val="20"/>
              </w:rPr>
              <w:t xml:space="preserve">因果機制</w:t>
            </w:r>
          </w:p>
        </w:tc>
        <w:tc>
          <w:tcPr>
            <w:tcW w:type="dxa" w:w="1800"/>
            <w:shd w:fill="DEEAF6" w:val="clear"/>
            <w:tcMar>
              <w:top w:type="dxa" w:w="80"/>
              <w:left w:type="dxa" w:w="120"/>
              <w:bottom w:type="dxa" w:w="80"/>
              <w:right w:type="dxa" w:w="120"/>
            </w:tcMar>
          </w:tcPr>
          <w:p>
            <w:pPr>
              <w:spacing w:after="0"/>
            </w:pPr>
            <w:r>
              <w:rPr>
                <w:b/>
                <w:bCs/>
                <w:sz w:val="20"/>
                <w:szCs w:val="20"/>
              </w:rPr>
              <w:t xml:space="preserve">受影響治理鏈</w:t>
            </w:r>
          </w:p>
        </w:tc>
      </w:tr>
      <w:tr>
        <w:tc>
          <w:tcPr>
            <w:tcW w:type="dxa" w:w="2000"/>
            <w:tcMar>
              <w:top w:type="dxa" w:w="80"/>
              <w:left w:type="dxa" w:w="120"/>
              <w:bottom w:type="dxa" w:w="80"/>
              <w:right w:type="dxa" w:w="120"/>
            </w:tcMar>
          </w:tcPr>
          <w:p>
            <w:pPr>
              <w:spacing w:after="0"/>
            </w:pPr>
            <w:r>
              <w:rPr>
                <w:b w:val="false"/>
                <w:bCs w:val="false"/>
                <w:sz w:val="20"/>
                <w:szCs w:val="20"/>
              </w:rPr>
              <w:t xml:space="preserve">草案形成</w:t>
            </w:r>
          </w:p>
        </w:tc>
        <w:tc>
          <w:tcPr>
            <w:tcW w:type="dxa" w:w="2600"/>
            <w:tcMar>
              <w:top w:type="dxa" w:w="80"/>
              <w:left w:type="dxa" w:w="120"/>
              <w:bottom w:type="dxa" w:w="80"/>
              <w:right w:type="dxa" w:w="120"/>
            </w:tcMar>
          </w:tcPr>
          <w:p>
            <w:pPr>
              <w:spacing w:after="0"/>
            </w:pPr>
            <w:r>
              <w:rPr>
                <w:b w:val="false"/>
                <w:bCs w:val="false"/>
                <w:sz w:val="20"/>
                <w:szCs w:val="20"/>
              </w:rPr>
              <w:t xml:space="preserve">NCC 提出分級義務、風險評估與跨機關監理架構</w:t>
            </w:r>
          </w:p>
        </w:tc>
        <w:tc>
          <w:tcPr>
            <w:tcW w:type="dxa" w:w="2600"/>
            <w:tcMar>
              <w:top w:type="dxa" w:w="80"/>
              <w:left w:type="dxa" w:w="120"/>
              <w:bottom w:type="dxa" w:w="80"/>
              <w:right w:type="dxa" w:w="120"/>
            </w:tcMar>
          </w:tcPr>
          <w:p>
            <w:pPr>
              <w:spacing w:after="0"/>
            </w:pPr>
            <w:r>
              <w:rPr>
                <w:b w:val="false"/>
                <w:bCs w:val="false"/>
                <w:sz w:val="20"/>
                <w:szCs w:val="20"/>
              </w:rPr>
              <w:t xml:space="preserve">以法定制度回應平台公共效果，嘗試同步建立四條治理鏈</w:t>
            </w:r>
          </w:p>
        </w:tc>
        <w:tc>
          <w:tcPr>
            <w:tcW w:type="dxa" w:w="1800"/>
            <w:tcMar>
              <w:top w:type="dxa" w:w="80"/>
              <w:left w:type="dxa" w:w="120"/>
              <w:bottom w:type="dxa" w:w="80"/>
              <w:right w:type="dxa" w:w="120"/>
            </w:tcMar>
          </w:tcPr>
          <w:p>
            <w:pPr>
              <w:spacing w:after="0"/>
            </w:pPr>
            <w:r>
              <w:rPr>
                <w:b w:val="false"/>
                <w:bCs w:val="false"/>
                <w:sz w:val="20"/>
                <w:szCs w:val="20"/>
              </w:rPr>
              <w:t xml:space="preserve">課責鏈、透明鏈</w:t>
            </w:r>
          </w:p>
        </w:tc>
      </w:tr>
      <w:tr>
        <w:tc>
          <w:tcPr>
            <w:tcW w:type="dxa" w:w="2000"/>
            <w:tcMar>
              <w:top w:type="dxa" w:w="80"/>
              <w:left w:type="dxa" w:w="120"/>
              <w:bottom w:type="dxa" w:w="80"/>
              <w:right w:type="dxa" w:w="120"/>
            </w:tcMar>
          </w:tcPr>
          <w:p>
            <w:pPr>
              <w:spacing w:after="0"/>
            </w:pPr>
            <w:r>
              <w:rPr>
                <w:b w:val="false"/>
                <w:bCs w:val="false"/>
                <w:sz w:val="20"/>
                <w:szCs w:val="20"/>
              </w:rPr>
              <w:t xml:space="preserve">爭議升高</w:t>
            </w:r>
          </w:p>
        </w:tc>
        <w:tc>
          <w:tcPr>
            <w:tcW w:type="dxa" w:w="2600"/>
            <w:tcMar>
              <w:top w:type="dxa" w:w="80"/>
              <w:left w:type="dxa" w:w="120"/>
              <w:bottom w:type="dxa" w:w="80"/>
              <w:right w:type="dxa" w:w="120"/>
            </w:tcMar>
          </w:tcPr>
          <w:p>
            <w:pPr>
              <w:spacing w:after="0"/>
            </w:pPr>
            <w:r>
              <w:rPr>
                <w:b w:val="false"/>
                <w:bCs w:val="false"/>
                <w:sz w:val="20"/>
                <w:szCs w:val="20"/>
              </w:rPr>
              <w:t xml:space="preserve">『資訊限制令』『緊急限制令』引發言論管制疑慮</w:t>
            </w:r>
          </w:p>
        </w:tc>
        <w:tc>
          <w:tcPr>
            <w:tcW w:type="dxa" w:w="2600"/>
            <w:tcMar>
              <w:top w:type="dxa" w:w="80"/>
              <w:left w:type="dxa" w:w="120"/>
              <w:bottom w:type="dxa" w:w="80"/>
              <w:right w:type="dxa" w:w="120"/>
            </w:tcMar>
          </w:tcPr>
          <w:p>
            <w:pPr>
              <w:spacing w:after="0"/>
            </w:pPr>
            <w:r>
              <w:rPr>
                <w:b w:val="false"/>
                <w:bCs w:val="false"/>
                <w:sz w:val="20"/>
                <w:szCs w:val="20"/>
              </w:rPr>
              <w:t xml:space="preserve">缺乏公正鏈配套，政府介入被重新框定為言論控制</w:t>
            </w:r>
          </w:p>
        </w:tc>
        <w:tc>
          <w:tcPr>
            <w:tcW w:type="dxa" w:w="1800"/>
            <w:tcMar>
              <w:top w:type="dxa" w:w="80"/>
              <w:left w:type="dxa" w:w="120"/>
              <w:bottom w:type="dxa" w:w="80"/>
              <w:right w:type="dxa" w:w="120"/>
            </w:tcMar>
          </w:tcPr>
          <w:p>
            <w:pPr>
              <w:spacing w:after="0"/>
            </w:pPr>
            <w:r>
              <w:rPr>
                <w:b w:val="false"/>
                <w:bCs w:val="false"/>
                <w:sz w:val="20"/>
                <w:szCs w:val="20"/>
              </w:rPr>
              <w:t xml:space="preserve">公正鏈</w:t>
            </w:r>
          </w:p>
        </w:tc>
      </w:tr>
      <w:tr>
        <w:tc>
          <w:tcPr>
            <w:tcW w:type="dxa" w:w="2000"/>
            <w:tcMar>
              <w:top w:type="dxa" w:w="80"/>
              <w:left w:type="dxa" w:w="120"/>
              <w:bottom w:type="dxa" w:w="80"/>
              <w:right w:type="dxa" w:w="120"/>
            </w:tcMar>
          </w:tcPr>
          <w:p>
            <w:pPr>
              <w:spacing w:after="0"/>
            </w:pPr>
            <w:r>
              <w:rPr>
                <w:b w:val="false"/>
                <w:bCs w:val="false"/>
                <w:sz w:val="20"/>
                <w:szCs w:val="20"/>
              </w:rPr>
              <w:t xml:space="preserve">政治動員</w:t>
            </w:r>
          </w:p>
        </w:tc>
        <w:tc>
          <w:tcPr>
            <w:tcW w:type="dxa" w:w="2600"/>
            <w:tcMar>
              <w:top w:type="dxa" w:w="80"/>
              <w:left w:type="dxa" w:w="120"/>
              <w:bottom w:type="dxa" w:w="80"/>
              <w:right w:type="dxa" w:w="120"/>
            </w:tcMar>
          </w:tcPr>
          <w:p>
            <w:pPr>
              <w:spacing w:after="0"/>
            </w:pPr>
            <w:r>
              <w:rPr>
                <w:b w:val="false"/>
                <w:bCs w:val="false"/>
                <w:sz w:val="20"/>
                <w:szCs w:val="20"/>
              </w:rPr>
              <w:t xml:space="preserve">草案公告適逢地方選舉前夕，遭政黨攻防</w:t>
            </w:r>
          </w:p>
        </w:tc>
        <w:tc>
          <w:tcPr>
            <w:tcW w:type="dxa" w:w="2600"/>
            <w:tcMar>
              <w:top w:type="dxa" w:w="80"/>
              <w:left w:type="dxa" w:w="120"/>
              <w:bottom w:type="dxa" w:w="80"/>
              <w:right w:type="dxa" w:w="120"/>
            </w:tcMar>
          </w:tcPr>
          <w:p>
            <w:pPr>
              <w:spacing w:after="0"/>
            </w:pPr>
            <w:r>
              <w:rPr>
                <w:b w:val="false"/>
                <w:bCs w:val="false"/>
                <w:sz w:val="20"/>
                <w:szCs w:val="20"/>
              </w:rPr>
              <w:t xml:space="preserve">信任赤字疊加政治週期，制度爭議迅速政治化</w:t>
            </w:r>
          </w:p>
        </w:tc>
        <w:tc>
          <w:tcPr>
            <w:tcW w:type="dxa" w:w="1800"/>
            <w:tcMar>
              <w:top w:type="dxa" w:w="80"/>
              <w:left w:type="dxa" w:w="120"/>
              <w:bottom w:type="dxa" w:w="80"/>
              <w:right w:type="dxa" w:w="120"/>
            </w:tcMar>
          </w:tcPr>
          <w:p>
            <w:pPr>
              <w:spacing w:after="0"/>
            </w:pPr>
            <w:r>
              <w:rPr>
                <w:b w:val="false"/>
                <w:bCs w:val="false"/>
                <w:sz w:val="20"/>
                <w:szCs w:val="20"/>
              </w:rPr>
              <w:t xml:space="preserve">公正鏈、課責鏈</w:t>
            </w:r>
          </w:p>
        </w:tc>
      </w:tr>
      <w:tr>
        <w:tc>
          <w:tcPr>
            <w:tcW w:type="dxa" w:w="2000"/>
            <w:tcMar>
              <w:top w:type="dxa" w:w="80"/>
              <w:left w:type="dxa" w:w="120"/>
              <w:bottom w:type="dxa" w:w="80"/>
              <w:right w:type="dxa" w:w="120"/>
            </w:tcMar>
          </w:tcPr>
          <w:p>
            <w:pPr>
              <w:spacing w:after="0"/>
            </w:pPr>
            <w:r>
              <w:rPr>
                <w:b w:val="false"/>
                <w:bCs w:val="false"/>
                <w:sz w:val="20"/>
                <w:szCs w:val="20"/>
              </w:rPr>
              <w:t xml:space="preserve">草案撤回</w:t>
            </w:r>
          </w:p>
        </w:tc>
        <w:tc>
          <w:tcPr>
            <w:tcW w:type="dxa" w:w="2600"/>
            <w:tcMar>
              <w:top w:type="dxa" w:w="80"/>
              <w:left w:type="dxa" w:w="120"/>
              <w:bottom w:type="dxa" w:w="80"/>
              <w:right w:type="dxa" w:w="120"/>
            </w:tcMar>
          </w:tcPr>
          <w:p>
            <w:pPr>
              <w:spacing w:after="0"/>
            </w:pPr>
            <w:r>
              <w:rPr>
                <w:b w:val="false"/>
                <w:bCs w:val="false"/>
                <w:sz w:val="20"/>
                <w:szCs w:val="20"/>
              </w:rPr>
              <w:t xml:space="preserve">NCC 實質撤回草案，轉向政策白皮書路線</w:t>
            </w:r>
          </w:p>
        </w:tc>
        <w:tc>
          <w:tcPr>
            <w:tcW w:type="dxa" w:w="2600"/>
            <w:tcMar>
              <w:top w:type="dxa" w:w="80"/>
              <w:left w:type="dxa" w:w="120"/>
              <w:bottom w:type="dxa" w:w="80"/>
              <w:right w:type="dxa" w:w="120"/>
            </w:tcMar>
          </w:tcPr>
          <w:p>
            <w:pPr>
              <w:spacing w:after="0"/>
            </w:pPr>
            <w:r>
              <w:rPr>
                <w:b w:val="false"/>
                <w:bCs w:val="false"/>
                <w:sz w:val="20"/>
                <w:szCs w:val="20"/>
              </w:rPr>
              <w:t xml:space="preserve">由強制法制退回軟性自律路線，僅推進阻力最小的透明鏈</w:t>
            </w:r>
          </w:p>
        </w:tc>
        <w:tc>
          <w:tcPr>
            <w:tcW w:type="dxa" w:w="1800"/>
            <w:tcMar>
              <w:top w:type="dxa" w:w="80"/>
              <w:left w:type="dxa" w:w="120"/>
              <w:bottom w:type="dxa" w:w="80"/>
              <w:right w:type="dxa" w:w="120"/>
            </w:tcMar>
          </w:tcPr>
          <w:p>
            <w:pPr>
              <w:spacing w:after="0"/>
            </w:pPr>
            <w:r>
              <w:rPr>
                <w:b w:val="false"/>
                <w:bCs w:val="false"/>
                <w:sz w:val="20"/>
                <w:szCs w:val="20"/>
              </w:rPr>
              <w:t xml:space="preserve">課責鏈、負責鏈</w:t>
            </w:r>
          </w:p>
        </w:tc>
      </w:tr>
      <w:tr>
        <w:tc>
          <w:tcPr>
            <w:tcW w:type="dxa" w:w="2000"/>
            <w:tcMar>
              <w:top w:type="dxa" w:w="80"/>
              <w:left w:type="dxa" w:w="120"/>
              <w:bottom w:type="dxa" w:w="80"/>
              <w:right w:type="dxa" w:w="120"/>
            </w:tcMar>
          </w:tcPr>
          <w:p>
            <w:pPr>
              <w:spacing w:after="0"/>
            </w:pPr>
            <w:r>
              <w:rPr>
                <w:b w:val="false"/>
                <w:bCs w:val="false"/>
                <w:sz w:val="20"/>
                <w:szCs w:val="20"/>
              </w:rPr>
              <w:t xml:space="preserve">2026 年執行機關空窗</w:t>
            </w:r>
          </w:p>
        </w:tc>
        <w:tc>
          <w:tcPr>
            <w:tcW w:type="dxa" w:w="2600"/>
            <w:tcMar>
              <w:top w:type="dxa" w:w="80"/>
              <w:left w:type="dxa" w:w="120"/>
              <w:bottom w:type="dxa" w:w="80"/>
              <w:right w:type="dxa" w:w="120"/>
            </w:tcMar>
          </w:tcPr>
          <w:p>
            <w:pPr>
              <w:spacing w:after="0"/>
            </w:pPr>
            <w:r>
              <w:rPr>
                <w:b w:val="false"/>
                <w:bCs w:val="false"/>
                <w:sz w:val="20"/>
                <w:szCs w:val="20"/>
              </w:rPr>
              <w:t xml:space="preserve">NCC 零委員；約 748 案待委員會議決；其後指派機關代表人維持部分行政發文</w:t>
            </w:r>
          </w:p>
        </w:tc>
        <w:tc>
          <w:tcPr>
            <w:tcW w:type="dxa" w:w="2600"/>
            <w:tcMar>
              <w:top w:type="dxa" w:w="80"/>
              <w:left w:type="dxa" w:w="120"/>
              <w:bottom w:type="dxa" w:w="80"/>
              <w:right w:type="dxa" w:w="120"/>
            </w:tcMar>
          </w:tcPr>
          <w:p>
            <w:pPr>
              <w:spacing w:after="0"/>
            </w:pPr>
            <w:r>
              <w:rPr>
                <w:b w:val="false"/>
                <w:bCs w:val="false"/>
                <w:sz w:val="20"/>
                <w:szCs w:val="20"/>
              </w:rPr>
              <w:t xml:space="preserve">合議決策能力中斷；行政續航與合議權能分離</w:t>
            </w:r>
          </w:p>
        </w:tc>
        <w:tc>
          <w:tcPr>
            <w:tcW w:type="dxa" w:w="1800"/>
            <w:tcMar>
              <w:top w:type="dxa" w:w="80"/>
              <w:left w:type="dxa" w:w="120"/>
              <w:bottom w:type="dxa" w:w="80"/>
              <w:right w:type="dxa" w:w="120"/>
            </w:tcMar>
          </w:tcPr>
          <w:p>
            <w:pPr>
              <w:spacing w:after="0"/>
            </w:pPr>
            <w:r>
              <w:rPr>
                <w:b w:val="false"/>
                <w:bCs w:val="false"/>
                <w:sz w:val="20"/>
                <w:szCs w:val="20"/>
              </w:rPr>
              <w:t xml:space="preserve">課責鏈（延伸至國家自身）</w:t>
            </w:r>
          </w:p>
        </w:tc>
      </w:tr>
      <w:tr>
        <w:tc>
          <w:tcPr>
            <w:tcW w:type="dxa" w:w="2000"/>
            <w:tcMar>
              <w:top w:type="dxa" w:w="80"/>
              <w:left w:type="dxa" w:w="120"/>
              <w:bottom w:type="dxa" w:w="80"/>
              <w:right w:type="dxa" w:w="120"/>
            </w:tcMar>
          </w:tcPr>
          <w:p>
            <w:pPr>
              <w:spacing w:after="0"/>
            </w:pPr>
            <w:r>
              <w:rPr>
                <w:b w:val="false"/>
                <w:bCs w:val="false"/>
                <w:sz w:val="20"/>
                <w:szCs w:val="20"/>
              </w:rPr>
              <w:t xml:space="preserve">2026-08 中旬最低度續航</w:t>
            </w:r>
          </w:p>
        </w:tc>
        <w:tc>
          <w:tcPr>
            <w:tcW w:type="dxa" w:w="2600"/>
            <w:tcMar>
              <w:top w:type="dxa" w:w="80"/>
              <w:left w:type="dxa" w:w="120"/>
              <w:bottom w:type="dxa" w:w="80"/>
              <w:right w:type="dxa" w:w="120"/>
            </w:tcMar>
          </w:tcPr>
          <w:p>
            <w:pPr>
              <w:spacing w:after="0"/>
            </w:pPr>
            <w:r>
              <w:rPr>
                <w:b w:val="false"/>
                <w:bCs w:val="false"/>
                <w:sz w:val="20"/>
                <w:szCs w:val="20"/>
              </w:rPr>
              <w:t xml:space="preserve">政院指派主秘為機關代表人；優先核發射頻／航運證照</w:t>
            </w:r>
          </w:p>
        </w:tc>
        <w:tc>
          <w:tcPr>
            <w:tcW w:type="dxa" w:w="2600"/>
            <w:tcMar>
              <w:top w:type="dxa" w:w="80"/>
              <w:left w:type="dxa" w:w="120"/>
              <w:bottom w:type="dxa" w:w="80"/>
              <w:right w:type="dxa" w:w="120"/>
            </w:tcMar>
          </w:tcPr>
          <w:p>
            <w:pPr>
              <w:spacing w:after="0"/>
            </w:pPr>
            <w:r>
              <w:rPr>
                <w:b w:val="false"/>
                <w:bCs w:val="false"/>
                <w:sz w:val="20"/>
                <w:szCs w:val="20"/>
              </w:rPr>
              <w:t xml:space="preserve">合議權能仍缺，僅恢復部分行政發文能力</w:t>
            </w:r>
          </w:p>
        </w:tc>
        <w:tc>
          <w:tcPr>
            <w:tcW w:type="dxa" w:w="1800"/>
            <w:tcMar>
              <w:top w:type="dxa" w:w="80"/>
              <w:left w:type="dxa" w:w="120"/>
              <w:bottom w:type="dxa" w:w="80"/>
              <w:right w:type="dxa" w:w="120"/>
            </w:tcMar>
          </w:tcPr>
          <w:p>
            <w:pPr>
              <w:spacing w:after="0"/>
            </w:pPr>
            <w:r>
              <w:rPr>
                <w:b w:val="false"/>
                <w:bCs w:val="false"/>
                <w:sz w:val="20"/>
                <w:szCs w:val="20"/>
              </w:rPr>
              <w:t xml:space="preserve">課責鏈（國家自身）部分縫補、政策審議能力仍斷</w:t>
            </w:r>
          </w:p>
        </w:tc>
      </w:tr>
    </w:tbl>
    <w:p>
      <w:pPr>
        <w:spacing w:after="160" w:line="320"/>
        <w:ind w:firstLine="431"/>
      </w:pPr>
      <w:r>
        <w:t xml:space="preserve">須說明的是，748 案規模以 2026 年 7 月 31 日中央社引述 NCC 說明為準；8 月中旬待核發公文與射頻案件數以 NCC 8 月 17 日會方說明（經中央社等交叉報導）為準。「全面癱瘓」屬倡議團體與部分媒體用語，正文改用「依法須委員會議決事項停擺」。部分射頻器材驗證本即委託認可機構、個人自用低量進口仍可切結，不在委員會保留範圍。立法院刪減 NCC 115 年度部分「基本行政工作維持」經費一事，標為政治過程變數與制度韌性之加重觀察指標，不單獨作為因果主軸。</w:t>
      </w:r>
    </w:p>
    <w:p>
      <w:pPr>
        <w:spacing w:after="160" w:line="320"/>
        <w:ind w:firstLine="431"/>
      </w:pPr>
      <w:r>
        <w:t xml:space="preserve">NCC 2026 年狀態屬時間敏感且具法律效果的事實，正式稿必須建立「官方資料—法律文本—媒體報導」的證據層級，並逐項核對：NCC 會方說明或新聞稿、行政院指派機關代表人之說明、《國家通訊傳播委員會組織法》第 5 條現行條文、立法院人事同意權審查進度，以及具公信力媒體之交叉報導。正文僅陳述已交叉核對的制度效果（委員會議無法召開、依法須會議決事項停擺、代表人可維持部分行政發文）；「全面癱瘓」「惡意封殺」等評價性用語不進入事實描述。</w:t>
      </w:r>
    </w:p>
    <w:p>
      <w:pPr>
        <w:spacing w:after="140" w:before="280"/>
      </w:pPr>
      <w:r>
        <w:rPr>
          <w:b/>
          <w:bCs/>
          <w:color w:val="1F4E79"/>
          <w:sz w:val="24"/>
          <w:szCs w:val="24"/>
        </w:rPr>
        <w:t xml:space="preserve">三、公共服務的平台依賴</w:t>
      </w:r>
    </w:p>
    <w:p>
      <w:pPr>
        <w:spacing w:after="160" w:line="320"/>
        <w:ind w:firstLine="431"/>
      </w:pPr>
      <w:r>
        <w:t xml:space="preserve">政府若將 LINE、Facebook 或其他商業平台作為主要政策宣導、防災通知或公共服務通路，便可能產生下列風險：平台改變演算法後，公共資訊的可見性受到影響；平台停權或限制帳號後，政府無法即時恢復服務；平台服務中斷時，政府缺乏替代通路；公民必須接受私人條款才能取得公共資訊；政府將公共溝通能力外包給無須承擔同等公共責任的私人企業。因此，平台依賴本身應成為公共採購、資安管理及數位治理的重要評估指標。</w:t>
      </w:r>
    </w:p>
    <w:p>
      <w:pPr>
        <w:spacing w:after="160" w:line="320"/>
        <w:ind w:firstLine="431"/>
      </w:pPr>
      <w:r>
        <w:t xml:space="preserve">本文不以「臺灣所有公共機關均具同等依賴」為前提，而以下列依參章六項判定座標與六步判定流程檢視過的代表性個案，觀察平台依賴的制度表現：LINE 之災防／官方通知功能暫列高影響公共功能（是否構成準公共尚待核對）；Facebook 之政府資訊傳播功能暫列高影響；Google 搜尋／答案引擎之公共資訊排序功能暫列高影響；一般娛樂或購物功能則作為負向對照，維持一般平台之分類，不因同一企業旗下其他功能具公共性而連帶升級。受限於可公開取得之資料，以下僅能提供已核對之個案說明，尚無法涵蓋官方網站／簡訊／廣播與平台通路的全面替代比較，或公務機關備援帳號、跨平台發布與資料保存機制的完整盤點，相關推論範圍應以此為限。</w:t>
      </w:r>
    </w:p>
    <w:p>
      <w:pPr>
        <w:spacing w:after="100" w:before="200"/>
      </w:pPr>
      <w:r>
        <w:rPr>
          <w:b/>
          <w:bCs/>
          <w:sz w:val="22"/>
          <w:szCs w:val="22"/>
        </w:rPr>
        <w:t xml:space="preserve">（一）個案：LINE 災防示警的分層依賴</w:t>
      </w:r>
    </w:p>
    <w:p>
      <w:pPr>
        <w:spacing w:after="160" w:line="320"/>
        <w:ind w:firstLine="431"/>
      </w:pPr>
      <w:r>
        <w:t xml:space="preserve">以 LINE 的災防功能為例，須先釐清其實際涉及至少四種性質不同的通路，避免籠統地把「機關使用 LINE」等同於「國家級警報依賴 LINE」：其一，公共預警系統（PWS）與細胞廣播是法定的國家級警報機制，其傳送並不經過 LINE；其二，NCDR（國家災害防救科技中心）的 LINE 官方帳號與各縣市政府的 LINE 帳號，屬於使用者選擇加入（opt-in）的補充性示警管道；其三，EMIC（緊急醫療應變中心）LINE 帳號屬上行查詢與通報功能；其四，LINE 內建的「安全通報」則是產品本身的安否確認功能，與政府災防體系是兩件事。四者性質不同，不應混為一談。</w:t>
      </w:r>
    </w:p>
    <w:p>
      <w:pPr>
        <w:spacing w:after="160" w:line="320"/>
        <w:ind w:firstLine="431"/>
      </w:pPr>
      <w:r>
        <w:t xml:space="preserve">就 NCDR 與 LINE 的公開合作關係而言，兩者關係始於 2017 年的公益合作，加上官方帳號的一般產品條款；就目前可查得的公開資料而言，尚不足以認定雙方之間存在正式的災防服務等級協議（SLA）——沒有公開的可用率、中斷時限或違約效果等約定條款可查。NCDR 於民國 114 年（2025 年）機關自述其 LINE 官方帳號訂閱數已超過 185 萬人次，但這僅能證明「使用規模」的事實，不能等同於「服務到達」的承諾；2024 年曾發生的服務熔斷與誤推播事件，相關檢討內容均未引用任何 SLA 條款作為依據，這也從側面印證雙方並無正式服務等級約定可供援引。</w:t>
      </w:r>
    </w:p>
    <w:p>
      <w:pPr>
        <w:spacing w:after="160" w:line="320"/>
        <w:ind w:firstLine="431"/>
      </w:pPr>
      <w:r>
        <w:t xml:space="preserve">至於 NCDR 與平台業者之間合作的法律性質，臺灣目前並沒有單一部「公私協力規範」可資適用；其結構是由《國家災害防救科技中心設置條例》授權推動公私部門合作，落實在年度施政計畫「3.3 推動公私部門防災合作」項下，再對個別機關、大學、慈濟等民間組織以簽署合作備忘錄（MOU）方式建立關係；政府採購規章則僅約束具有對價關係的採購行為，對這類不涉及對價的合作備忘錄並不適用。政府評鑑固然可能把 LINE 官方帳號的經營成效計入公私協力績效，但評鑑本身並不要求這類合作附帶服務等級協議。因此，較精確的制度描述不宜寫成「依公私協力規範與 LINE 合作」，而應是「透過設置條例授權下的年度計畫與個別合作備忘錄，形成非正式、無 SLA 拘束的公私合作關係」。</w:t>
      </w:r>
    </w:p>
    <w:p>
      <w:pPr>
        <w:spacing w:after="160" w:line="320"/>
        <w:ind w:firstLine="431"/>
      </w:pPr>
      <w:r>
        <w:t xml:space="preserve">綜合上述，個案一（LINE 災防功能）的分級結果維持為：暫列高影響公共功能；因法定國家級警報（PWS）仍然存在、且 LINE 與 NCDR 之間並無服務等級協議，步驟三（高影響義務觸發）暫不觸發；步驟四（準公共正式認定）尚不成立。正文可以主張的是「災防示警在 LINE 上的使用，走在公法義務建立之前」，但不能主張「LINE 整體是準公共基礎設施」——後者混淆了 LINE 單一功能與品牌整體規模，違反本文參章「判定單位為平台—特定公共功能組合」的基本規則。</w:t>
      </w:r>
    </w:p>
    <w:p>
      <w:pPr>
        <w:spacing w:after="140" w:before="280"/>
      </w:pPr>
      <w:r>
        <w:rPr>
          <w:b/>
          <w:bCs/>
          <w:color w:val="1F4E79"/>
          <w:sz w:val="24"/>
          <w:szCs w:val="24"/>
        </w:rPr>
        <w:t xml:space="preserve">四、監理機關的組織能力</w:t>
      </w:r>
    </w:p>
    <w:p>
      <w:pPr>
        <w:spacing w:after="160" w:line="320"/>
        <w:ind w:firstLine="431"/>
      </w:pPr>
      <w:r>
        <w:t xml:space="preserve">上述個案具體印證了臺灣跨機關分工的結構性問題。臺灣平台治理涉及數位發展、通訊傳播、公平交易、個人資料保護、資安、公共服務及地方政府等不同領域。若缺乏統合性的準公共平台政策分類，容易出現：不同機關各自處理個別違法問題；沒有機關負責評估平台整體公共功能；競爭法、資料治理、公共服務與基本權保護彼此脫節；對重大平台風險缺乏共同資料、共同標準及共同應變機制。</w:t>
      </w:r>
    </w:p>
    <w:p>
      <w:pPr>
        <w:spacing w:after="100" w:before="200"/>
      </w:pPr>
      <w:r>
        <w:rPr>
          <w:b/>
          <w:bCs/>
          <w:sz w:val="22"/>
          <w:szCs w:val="22"/>
        </w:rPr>
        <w:t xml:space="preserve">（一）政策分類問題</w:t>
      </w:r>
    </w:p>
    <w:p>
      <w:pPr>
        <w:spacing w:after="160" w:line="320"/>
        <w:ind w:firstLine="431"/>
      </w:pPr>
      <w:r>
        <w:t xml:space="preserve">臺灣有必要考慮建立「準公共平台」的政策分類，但此分類不宜直接等同於公法人、公共事業或國有企業。較適當的做法，是依平台的公共效果與系統性風險分級：一般平台維持一般競爭、消費者及個資規範；高影響平台之特定公共功能核心面向至少一項達中度以上，且與該功能具可證明關聯，並伴隨至少一項加重因素，須增加透明及風險揭露義務，必要時包括備援與服務連續性要求；準公共平台之公共依賴性、功能不可替代性及公共價值影響力等核心面向均達高度，並伴隨市場集中、資訊與規則控制或跨境性等至少一項加重因素者，承擔較高的透明、負責、公正與持續營運義務（判定邏輯詳見參-4分級判斷模型）。</w:t>
      </w:r>
    </w:p>
    <w:p>
      <w:pPr>
        <w:spacing w:after="140" w:before="280"/>
      </w:pPr>
      <w:r>
        <w:rPr>
          <w:b/>
          <w:bCs/>
          <w:color w:val="1F4E79"/>
          <w:sz w:val="24"/>
          <w:szCs w:val="24"/>
        </w:rPr>
        <w:t xml:space="preserve">五、四個制度維度的斷裂</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3600"/>
        <w:gridCol w:w="6400"/>
      </w:tblGrid>
      <w:tr>
        <w:tc>
          <w:tcPr>
            <w:tcW w:type="dxa" w:w="3600"/>
            <w:shd w:fill="DEEAF6" w:val="clear"/>
            <w:tcMar>
              <w:top w:type="dxa" w:w="80"/>
              <w:left w:type="dxa" w:w="120"/>
              <w:bottom w:type="dxa" w:w="80"/>
              <w:right w:type="dxa" w:w="120"/>
            </w:tcMar>
          </w:tcPr>
          <w:p>
            <w:pPr>
              <w:spacing w:after="0"/>
            </w:pPr>
            <w:r>
              <w:rPr>
                <w:b/>
                <w:bCs/>
                <w:sz w:val="20"/>
                <w:szCs w:val="20"/>
              </w:rPr>
              <w:t xml:space="preserve">本文分析工具</w:t>
            </w:r>
          </w:p>
        </w:tc>
        <w:tc>
          <w:tcPr>
            <w:tcW w:type="dxa" w:w="6400"/>
            <w:shd w:fill="DEEAF6" w:val="clear"/>
            <w:tcMar>
              <w:top w:type="dxa" w:w="80"/>
              <w:left w:type="dxa" w:w="120"/>
              <w:bottom w:type="dxa" w:w="80"/>
              <w:right w:type="dxa" w:w="120"/>
            </w:tcMar>
          </w:tcPr>
          <w:p>
            <w:pPr>
              <w:spacing w:after="0"/>
            </w:pPr>
            <w:r>
              <w:rPr>
                <w:b/>
                <w:bCs/>
                <w:sz w:val="20"/>
                <w:szCs w:val="20"/>
              </w:rPr>
              <w:t xml:space="preserve">《數位中介服務法》個案對應</w:t>
            </w:r>
          </w:p>
        </w:tc>
      </w:tr>
      <w:tr>
        <w:tc>
          <w:tcPr>
            <w:tcW w:type="dxa" w:w="3600"/>
            <w:tcMar>
              <w:top w:type="dxa" w:w="80"/>
              <w:left w:type="dxa" w:w="120"/>
              <w:bottom w:type="dxa" w:w="80"/>
              <w:right w:type="dxa" w:w="120"/>
            </w:tcMar>
          </w:tcPr>
          <w:p>
            <w:pPr>
              <w:spacing w:after="0"/>
            </w:pPr>
            <w:r>
              <w:rPr>
                <w:b w:val="false"/>
                <w:bCs w:val="false"/>
                <w:sz w:val="20"/>
                <w:szCs w:val="20"/>
              </w:rPr>
              <w:t xml:space="preserve">課責鏈</w:t>
            </w:r>
          </w:p>
        </w:tc>
        <w:tc>
          <w:tcPr>
            <w:tcW w:type="dxa" w:w="6400"/>
            <w:tcMar>
              <w:top w:type="dxa" w:w="80"/>
              <w:left w:type="dxa" w:w="120"/>
              <w:bottom w:type="dxa" w:w="80"/>
              <w:right w:type="dxa" w:w="120"/>
            </w:tcMar>
          </w:tcPr>
          <w:p>
            <w:pPr>
              <w:spacing w:after="0"/>
            </w:pPr>
            <w:r>
              <w:rPr>
                <w:b w:val="false"/>
                <w:bCs w:val="false"/>
                <w:sz w:val="20"/>
                <w:szCs w:val="20"/>
              </w:rPr>
              <w:t xml:space="preserve">草案原本設計了分級裁罰與矯正機制，但因草案未通過，臺灣目前對平台完全沒有法定課責工具；2026 年 NCC 零委員狀態顯示，即使有工具，執行機關的決策能力本身也可能斷裂。</w:t>
            </w:r>
          </w:p>
        </w:tc>
      </w:tr>
      <w:tr>
        <w:tc>
          <w:tcPr>
            <w:tcW w:type="dxa" w:w="3600"/>
            <w:tcMar>
              <w:top w:type="dxa" w:w="80"/>
              <w:left w:type="dxa" w:w="120"/>
              <w:bottom w:type="dxa" w:w="80"/>
              <w:right w:type="dxa" w:w="120"/>
            </w:tcMar>
          </w:tcPr>
          <w:p>
            <w:pPr>
              <w:spacing w:after="0"/>
            </w:pPr>
            <w:r>
              <w:rPr>
                <w:b w:val="false"/>
                <w:bCs w:val="false"/>
                <w:sz w:val="20"/>
                <w:szCs w:val="20"/>
              </w:rPr>
              <w:t xml:space="preserve">負責鏈</w:t>
            </w:r>
          </w:p>
        </w:tc>
        <w:tc>
          <w:tcPr>
            <w:tcW w:type="dxa" w:w="6400"/>
            <w:tcMar>
              <w:top w:type="dxa" w:w="80"/>
              <w:left w:type="dxa" w:w="120"/>
              <w:bottom w:type="dxa" w:w="80"/>
              <w:right w:type="dxa" w:w="120"/>
            </w:tcMar>
          </w:tcPr>
          <w:p>
            <w:pPr>
              <w:spacing w:after="0"/>
            </w:pPr>
            <w:r>
              <w:rPr>
                <w:b w:val="false"/>
                <w:bCs w:val="false"/>
                <w:sz w:val="20"/>
                <w:szCs w:val="20"/>
              </w:rPr>
              <w:t xml:space="preserve">草案原擬要求指定線上平臺業者承擔在地化義務，但撤回後臺灣對跨境平台的在地法律責任仍近乎空白。</w:t>
            </w:r>
          </w:p>
        </w:tc>
      </w:tr>
      <w:tr>
        <w:tc>
          <w:tcPr>
            <w:tcW w:type="dxa" w:w="3600"/>
            <w:tcMar>
              <w:top w:type="dxa" w:w="80"/>
              <w:left w:type="dxa" w:w="120"/>
              <w:bottom w:type="dxa" w:w="80"/>
              <w:right w:type="dxa" w:w="120"/>
            </w:tcMar>
          </w:tcPr>
          <w:p>
            <w:pPr>
              <w:spacing w:after="0"/>
            </w:pPr>
            <w:r>
              <w:rPr>
                <w:b w:val="false"/>
                <w:bCs w:val="false"/>
                <w:sz w:val="20"/>
                <w:szCs w:val="20"/>
              </w:rPr>
              <w:t xml:space="preserve">透明鏈</w:t>
            </w:r>
          </w:p>
        </w:tc>
        <w:tc>
          <w:tcPr>
            <w:tcW w:type="dxa" w:w="6400"/>
            <w:tcMar>
              <w:top w:type="dxa" w:w="80"/>
              <w:left w:type="dxa" w:w="120"/>
              <w:bottom w:type="dxa" w:w="80"/>
              <w:right w:type="dxa" w:w="120"/>
            </w:tcMar>
          </w:tcPr>
          <w:p>
            <w:pPr>
              <w:spacing w:after="0"/>
            </w:pPr>
            <w:r>
              <w:rPr>
                <w:b w:val="false"/>
                <w:bCs w:val="false"/>
                <w:sz w:val="20"/>
                <w:szCs w:val="20"/>
              </w:rPr>
              <w:t xml:space="preserve">『三律共管』與白皮書路線是目前唯一持續推進的部分，顯示透明鏈是政治阻力最小、因此最容易存活的治理工具。</w:t>
            </w:r>
          </w:p>
        </w:tc>
      </w:tr>
      <w:tr>
        <w:tc>
          <w:tcPr>
            <w:tcW w:type="dxa" w:w="3600"/>
            <w:tcMar>
              <w:top w:type="dxa" w:w="80"/>
              <w:left w:type="dxa" w:w="120"/>
              <w:bottom w:type="dxa" w:w="80"/>
              <w:right w:type="dxa" w:w="120"/>
            </w:tcMar>
          </w:tcPr>
          <w:p>
            <w:pPr>
              <w:spacing w:after="0"/>
            </w:pPr>
            <w:r>
              <w:rPr>
                <w:b w:val="false"/>
                <w:bCs w:val="false"/>
                <w:sz w:val="20"/>
                <w:szCs w:val="20"/>
              </w:rPr>
              <w:t xml:space="preserve">公正鏈</w:t>
            </w:r>
          </w:p>
        </w:tc>
        <w:tc>
          <w:tcPr>
            <w:tcW w:type="dxa" w:w="6400"/>
            <w:tcMar>
              <w:top w:type="dxa" w:w="80"/>
              <w:left w:type="dxa" w:w="120"/>
              <w:bottom w:type="dxa" w:w="80"/>
              <w:right w:type="dxa" w:w="120"/>
            </w:tcMar>
          </w:tcPr>
          <w:p>
            <w:pPr>
              <w:spacing w:after="0"/>
            </w:pPr>
            <w:r>
              <w:rPr>
                <w:b w:val="false"/>
                <w:bCs w:val="false"/>
                <w:sz w:val="20"/>
                <w:szCs w:val="20"/>
              </w:rPr>
              <w:t xml:space="preserve">草案的『資訊限制令』『緊急限制令』因缺乏社會信任與程序保障設計，反而被解讀為侵害言論自由，說明公正鏈設計不足會直接拖垮整套制度的政治正當性。</w:t>
            </w:r>
          </w:p>
        </w:tc>
      </w:tr>
      <w:tr>
        <w:tc>
          <w:tcPr>
            <w:tcW w:type="dxa" w:w="3600"/>
            <w:tcMar>
              <w:top w:type="dxa" w:w="80"/>
              <w:left w:type="dxa" w:w="120"/>
              <w:bottom w:type="dxa" w:w="80"/>
              <w:right w:type="dxa" w:w="120"/>
            </w:tcMar>
          </w:tcPr>
          <w:p>
            <w:pPr>
              <w:spacing w:after="0"/>
            </w:pPr>
            <w:r>
              <w:rPr>
                <w:b w:val="false"/>
                <w:bCs w:val="false"/>
                <w:sz w:val="20"/>
                <w:szCs w:val="20"/>
              </w:rPr>
              <w:t xml:space="preserve">六項判定座標：市場集中／公共依賴／不可替代性</w:t>
            </w:r>
          </w:p>
        </w:tc>
        <w:tc>
          <w:tcPr>
            <w:tcW w:type="dxa" w:w="6400"/>
            <w:tcMar>
              <w:top w:type="dxa" w:w="80"/>
              <w:left w:type="dxa" w:w="120"/>
              <w:bottom w:type="dxa" w:w="80"/>
              <w:right w:type="dxa" w:w="120"/>
            </w:tcMar>
          </w:tcPr>
          <w:p>
            <w:pPr>
              <w:spacing w:after="0"/>
            </w:pPr>
            <w:r>
              <w:rPr>
                <w:b w:val="false"/>
                <w:bCs w:val="false"/>
                <w:sz w:val="20"/>
                <w:szCs w:val="20"/>
              </w:rPr>
              <w:t xml:space="preserve">230 萬使用者的『指定線上平臺』門檻，是臺灣官方文件中最接近本文六項座標的既有嘗試，可作為座標具有可操作性的實證佐證。</w:t>
            </w:r>
          </w:p>
        </w:tc>
      </w:tr>
    </w:tbl>
    <w:p>
      <w:pPr>
        <w:spacing w:after="160" w:line="320"/>
        <w:ind w:firstLine="431"/>
      </w:pPr>
      <w:r>
        <w:t xml:space="preserve">《數位中介服務法》草案的興衰，是理解臺灣平台治理困境最具體的個案：它證明臺灣並非缺乏制度想像力，草案的分級義務架構與歐盟 DSA 的守門人分類邏輯高度相似，其風險評估、獨立稽核與推薦系統透明化等設計，也與本文柒章基於此一個案所提出的制度補強建議高度對應——換言之，柒章的建議在相當程度上是從這次立法嘗試的得失中提煉而來，而非草案預先採納了本文的主張。真正的障礙在於政治可行性與國家執行能力：草案因缺乏社會信任與程序保障設計，在言論自由的政治動員下迅速夭折；撤回後，臺灣退回組織設置與政策白皮書的漸進路線，只推進政治阻力最小的透明鏈，課責鏈與負責鏈所需要的法定授權則被無限期擱置。2026 年 8 月 NCC 因委員任期屆滿、繼任人選遭立法院擱置而陷入零委員狀態，其後雖由行政院指派機關代表人維持部分行政發文，依法須委員會議決的裁罰、許可與政策分類仍停擺。這顯示問題不僅在於是否立法，而在於臺灣的監理機關本身，是否具備在政治週期中穩定維持合議決策能力、持續累積治理能力的制度韌性。</w:t>
      </w:r>
    </w:p>
    <w:p>
      <w:pPr>
        <w:pStyle w:val="Heading1"/>
        <w:pageBreakBefore/>
        <w:spacing w:after="200" w:before="420"/>
      </w:pPr>
      <w:r>
        <w:t xml:space="preserve">柒、制度設計</w:t>
      </w:r>
    </w:p>
    <w:p>
      <w:pPr>
        <w:spacing w:after="140" w:before="280"/>
      </w:pPr>
      <w:r>
        <w:rPr>
          <w:b/>
          <w:bCs/>
          <w:color w:val="1F4E79"/>
          <w:sz w:val="24"/>
          <w:szCs w:val="24"/>
        </w:rPr>
        <w:t xml:space="preserve">一、準公共平台的分級治理</w:t>
      </w:r>
    </w:p>
    <w:p>
      <w:pPr>
        <w:spacing w:after="160" w:line="320"/>
        <w:ind w:firstLine="431"/>
      </w:pPr>
      <w:r>
        <w:t xml:space="preserve">制度設計應避免將所有平台一律公共化，而應依六項座標的組合程度進行分級。平台越接近準公共基礎設施，所承擔的公共義務越高。這套分級邏輯呼應本文與 Rahman（2018）新公共事業說的關鍵差異：分級治理的目的不是為每一類平台指定一組固定的公共事業式義務（如不歧視、互通、基本服務義務），而是以六項座標的動態組合，決定國家應在多大程度上保留理解、監督、介入、替代與退場的能力。因此，一般平台仍維持既有的競爭、消費者與個資規範；高影響平台增加透明與風險揭露義務；只有公共依賴性、不可替代性及公共價值影響力等核心面向均達高度、並伴隨至少一項加重因素的準公共平台，才承擔以下四條治理鏈的完整制度補強。這種分級設計也直接回應陸章數位中介服務法草案的教訓：草案當年因不分業者類型、一律課予高強度義務而引發過度介入的疑慮，本文的分級邏輯則是先以六項座標篩選出真正具有準公共性的少數平台，再針對這些平台精準施力，藉此降低制度設計本身觸發政治反彈的風險。</w:t>
      </w:r>
    </w:p>
    <w:p>
      <w:pPr>
        <w:spacing w:after="140" w:before="280"/>
      </w:pPr>
      <w:r>
        <w:rPr>
          <w:b/>
          <w:bCs/>
          <w:color w:val="1F4E79"/>
          <w:sz w:val="24"/>
          <w:szCs w:val="24"/>
        </w:rPr>
        <w:t xml:space="preserve">二、負責與課責機制</w:t>
      </w:r>
    </w:p>
    <w:p>
      <w:pPr>
        <w:spacing w:after="100" w:before="200"/>
      </w:pPr>
      <w:r>
        <w:rPr>
          <w:b/>
          <w:bCs/>
          <w:sz w:val="22"/>
          <w:szCs w:val="22"/>
        </w:rPr>
        <w:t xml:space="preserve">（一）課責鏈</w:t>
      </w:r>
    </w:p>
    <w:p>
      <w:pPr>
        <w:spacing w:after="160" w:line="320"/>
        <w:ind w:firstLine="431"/>
      </w:pPr>
      <w:r>
        <w:t xml:space="preserve">課責鏈的制度補強，目的在於填補 Bovens（2007）所稱「行為者—論壇—後果」三段式關係中，國家做為「論壇」一端長期欠缺的資訊與跨境執法能力。若缺乏穩定的課責機制，平台治理便會如陸章個案所示，退化為僅剩輿論壓力的政治課責，法律與官僚課責機制形同虛設。具體制度工具包括：</w:t>
      </w:r>
    </w:p>
    <w:p>
      <w:pPr>
        <w:pStyle w:val="ListParagraph"/>
        <w:numPr>
          <w:ilvl w:val="0"/>
          <w:numId w:val="4"/>
        </w:numPr>
        <w:spacing w:after="100" w:line="276"/>
      </w:pPr>
      <w:r>
        <w:t xml:space="preserve">由數位發展部指定為單一協調機關，整合 NCC、公平會、警政與地方災防單位，成立「準公共平台監理協調會報」，回應陸-4已診斷之機關分工破碎問題。陸章 2026 年 NCC 零委員經驗顯示，協調會報的正當性不宜全部掛在單一獨立機關的委員會上；應預設委員會停擺時，風險報告收受與重大事件通報仍有法定收件與備援決行機制，否則本節工具會複製陸章失靈。</w:t>
      </w:r>
    </w:p>
    <w:p>
      <w:pPr>
        <w:pStyle w:val="ListParagraph"/>
        <w:numPr>
          <w:ilvl w:val="0"/>
          <w:numId w:val="4"/>
        </w:numPr>
        <w:spacing w:after="100" w:line="276"/>
      </w:pPr>
      <w:r>
        <w:t xml:space="preserve">經參章認定為準公共功能者（不得僅依本文所採草案版本之約 230 萬有效使用者門檻單獨指定），須於重大演算法、資料或服務變更生效前 30 日，向協調機關提交風險報告。</w:t>
      </w:r>
    </w:p>
    <w:p>
      <w:pPr>
        <w:pStyle w:val="ListParagraph"/>
        <w:numPr>
          <w:ilvl w:val="0"/>
          <w:numId w:val="4"/>
        </w:numPr>
        <w:spacing w:after="100" w:line="276"/>
      </w:pPr>
      <w:r>
        <w:t xml:space="preserve">比照草案表 10 罰鍰級距（5 萬至 1,000 萬元，得按次處罰並限期改善）建立重大事件通報與事後調查制度，並明訂協調機關接獲通報後之調查時限。</w:t>
      </w:r>
    </w:p>
    <w:p>
      <w:pPr>
        <w:pStyle w:val="ListParagraph"/>
        <w:numPr>
          <w:ilvl w:val="0"/>
          <w:numId w:val="4"/>
        </w:numPr>
        <w:spacing w:after="100" w:line="276"/>
      </w:pPr>
      <w:r>
        <w:t xml:space="preserve">對影響公共服務連續性（如政府官方帳號、災防通報功能）之平台，建立矯正命令及分級制裁工具，且矯正命令之發動須先踐行柒-4所列之通知與說明程序。</w:t>
      </w:r>
    </w:p>
    <w:p>
      <w:pPr>
        <w:pStyle w:val="ListParagraph"/>
        <w:numPr>
          <w:ilvl w:val="0"/>
          <w:numId w:val="4"/>
        </w:numPr>
        <w:spacing w:after="100" w:line="276"/>
      </w:pPr>
      <w:r>
        <w:t xml:space="preserve">於平台大規模停止服務或拒絕配合資料調取達一定期間時，保留要求平台恢復服務、提供資料或配合替代方案之權力，並以柒-5所列替代通路作為執行後盾，避免重蹈陸-2草案「資訊限制令」因要件空泛而難以取得正當性之覆轍。</w:t>
      </w:r>
    </w:p>
    <w:p>
      <w:pPr>
        <w:spacing w:after="160" w:line="320"/>
        <w:ind w:firstLine="431"/>
      </w:pPr>
      <w:r>
        <w:t xml:space="preserve">上述工具的導入順序至關重要：陸章的個案顯示，若矯正命令與制裁工具在缺乏公正鏈配套（見柒-4）的情況下倉促上路，極易被簡化為「政府可任意處分平台」的政治動員素材。因此課責鏈的落實，應以跨機關監理協調機制與風險報告義務為起點，逐步累積監理正當性後，再導入具強制力的矯正與制裁工具，而非一步到位。</w:t>
      </w:r>
    </w:p>
    <w:p>
      <w:pPr>
        <w:spacing w:after="100" w:before="200"/>
      </w:pPr>
      <w:r>
        <w:rPr>
          <w:b/>
          <w:bCs/>
          <w:sz w:val="22"/>
          <w:szCs w:val="22"/>
        </w:rPr>
        <w:t xml:space="preserve">（二）負責鏈</w:t>
      </w:r>
    </w:p>
    <w:p>
      <w:pPr>
        <w:spacing w:after="160" w:line="320"/>
        <w:ind w:firstLine="431"/>
      </w:pPr>
      <w:r>
        <w:t xml:space="preserve">負責鏈的核心，是處理跨境平台「在臺灣可能僅設廣告、公關或聯絡窗口，卻缺乏具法律及營運處置權之實質責任主體」此一待核對的管轄落差。本文在貳章已說明，負責鏈刻意選擇公法／管制途徑，而非 Balkin（2016, 2020）主張的私法受託人途徑，正是因為 Khan 與 Pozen（2019）指出後者可能讓平台的市場支配地位「正當化」。具體制度工具包括：</w:t>
      </w:r>
    </w:p>
    <w:p>
      <w:pPr>
        <w:pStyle w:val="ListParagraph"/>
        <w:numPr>
          <w:ilvl w:val="0"/>
          <w:numId w:val="4"/>
        </w:numPr>
        <w:spacing w:after="100" w:line="276"/>
      </w:pPr>
      <w:r>
        <w:t xml:space="preserve">要求月活躍使用者達準公共平台門檻之跨境平台，於臺灣設置具實質法律送達與營運處置權之在地代理人，取代現行僅設廣告、公關或聯絡窗口之作法（見肆-2已診斷之管轄落差）。</w:t>
      </w:r>
    </w:p>
    <w:p>
      <w:pPr>
        <w:pStyle w:val="ListParagraph"/>
        <w:numPr>
          <w:ilvl w:val="0"/>
          <w:numId w:val="4"/>
        </w:numPr>
        <w:spacing w:after="100" w:line="276"/>
      </w:pPr>
      <w:r>
        <w:t xml:space="preserve">依陸-3所列之公共事件類型（政府帳號限制、災防通報中斷、大規模資料外洩），逐項明定平台之通知期限與資料提供義務，避免現行僅能個案協商的空窗狀態。</w:t>
      </w:r>
    </w:p>
    <w:p>
      <w:pPr>
        <w:pStyle w:val="ListParagraph"/>
        <w:numPr>
          <w:ilvl w:val="0"/>
          <w:numId w:val="4"/>
        </w:numPr>
        <w:spacing w:after="100" w:line="276"/>
      </w:pPr>
      <w:r>
        <w:t xml:space="preserve">於平台公開資訊中強制區分「聯絡窗口」（客服／公關）與「法律責任主體」（送達代收人），並由協調機關公告區分結果，供民眾與機關查詢。</w:t>
      </w:r>
    </w:p>
    <w:p>
      <w:pPr>
        <w:pStyle w:val="ListParagraph"/>
        <w:numPr>
          <w:ilvl w:val="0"/>
          <w:numId w:val="4"/>
        </w:numPr>
        <w:spacing w:after="100" w:line="276"/>
      </w:pPr>
      <w:r>
        <w:t xml:space="preserve">於政府採購及政府合作條件中，將是否已依前項設置在地代理人列為投標或合作資格要件，透過市場進入誘因提高履責意願。</w:t>
      </w:r>
    </w:p>
    <w:p>
      <w:pPr>
        <w:pStyle w:val="ListParagraph"/>
        <w:numPr>
          <w:ilvl w:val="0"/>
          <w:numId w:val="4"/>
        </w:numPr>
        <w:spacing w:after="100" w:line="276"/>
      </w:pPr>
      <w:r>
        <w:t xml:space="preserve">對承擔政府官方帳號、災防通報等準公共功能之平台，要求提出履約保證安排，於平台違約或無預警中止服務時得逕行執行。</w:t>
      </w:r>
    </w:p>
    <w:p>
      <w:pPr>
        <w:spacing w:after="160" w:line="320"/>
        <w:ind w:firstLine="431"/>
      </w:pPr>
      <w:r>
        <w:t xml:space="preserve">這些工具的實施重點在於區分「聯絡窗口」與「法律責任主體」：現有公開資訊顯示，部分跨境平台在臺灣主要設置前者，是否均缺乏後者仍待逐案核對；一旦聯絡窗口與法律責任主體分離，負責鏈在送達與究責層次即可能斷裂，此為制度優先補強之處。</w:t>
      </w:r>
    </w:p>
    <w:p>
      <w:pPr>
        <w:spacing w:after="160" w:line="320"/>
        <w:ind w:firstLine="431"/>
      </w:pPr>
      <w:r>
        <w:t xml:space="preserve">為避免在地代理人淪為僅具名義之聯絡窗口，其權限應進一步具體明定：代理人應具備代收行政處分書、接受裁罰通知之權限；於母公司未即時回應時，代理人應有權就帳號恢復、資料提供或服務調整等事項為初步決定；母公司拒絕授權或不予配合時，代理人應與母公司負連帶責任，以避免母公司藉分工規避究責；上述義務之法律依據，宜以市場進入條件（如取得或維持準公共平台指定資格之前提要件）與登記制度並行設計，而非僅以行政契約等任意性安排為之。</w:t>
      </w:r>
    </w:p>
    <w:p>
      <w:pPr>
        <w:spacing w:after="140" w:before="280"/>
      </w:pPr>
      <w:r>
        <w:rPr>
          <w:b/>
          <w:bCs/>
          <w:color w:val="1F4E79"/>
          <w:sz w:val="24"/>
          <w:szCs w:val="24"/>
        </w:rPr>
        <w:t xml:space="preserve">三、透明與資料存取</w:t>
      </w:r>
    </w:p>
    <w:p>
      <w:pPr>
        <w:spacing w:after="160" w:line="320"/>
        <w:ind w:firstLine="431"/>
      </w:pPr>
      <w:r>
        <w:t xml:space="preserve">透明鏈的理論基礎，來自 Mashaw（2018）「說理即課責」的命題，與 Gillespie（2018）對演算法排序本質上屬公共規則制定行為的主張。透明鏈的制度設計必須同時處理「揭露什麼」與「誰能取得」兩個層次，具體工具包括：</w:t>
      </w:r>
    </w:p>
    <w:p>
      <w:pPr>
        <w:pStyle w:val="ListParagraph"/>
        <w:numPr>
          <w:ilvl w:val="0"/>
          <w:numId w:val="4"/>
        </w:numPr>
        <w:spacing w:after="100" w:line="276"/>
      </w:pPr>
      <w:r>
        <w:t xml:space="preserve">比照草案表10「加重透明度報告」義務，要求準公共平台每年提交揭露報告，內容包括推薦、降流、停權及內容排序之主要判準。</w:t>
      </w:r>
    </w:p>
    <w:p>
      <w:pPr>
        <w:pStyle w:val="ListParagraph"/>
        <w:numPr>
          <w:ilvl w:val="0"/>
          <w:numId w:val="4"/>
        </w:numPr>
        <w:spacing w:after="100" w:line="276"/>
      </w:pPr>
      <w:r>
        <w:t xml:space="preserve">對排序、推薦或帳號處置具重大爭議之個案，要求平台說明其演算法邏輯之主要影響因素，但不要求揭露完整原始碼或核心商業機密參數。</w:t>
      </w:r>
    </w:p>
    <w:p>
      <w:pPr>
        <w:pStyle w:val="ListParagraph"/>
        <w:numPr>
          <w:ilvl w:val="0"/>
          <w:numId w:val="4"/>
        </w:numPr>
        <w:spacing w:after="100" w:line="276"/>
      </w:pPr>
      <w:r>
        <w:t xml:space="preserve">建立獨立研究者或協調機關之資料存取機制，作為歐盟 DSA 系統性風險評估制度之在地化版本，並優先於本節其他項目落地。</w:t>
      </w:r>
    </w:p>
    <w:p>
      <w:pPr>
        <w:pStyle w:val="ListParagraph"/>
        <w:numPr>
          <w:ilvl w:val="0"/>
          <w:numId w:val="4"/>
        </w:numPr>
        <w:spacing w:after="100" w:line="276"/>
      </w:pPr>
      <w:r>
        <w:t xml:space="preserve">對重大演算法變更（如影響公共資訊能見度或政府帳號觸及率者），要求平台於變更生效前提出公共風險評估。</w:t>
      </w:r>
    </w:p>
    <w:p>
      <w:pPr>
        <w:pStyle w:val="ListParagraph"/>
        <w:numPr>
          <w:ilvl w:val="0"/>
          <w:numId w:val="4"/>
        </w:numPr>
        <w:spacing w:after="100" w:line="276"/>
      </w:pPr>
      <w:r>
        <w:t xml:space="preserve">要求平台保存重大決策紀錄至少 5 年，並於協調機關或司法機關要求時提供，以利後續課責鏈之調查與究責。</w:t>
      </w:r>
    </w:p>
    <w:p>
      <w:pPr>
        <w:spacing w:after="160" w:line="320"/>
        <w:ind w:firstLine="431"/>
      </w:pPr>
      <w:r>
        <w:t xml:space="preserve">其中，獨立研究者或主管機關的資料存取機制，是歐盟 DSA 系統性風險評估制度（呼應 Douek, 2022 的「系統思維」）中最具操作性、也是臺灣現行三律共管路線中唯一持續推進的部分（見陸-2），可作為透明鏈優先落地的切入點。</w:t>
      </w:r>
    </w:p>
    <w:p>
      <w:pPr>
        <w:spacing w:after="140" w:before="280"/>
      </w:pPr>
      <w:r>
        <w:rPr>
          <w:b/>
          <w:bCs/>
          <w:color w:val="1F4E79"/>
          <w:sz w:val="24"/>
          <w:szCs w:val="24"/>
        </w:rPr>
        <w:t xml:space="preserve">四、程序公正與外部救濟</w:t>
      </w:r>
    </w:p>
    <w:p>
      <w:pPr>
        <w:spacing w:after="160" w:line="320"/>
        <w:ind w:firstLine="431"/>
      </w:pPr>
      <w:r>
        <w:t xml:space="preserve">公正鏈的制度補強，直接回應 Suzor（2019）指出私人治理系統欠缺可預見性、一致性、參與及可問責等法治基本要素的批評。陸章的個案分析已清楚顯示，公正鏈的欠缺——而非課責或透明鏈的技術設計——才是數位中介服務法草案在政治過程中未能完成立法的關鍵：草案的資訊限制令與緊急限制令，正因缺乏本節所列的程序保障，才被解讀為政府可任意下架言論的工具。因此，公正鏈應被視為啟動其他三條鏈之前的政治正當性前提，而非事後補救措施，具體制度工具包括：</w:t>
      </w:r>
    </w:p>
    <w:p>
      <w:pPr>
        <w:pStyle w:val="ListParagraph"/>
        <w:numPr>
          <w:ilvl w:val="0"/>
          <w:numId w:val="4"/>
        </w:numPr>
        <w:spacing w:after="100" w:line="276"/>
      </w:pPr>
      <w:r>
        <w:t xml:space="preserve">依處置情境訂定分級程序要求，回應陸-2所診斷之社會信任赤字：一般處置訂定不低於 7 日之事前通知期；涉及詐騙帳號、惡意軟體、即時人身威脅、大規模資安攻擊或嚴重侵害兒童或個資之內容等緊急風險，得先行限制，但須於短期內通知並補充理由；涉及國安或現行犯罪偵查者，依法律明定例外與事後審查機制。</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3200"/>
        <w:gridCol w:w="6800"/>
      </w:tblGrid>
      <w:tr>
        <w:tc>
          <w:tcPr>
            <w:tcW w:type="dxa" w:w="3200"/>
            <w:shd w:fill="DEEAF6" w:val="clear"/>
            <w:tcMar>
              <w:top w:type="dxa" w:w="80"/>
              <w:left w:type="dxa" w:w="120"/>
              <w:bottom w:type="dxa" w:w="80"/>
              <w:right w:type="dxa" w:w="120"/>
            </w:tcMar>
          </w:tcPr>
          <w:p>
            <w:pPr>
              <w:spacing w:after="0"/>
            </w:pPr>
            <w:r>
              <w:rPr>
                <w:b/>
                <w:bCs/>
                <w:sz w:val="20"/>
                <w:szCs w:val="20"/>
              </w:rPr>
              <w:t xml:space="preserve">情境</w:t>
            </w:r>
          </w:p>
        </w:tc>
        <w:tc>
          <w:tcPr>
            <w:tcW w:type="dxa" w:w="6800"/>
            <w:shd w:fill="DEEAF6" w:val="clear"/>
            <w:tcMar>
              <w:top w:type="dxa" w:w="80"/>
              <w:left w:type="dxa" w:w="120"/>
              <w:bottom w:type="dxa" w:w="80"/>
              <w:right w:type="dxa" w:w="120"/>
            </w:tcMar>
          </w:tcPr>
          <w:p>
            <w:pPr>
              <w:spacing w:after="0"/>
            </w:pPr>
            <w:r>
              <w:rPr>
                <w:b/>
                <w:bCs/>
                <w:sz w:val="20"/>
                <w:szCs w:val="20"/>
              </w:rPr>
              <w:t xml:space="preserve">程序要求</w:t>
            </w:r>
          </w:p>
        </w:tc>
      </w:tr>
      <w:tr>
        <w:tc>
          <w:tcPr>
            <w:tcW w:type="dxa" w:w="3200"/>
            <w:tcMar>
              <w:top w:type="dxa" w:w="80"/>
              <w:left w:type="dxa" w:w="120"/>
              <w:bottom w:type="dxa" w:w="80"/>
              <w:right w:type="dxa" w:w="120"/>
            </w:tcMar>
          </w:tcPr>
          <w:p>
            <w:pPr>
              <w:spacing w:after="0"/>
            </w:pPr>
            <w:r>
              <w:rPr>
                <w:b w:val="false"/>
                <w:bCs w:val="false"/>
                <w:sz w:val="20"/>
                <w:szCs w:val="20"/>
              </w:rPr>
              <w:t xml:space="preserve">一般處置</w:t>
            </w:r>
          </w:p>
        </w:tc>
        <w:tc>
          <w:tcPr>
            <w:tcW w:type="dxa" w:w="6800"/>
            <w:tcMar>
              <w:top w:type="dxa" w:w="80"/>
              <w:left w:type="dxa" w:w="120"/>
              <w:bottom w:type="dxa" w:w="80"/>
              <w:right w:type="dxa" w:w="120"/>
            </w:tcMar>
          </w:tcPr>
          <w:p>
            <w:pPr>
              <w:spacing w:after="0"/>
            </w:pPr>
            <w:r>
              <w:rPr>
                <w:b w:val="false"/>
                <w:bCs w:val="false"/>
                <w:sz w:val="20"/>
                <w:szCs w:val="20"/>
              </w:rPr>
              <w:t xml:space="preserve">事前通知、理由說明、申訴</w:t>
            </w:r>
          </w:p>
        </w:tc>
      </w:tr>
      <w:tr>
        <w:tc>
          <w:tcPr>
            <w:tcW w:type="dxa" w:w="3200"/>
            <w:tcMar>
              <w:top w:type="dxa" w:w="80"/>
              <w:left w:type="dxa" w:w="120"/>
              <w:bottom w:type="dxa" w:w="80"/>
              <w:right w:type="dxa" w:w="120"/>
            </w:tcMar>
          </w:tcPr>
          <w:p>
            <w:pPr>
              <w:spacing w:after="0"/>
            </w:pPr>
            <w:r>
              <w:rPr>
                <w:b w:val="false"/>
                <w:bCs w:val="false"/>
                <w:sz w:val="20"/>
                <w:szCs w:val="20"/>
              </w:rPr>
              <w:t xml:space="preserve">緊急風險</w:t>
            </w:r>
          </w:p>
        </w:tc>
        <w:tc>
          <w:tcPr>
            <w:tcW w:type="dxa" w:w="6800"/>
            <w:tcMar>
              <w:top w:type="dxa" w:w="80"/>
              <w:left w:type="dxa" w:w="120"/>
              <w:bottom w:type="dxa" w:w="80"/>
              <w:right w:type="dxa" w:w="120"/>
            </w:tcMar>
          </w:tcPr>
          <w:p>
            <w:pPr>
              <w:spacing w:after="0"/>
            </w:pPr>
            <w:r>
              <w:rPr>
                <w:b w:val="false"/>
                <w:bCs w:val="false"/>
                <w:sz w:val="20"/>
                <w:szCs w:val="20"/>
              </w:rPr>
              <w:t xml:space="preserve">得先行限制，但須於短期內通知並補充理由</w:t>
            </w:r>
          </w:p>
        </w:tc>
      </w:tr>
      <w:tr>
        <w:tc>
          <w:tcPr>
            <w:tcW w:type="dxa" w:w="3200"/>
            <w:tcMar>
              <w:top w:type="dxa" w:w="80"/>
              <w:left w:type="dxa" w:w="120"/>
              <w:bottom w:type="dxa" w:w="80"/>
              <w:right w:type="dxa" w:w="120"/>
            </w:tcMar>
          </w:tcPr>
          <w:p>
            <w:pPr>
              <w:spacing w:after="0"/>
            </w:pPr>
            <w:r>
              <w:rPr>
                <w:b w:val="false"/>
                <w:bCs w:val="false"/>
                <w:sz w:val="20"/>
                <w:szCs w:val="20"/>
              </w:rPr>
              <w:t xml:space="preserve">國安或刑事偵查</w:t>
            </w:r>
          </w:p>
        </w:tc>
        <w:tc>
          <w:tcPr>
            <w:tcW w:type="dxa" w:w="6800"/>
            <w:tcMar>
              <w:top w:type="dxa" w:w="80"/>
              <w:left w:type="dxa" w:w="120"/>
              <w:bottom w:type="dxa" w:w="80"/>
              <w:right w:type="dxa" w:w="120"/>
            </w:tcMar>
          </w:tcPr>
          <w:p>
            <w:pPr>
              <w:spacing w:after="0"/>
            </w:pPr>
            <w:r>
              <w:rPr>
                <w:b w:val="false"/>
                <w:bCs w:val="false"/>
                <w:sz w:val="20"/>
                <w:szCs w:val="20"/>
              </w:rPr>
              <w:t xml:space="preserve">依法律明定例外與事後審查</w:t>
            </w:r>
          </w:p>
        </w:tc>
      </w:tr>
      <w:tr>
        <w:tc>
          <w:tcPr>
            <w:tcW w:type="dxa" w:w="3200"/>
            <w:tcMar>
              <w:top w:type="dxa" w:w="80"/>
              <w:left w:type="dxa" w:w="120"/>
              <w:bottom w:type="dxa" w:w="80"/>
              <w:right w:type="dxa" w:w="120"/>
            </w:tcMar>
          </w:tcPr>
          <w:p>
            <w:pPr>
              <w:spacing w:after="0"/>
            </w:pPr>
            <w:r>
              <w:rPr>
                <w:b w:val="false"/>
                <w:bCs w:val="false"/>
                <w:sz w:val="20"/>
                <w:szCs w:val="20"/>
              </w:rPr>
              <w:t xml:space="preserve">政府官方帳號或災防通報</w:t>
            </w:r>
          </w:p>
        </w:tc>
        <w:tc>
          <w:tcPr>
            <w:tcW w:type="dxa" w:w="6800"/>
            <w:tcMar>
              <w:top w:type="dxa" w:w="80"/>
              <w:left w:type="dxa" w:w="120"/>
              <w:bottom w:type="dxa" w:w="80"/>
              <w:right w:type="dxa" w:w="120"/>
            </w:tcMar>
          </w:tcPr>
          <w:p>
            <w:pPr>
              <w:spacing w:after="0"/>
            </w:pPr>
            <w:r>
              <w:rPr>
                <w:b w:val="false"/>
                <w:bCs w:val="false"/>
                <w:sz w:val="20"/>
                <w:szCs w:val="20"/>
              </w:rPr>
              <w:t xml:space="preserve">加強人工複核與快速救濟</w:t>
            </w:r>
          </w:p>
        </w:tc>
      </w:tr>
    </w:tbl>
    <w:p>
      <w:pPr>
        <w:pStyle w:val="ListParagraph"/>
        <w:numPr>
          <w:ilvl w:val="0"/>
          <w:numId w:val="4"/>
        </w:numPr>
        <w:spacing w:after="100" w:line="276"/>
      </w:pPr>
      <w:r>
        <w:t xml:space="preserve">要求平台就前項處置提供具體理由說明及至少一次之內部申訴機會，理由說明不得僅以「違反服務條款」等空泛用語帶過。</w:t>
      </w:r>
    </w:p>
    <w:p>
      <w:pPr>
        <w:pStyle w:val="ListParagraph"/>
        <w:numPr>
          <w:ilvl w:val="0"/>
          <w:numId w:val="4"/>
        </w:numPr>
        <w:spacing w:after="100" w:line="276"/>
      </w:pPr>
      <w:r>
        <w:t xml:space="preserve">對涉及災防通報、選舉資訊或政府官方帳號之處置案件，要求平台提供較高層級之人工審查、專責聯絡窗口及快速異議程序，而非一律要求由人工判斷內容真偽——後者可能超出平台查證能力，也可能壓縮平台原有之服務條款與編輯判斷空間。</w:t>
      </w:r>
    </w:p>
    <w:p>
      <w:pPr>
        <w:pStyle w:val="ListParagraph"/>
        <w:numPr>
          <w:ilvl w:val="0"/>
          <w:numId w:val="4"/>
        </w:numPr>
        <w:spacing w:after="100" w:line="276"/>
      </w:pPr>
      <w:r>
        <w:t xml:space="preserve">建立由協調機關認證之獨立外部申訴或爭議處理機制，處理平台內部申訴未能解決之爭議，避免重蹈陸-2「由 NCC 認定」引發信任赤字之覆轍。</w:t>
      </w:r>
    </w:p>
    <w:p>
      <w:pPr>
        <w:pStyle w:val="ListParagraph"/>
        <w:numPr>
          <w:ilvl w:val="0"/>
          <w:numId w:val="4"/>
        </w:numPr>
        <w:spacing w:after="100" w:line="276"/>
      </w:pPr>
      <w:r>
        <w:t xml:space="preserve">禁止平台對相同情況為任意、歧視性或不一致之處理，並由協調機關就重大爭議案件定期公布處置一致性查核結果。</w:t>
      </w:r>
    </w:p>
    <w:p>
      <w:pPr>
        <w:spacing w:after="160" w:line="320"/>
        <w:ind w:firstLine="431"/>
      </w:pPr>
      <w:r>
        <w:t xml:space="preserve">換言之，任何重提分級義務式平台治理的嘗試，若不能先在公正鏈上取得社會信任，即使課責鏈與透明鏈的技術設計再合理，仍將重蹈陸章個案的覆轍。</w:t>
      </w:r>
    </w:p>
    <w:p>
      <w:pPr>
        <w:spacing w:after="140" w:before="280"/>
      </w:pPr>
      <w:r>
        <w:rPr>
          <w:b/>
          <w:bCs/>
          <w:color w:val="1F4E79"/>
          <w:sz w:val="24"/>
          <w:szCs w:val="24"/>
        </w:rPr>
        <w:t xml:space="preserve">五、備援、替代與退場</w:t>
      </w:r>
    </w:p>
    <w:p>
      <w:pPr>
        <w:spacing w:after="160" w:line="320"/>
        <w:ind w:firstLine="431"/>
      </w:pPr>
      <w:r>
        <w:t xml:space="preserve">陸-3節已指出，臺灣公共服務對 LINE、Facebook 等私人平台的高度依賴，本身即是一種未被制度化承認的風險——政府若只單向要求平台承擔更多公共責任，卻未同步降低自身對單一平台的結構性依賴，便可能重演「平台改變演算法即影響公共資訊能見度」的困境。</w:t>
      </w:r>
    </w:p>
    <w:p>
      <w:pPr>
        <w:spacing w:after="160" w:line="320"/>
        <w:ind w:firstLine="431"/>
      </w:pPr>
      <w:r>
        <w:t xml:space="preserve">政府不應只要求平台「更負責任」，也必須降低自身依賴：</w:t>
      </w:r>
    </w:p>
    <w:p>
      <w:pPr>
        <w:pStyle w:val="ListParagraph"/>
        <w:numPr>
          <w:ilvl w:val="0"/>
          <w:numId w:val="4"/>
        </w:numPr>
        <w:spacing w:after="100" w:line="276"/>
      </w:pPr>
      <w:r>
        <w:t xml:space="preserve">建立官方網站、簡訊、電子郵件、廣播及其他替代通路。</w:t>
      </w:r>
    </w:p>
    <w:p>
      <w:pPr>
        <w:pStyle w:val="ListParagraph"/>
        <w:numPr>
          <w:ilvl w:val="0"/>
          <w:numId w:val="4"/>
        </w:numPr>
        <w:spacing w:after="100" w:line="276"/>
      </w:pPr>
      <w:r>
        <w:t xml:space="preserve">對災害通報與重要政策資訊設置最低多通路要求。</w:t>
      </w:r>
    </w:p>
    <w:p>
      <w:pPr>
        <w:pStyle w:val="ListParagraph"/>
        <w:numPr>
          <w:ilvl w:val="0"/>
          <w:numId w:val="4"/>
        </w:numPr>
        <w:spacing w:after="100" w:line="276"/>
      </w:pPr>
      <w:r>
        <w:t xml:space="preserve">公共採購契約中納入資料可攜、服務移轉、備援及退場條款。</w:t>
      </w:r>
    </w:p>
    <w:p>
      <w:pPr>
        <w:pStyle w:val="ListParagraph"/>
        <w:numPr>
          <w:ilvl w:val="0"/>
          <w:numId w:val="4"/>
        </w:numPr>
        <w:spacing w:after="100" w:line="276"/>
      </w:pPr>
      <w:r>
        <w:t xml:space="preserve">定期進行平台服務中斷及大規模帳號限制的演練。</w:t>
      </w:r>
    </w:p>
    <w:p>
      <w:pPr>
        <w:pStyle w:val="ListParagraph"/>
        <w:numPr>
          <w:ilvl w:val="0"/>
          <w:numId w:val="4"/>
        </w:numPr>
        <w:spacing w:after="100" w:line="276"/>
      </w:pPr>
      <w:r>
        <w:t xml:space="preserve">避免將單一私人平台設定為公共服務的唯一入口。</w:t>
      </w:r>
    </w:p>
    <w:p>
      <w:pPr>
        <w:spacing w:after="160" w:line="320"/>
        <w:ind w:firstLine="431"/>
      </w:pPr>
      <w:r>
        <w:t xml:space="preserve">這些替代與備援機制的重點，不在於完全脫離私人平台，而在於使「退出」成為政府手中真實可行的選項，而非僅存在於契約條文上的形式權利——唯有國家保有實質退出能力，柒-2所述的課責與負責鏈工具，才具備最終的執行後盾。</w:t>
      </w:r>
    </w:p>
    <w:p>
      <w:pPr>
        <w:spacing w:after="100" w:before="200"/>
      </w:pPr>
      <w:r>
        <w:rPr>
          <w:b/>
          <w:bCs/>
          <w:sz w:val="22"/>
          <w:szCs w:val="22"/>
        </w:rPr>
        <w:t xml:space="preserve">（一）重大平台變更與退場治理</w:t>
      </w:r>
    </w:p>
    <w:p>
      <w:pPr>
        <w:spacing w:after="160" w:line="320"/>
        <w:ind w:firstLine="431"/>
      </w:pPr>
      <w:r>
        <w:t xml:space="preserve">平台的「退場」情境，往往是準公共基礎設施性質最不易在承平時期被正視、卻在危機發生時代價最高的治理缺口。對具有準公共性的平台，應特別處理以下情境：平台停止在臺服務；平台重大改變服務條款或演算法；平台發生大規模服務中斷；平台遭受資安攻擊或資料外洩；平台大規模停權或限制公共機關帳號。制度上應建立事前通知、風險評估、資料移轉、公共服務備援及緊急介入程序，將「退場能力」視為國家治理能力的一部分。</w:t>
      </w:r>
    </w:p>
    <w:p>
      <w:pPr>
        <w:spacing w:after="160" w:line="320"/>
        <w:ind w:firstLine="431"/>
      </w:pPr>
      <w:r>
        <w:t xml:space="preserve">值得注意的是，本節處理的退場情境，僅限於應用層與服務層平台本身的退出（如帳號、服務條款、控制權變動），至於支撐這些平台運作的能源、資料中心、海底電纜等物質性基礎設施若發生退場或中斷，其治理邏輯則留待 038 進一步分析（見參-5）。</w:t>
      </w:r>
    </w:p>
    <w:p>
      <w:pPr>
        <w:pStyle w:val="Heading1"/>
        <w:pageBreakBefore/>
        <w:spacing w:after="200" w:before="420"/>
      </w:pPr>
      <w:r>
        <w:t xml:space="preserve">捌、結論</w:t>
      </w:r>
    </w:p>
    <w:p>
      <w:pPr>
        <w:spacing w:after="140" w:before="280"/>
      </w:pPr>
      <w:r>
        <w:rPr>
          <w:b/>
          <w:bCs/>
          <w:color w:val="1F4E79"/>
          <w:sz w:val="24"/>
          <w:szCs w:val="24"/>
        </w:rPr>
        <w:t xml:space="preserve">一、研究發現</w:t>
      </w:r>
    </w:p>
    <w:p>
      <w:pPr>
        <w:spacing w:after="160" w:line="320"/>
        <w:ind w:firstLine="431"/>
      </w:pPr>
      <w:r>
        <w:t xml:space="preserve">本文主張，私人平台的私人所有權與公共功能可以同時存在。問題不在於是否必須將平台國有化，而在於特定公共功能的公共效果是否已達到必須接受相應制度責任的程度。收斂後的核心句是：當私人平台在特定公共功能上承擔高度公共依賴時，國家不必取得所有權，也不應決定一般內容，但必須依分級規則保留理解、監督、介入、替代與退場能力。</w:t>
      </w:r>
    </w:p>
    <w:p>
      <w:pPr>
        <w:spacing w:after="160" w:line="320"/>
        <w:ind w:firstLine="431"/>
      </w:pPr>
      <w:r>
        <w:t xml:space="preserve">當平台在公共依賴、功能不可替代性及公共價值影響力等核心面向達到高度，並伴隨市場集中、資訊與規則控制或跨境管轄落差等加重因素時，其治理地位便逐漸接近準公共基礎設施。此時，傳統以企業管制、契約自治及市場競爭為中心的治理方式，已不足以確保公共利益。</w:t>
      </w:r>
    </w:p>
    <w:p>
      <w:pPr>
        <w:spacing w:after="160" w:line="320"/>
        <w:ind w:firstLine="431"/>
      </w:pPr>
      <w:r>
        <w:t xml:space="preserve">本文透過四條治理鏈指出，平台公共化所造成的核心制度問題包括：課責鏈——國家無法有效要求平台說明、改正及接受追責；負責鏈——平台具有公共影響力，卻缺乏相應的在地責任主體；透明鏈——平台掌握演算法、資料及資訊排序，外部機關難以理解其決策；公正鏈——平台的停權、降流及內容處置缺乏充分的程序與救濟。</w:t>
      </w:r>
    </w:p>
    <w:p>
      <w:pPr>
        <w:spacing w:after="140" w:before="280"/>
      </w:pPr>
      <w:r>
        <w:rPr>
          <w:b/>
          <w:bCs/>
          <w:color w:val="1F4E79"/>
          <w:sz w:val="24"/>
          <w:szCs w:val="24"/>
        </w:rPr>
        <w:t xml:space="preserve">二、理論貢獻</w:t>
      </w:r>
    </w:p>
    <w:p>
      <w:pPr>
        <w:spacing w:after="160" w:line="320"/>
        <w:ind w:firstLine="431"/>
      </w:pPr>
      <w:r>
        <w:t xml:space="preserve">在理論層次，本文的邊際貢獻在於把公共行政課責理論、平台內容治理研究，以及資訊基礎設施與公共事業管制理論三條原本互不交叉的文獻脈絡，收攏進「四條治理鏈」與「六項判定座標」所構成的統一分析架構，使原本停留在概念定性或單一法域觀察的既有理論，得以透過共同量尺進行跨國、跨平台的系統性比較（詳見貳章）。</w:t>
      </w:r>
    </w:p>
    <w:p>
      <w:pPr>
        <w:spacing w:after="160" w:line="320"/>
        <w:ind w:firstLine="431"/>
      </w:pPr>
      <w:r>
        <w:t xml:space="preserve">在方法論層次，本文以「橫向座標比較、縱向鏈條診斷」的雙軸設計，並以臺灣《數位中介服務法》草案作為過程追蹤之核心個案，展示了此一分析架構在真實政治過程中的解釋力與侷限，為後續研究提供可複製的比較與個案分析框架。</w:t>
      </w:r>
    </w:p>
    <w:p>
      <w:pPr>
        <w:spacing w:after="140" w:before="280"/>
      </w:pPr>
      <w:r>
        <w:rPr>
          <w:b/>
          <w:bCs/>
          <w:color w:val="1F4E79"/>
          <w:sz w:val="24"/>
          <w:szCs w:val="24"/>
        </w:rPr>
        <w:t xml:space="preserve">三、臺灣政策意涵</w:t>
      </w:r>
    </w:p>
    <w:p>
      <w:pPr>
        <w:spacing w:after="160" w:line="320"/>
        <w:ind w:firstLine="431"/>
      </w:pPr>
      <w:r>
        <w:t xml:space="preserve">陸章的個案分析也提醒本文一個不宜迴避的現實限制：國家能力的落差，不只存在於「國家對平台」這一端，也可能存在於「國家能否維持自身監理機關穩定運作」這一端。臺灣《數位中介服務法》草案的興衰，以及 2026 年 8 月依當時公開說明，NCC 因委員全數出缺而無法依通常程序召開委員會議，部分須經合議決定的裁罰、許可及政策案件因此無法完成決議，其他行政業務則仍由機關人員依權責維持，說明即使制度設計本身合理，政治週期、人事同意權與跨機關治理能力仍可能使整套機制無法落實。因此，「平台國家化治理」要能成立，不僅要求國家對平台重建能力，也要求國家對自身監理機關維持基本的制度韌性，並區分行政續航能力與合議決策能力——這是本文命題三所稱「重新取得治理能力」的前提，而非可以視為理所當然的背景條件。</w:t>
      </w:r>
    </w:p>
    <w:p>
      <w:pPr>
        <w:spacing w:after="160" w:line="320"/>
        <w:ind w:firstLine="431"/>
      </w:pPr>
      <w:r>
        <w:t xml:space="preserve">因此，平台國家化治理的真正目標，是使國家重新取得以下能力：理解——取得必要資料、風險報告與技術說明；監督——持續監測、稽核與跨機關協調；介入——依法作成矯正命令、分級制裁或緊急處置；替代——維持官方網站、簡訊、廣播等多元通路及服務備援；退場——處理停止服務、控制權變更、資料移轉與服務銜接。</w:t>
      </w:r>
    </w:p>
    <w:p>
      <w:pPr>
        <w:spacing w:after="160" w:line="320"/>
        <w:ind w:firstLine="431"/>
      </w:pPr>
      <w:r>
        <w:t xml:space="preserve">上述五項能力同時構成「國家保留最終治理能力」的上限。本文明確排除以下內涵，以免該主張被理解為行政權擴張、內容國家化或平台國有化：國家直接決定平台之一般內容；國家介入平台一般商業經營；國家取得平台所有權；國家以行政命令取代司法判斷；國家以抽象公共利益繞過法律保留與比例原則。</w:t>
      </w:r>
    </w:p>
    <w:p>
      <w:pPr>
        <w:spacing w:after="140" w:before="280"/>
      </w:pPr>
      <w:r>
        <w:rPr>
          <w:b/>
          <w:bCs/>
          <w:color w:val="1F4E79"/>
          <w:sz w:val="24"/>
          <w:szCs w:val="24"/>
        </w:rPr>
        <w:t xml:space="preserve">四、研究限制與後續研究</w:t>
      </w:r>
    </w:p>
    <w:p>
      <w:pPr>
        <w:spacing w:after="160" w:line="320"/>
        <w:ind w:firstLine="431"/>
      </w:pPr>
      <w:r>
        <w:t xml:space="preserve">本文的研究限制主要有四：其一，依賴性與跨境性兩項座標主要來自臺灣初步觀察，跨國普遍性待檢驗；其二，歐美比較以公開法規與執法文件為主，深度有限；其三，生成式 AI 答案引擎僅作邊界測試；其四，物質性運算基礎設施留待 038。另，應然制度設計與實然政治過程存在落差，陸章已證明設計合理者仍可能未落實。LINE 災防與 NCDR 合作之查核已排除「存在公開 SLA」與「公私協力規範已涵蓋平台到達義務」兩項過度推論；尚未調得之備忘錄正本、決標公告與訂閱／PWS 覆蓋重疊，仍標資料缺口。</w:t>
      </w:r>
    </w:p>
    <w:p>
      <w:pPr>
        <w:spacing w:after="160" w:line="320"/>
        <w:ind w:firstLine="431"/>
      </w:pPr>
      <w:r>
        <w:t xml:space="preserve">此外，就研究效度而言，本文以歐盟、美國、臺灣為分析場域，其結論未必可直接類推至其他法域，此為分析性歸納方法本身之限制；同時，本文之規範性主張與實證觀察之間可能存在應然與實然的落差——制度設計上合理者，未必能通過政治過程的檢驗。陸章所呈現者是草案撤回、政策路線轉向與原定義務未落實，而非已完成的「立法失敗」判決。</w:t>
      </w:r>
    </w:p>
    <w:p>
      <w:pPr>
        <w:spacing w:after="160" w:line="320"/>
        <w:ind w:firstLine="431"/>
      </w:pPr>
      <w:r>
        <w:t xml:space="preserve">這一命題也構成 037 對 038 的理論銜接：037 處理的是市場平台何時產生準公共治理效果，以及國家如何重建制度邊界；038 則可進一步追問，支撐這些平台運作的能源、資料中心、土地、水資源與運算設施，是否也應被納入公共治理與國家能力分析。</w:t>
      </w:r>
    </w:p>
    <w:p>
      <w:pPr>
        <w:pStyle w:val="Heading1"/>
        <w:pageBreakBefore/>
        <w:spacing w:after="200" w:before="420"/>
      </w:pPr>
      <w:r>
        <w:t xml:space="preserve">玖、參考文獻</w:t>
      </w:r>
    </w:p>
    <w:p>
      <w:pPr>
        <w:pBdr>
          <w:left w:val="single" w:color="BFBFBF" w:sz="12" w:space="8"/>
        </w:pBdr>
        <w:spacing w:after="200" w:line="276"/>
        <w:ind w:left="200"/>
      </w:pPr>
      <w:r>
        <w:rPr>
          <w:i/>
          <w:iCs/>
          <w:color w:val="595959"/>
          <w:sz w:val="20"/>
          <w:szCs w:val="20"/>
        </w:rPr>
        <w:t xml:space="preserve">以下依作者姓氏字母排序；卷期頁碼已盡量核對，正式投稿前建議再核對一次原文出版資訊與體例（APA／Chicago／Bluebook 視投稿期刊要求而定）。</w:t>
      </w:r>
    </w:p>
    <w:p>
      <w:pPr>
        <w:spacing w:after="140" w:before="280"/>
      </w:pPr>
      <w:r>
        <w:rPr>
          <w:b/>
          <w:bCs/>
          <w:color w:val="1F4E79"/>
          <w:sz w:val="24"/>
          <w:szCs w:val="24"/>
        </w:rPr>
        <w:t xml:space="preserve">一、學術文獻</w:t>
      </w:r>
    </w:p>
    <w:p>
      <w:pPr>
        <w:spacing w:after="160" w:line="320"/>
        <w:ind w:firstLine="431"/>
      </w:pPr>
      <w:r>
        <w:t xml:space="preserve">Balkin, J. M. (2016). Information Fiduciaries and the First Amendment. UC Davis Law Review, 49(4), 1183.</w:t>
      </w:r>
    </w:p>
    <w:p>
      <w:pPr>
        <w:spacing w:after="160" w:line="320"/>
        <w:ind w:firstLine="431"/>
      </w:pPr>
      <w:r>
        <w:t xml:space="preserve">Balkin, J. M. (2020). Platforms as Trustees: Information Fiduciaries and the Value of Analogy. Harvard Law Review Forum, 134, 34.</w:t>
      </w:r>
    </w:p>
    <w:p>
      <w:pPr>
        <w:spacing w:after="160" w:line="320"/>
        <w:ind w:firstLine="431"/>
      </w:pPr>
      <w:r>
        <w:t xml:space="preserve">Bovens, M. (2007). Analysing and Assessing Accountability: A Conceptual Framework. European Law Journal, 13(4), 447–468.</w:t>
      </w:r>
    </w:p>
    <w:p>
      <w:pPr>
        <w:spacing w:after="160" w:line="320"/>
        <w:ind w:firstLine="431"/>
      </w:pPr>
      <w:r>
        <w:t xml:space="preserve">de Streel, A. (coord.), Bourreau, M., &amp; Feasey, R. (2024). Implementing the Digital Markets Act. CERRE (Centre on Regulation in Europe).</w:t>
      </w:r>
    </w:p>
    <w:p>
      <w:pPr>
        <w:spacing w:after="160" w:line="320"/>
        <w:ind w:firstLine="431"/>
      </w:pPr>
      <w:r>
        <w:t xml:space="preserve">Douek, E. (2022). Content Moderation as Systems Thinking. Harvard Law Review, 136, 526.</w:t>
      </w:r>
    </w:p>
    <w:p>
      <w:pPr>
        <w:spacing w:after="160" w:line="320"/>
        <w:ind w:firstLine="431"/>
      </w:pPr>
      <w:r>
        <w:t xml:space="preserve">Frischmann, B. M. (2012). Infrastructure: The Social Value of Shared Resources. Oxford University Press.</w:t>
      </w:r>
    </w:p>
    <w:p>
      <w:pPr>
        <w:spacing w:after="160" w:line="320"/>
        <w:ind w:firstLine="431"/>
      </w:pPr>
      <w:r>
        <w:t xml:space="preserve">Gillespie, T. (2018). Custodians of the Internet: Platforms, Content Moderation, and the Hidden Decisions That Shape Social Media. Yale University Press.</w:t>
      </w:r>
    </w:p>
    <w:p>
      <w:pPr>
        <w:spacing w:after="160" w:line="320"/>
        <w:ind w:firstLine="431"/>
      </w:pPr>
      <w:r>
        <w:t xml:space="preserve">Gorwa, R. (2019). The Platform Governance Triangle: Conceptualising the Informal Regulation of Online Content. Internet Policy Review, 8(2).</w:t>
      </w:r>
    </w:p>
    <w:p>
      <w:pPr>
        <w:spacing w:after="160" w:line="320"/>
        <w:ind w:firstLine="431"/>
      </w:pPr>
      <w:r>
        <w:t xml:space="preserve">Khan, L. M., &amp; Pozen, D. E. (2019). A Skeptical View of Information Fiduciaries. Harvard Law Review, 133, 497–541.</w:t>
      </w:r>
    </w:p>
    <w:p>
      <w:pPr>
        <w:spacing w:after="160" w:line="320"/>
        <w:ind w:firstLine="431"/>
      </w:pPr>
      <w:r>
        <w:t xml:space="preserve">Klonick, K. (2018). The New Governors: The People, Rules, and Processes Governing Online Speech. Harvard Law Review, 131, 1598–1670.</w:t>
      </w:r>
    </w:p>
    <w:p>
      <w:pPr>
        <w:spacing w:after="160" w:line="320"/>
        <w:ind w:firstLine="431"/>
      </w:pPr>
      <w:r>
        <w:t xml:space="preserve">Levi-Faur, D. (Ed.). (2011). Handbook on the Politics of Regulation. Edward Elgar Publishing.</w:t>
      </w:r>
    </w:p>
    <w:p>
      <w:pPr>
        <w:spacing w:after="160" w:line="320"/>
        <w:ind w:firstLine="431"/>
      </w:pPr>
      <w:r>
        <w:t xml:space="preserve">Mahoney, J., &amp; Thelen, K. (2010). A Theory of Gradual Institutional Change. In J. Mahoney &amp; K. Thelen (Eds.), Explaining Institutional Change: Ambiguity, Agency, and Power (pp. 1–37). Cambridge University Press.</w:t>
      </w:r>
    </w:p>
    <w:p>
      <w:pPr>
        <w:spacing w:after="160" w:line="320"/>
        <w:ind w:firstLine="431"/>
      </w:pPr>
      <w:r>
        <w:t xml:space="preserve">Majone, G. (1994). The Rise of the Regulatory State in Europe. West European Politics, 17(3), 77–101.</w:t>
      </w:r>
    </w:p>
    <w:p>
      <w:pPr>
        <w:spacing w:after="160" w:line="320"/>
        <w:ind w:firstLine="431"/>
      </w:pPr>
      <w:r>
        <w:t xml:space="preserve">Mashaw, J. L. (2018). Reasoned Administration and Democratic Legitimacy: How Administrative Law Supports Democratic Government. Cambridge University Press.</w:t>
      </w:r>
    </w:p>
    <w:p>
      <w:pPr>
        <w:spacing w:after="160" w:line="320"/>
        <w:ind w:firstLine="431"/>
      </w:pPr>
      <w:r>
        <w:t xml:space="preserve">Moran, M. (2003). The British Regulatory State: High Modernism and Hyper-Innovation. Oxford University Press.</w:t>
      </w:r>
    </w:p>
    <w:p>
      <w:pPr>
        <w:spacing w:after="160" w:line="320"/>
        <w:ind w:firstLine="431"/>
      </w:pPr>
      <w:r>
        <w:t xml:space="preserve">Pierson, P. (2000). Increasing Returns, Path Dependence, and the Study of Politics. American Political Science Review, 94(2), 251–267.</w:t>
      </w:r>
    </w:p>
    <w:p>
      <w:pPr>
        <w:spacing w:after="160" w:line="320"/>
        <w:ind w:firstLine="431"/>
      </w:pPr>
      <w:r>
        <w:t xml:space="preserve">Plantin, J.-C., Lagoze, C., Edwards, P. N., &amp; Sandvig, C. (2018). Infrastructure Studies Meet Platform Studies in the Age of Google and Facebook. New Media &amp; Society, 20(1), 293–310.</w:t>
      </w:r>
    </w:p>
    <w:p>
      <w:pPr>
        <w:spacing w:after="160" w:line="320"/>
        <w:ind w:firstLine="431"/>
      </w:pPr>
      <w:r>
        <w:t xml:space="preserve">Rahman, K. S. (2018). Regulating Informational Infrastructure: Internet Platforms as the New Public Utilities. Georgetown Law Technology Review, 2(2), 234–251.</w:t>
      </w:r>
    </w:p>
    <w:p>
      <w:pPr>
        <w:spacing w:after="160" w:line="320"/>
        <w:ind w:firstLine="431"/>
      </w:pPr>
      <w:r>
        <w:t xml:space="preserve">Romzek, B. S., &amp; Dubnick, M. J. (1987). Accountability in the Public Sector: Lessons from the Challenger Tragedy. Public Administration Review, 47(3), 227–238.</w:t>
      </w:r>
    </w:p>
    <w:p>
      <w:pPr>
        <w:spacing w:after="160" w:line="320"/>
        <w:ind w:firstLine="431"/>
      </w:pPr>
      <w:r>
        <w:t xml:space="preserve">Suzor, N. P. (2019). Lawless: The Secret Rules That Govern Our Digital Lives. Cambridge University Press.</w:t>
      </w:r>
    </w:p>
    <w:p>
      <w:pPr>
        <w:spacing w:after="160" w:line="320"/>
        <w:ind w:firstLine="431"/>
      </w:pPr>
      <w:r>
        <w:t xml:space="preserve">林修睿（2022）。數位中介服務法草案評析－以歐盟數位服務法為比較對象。商業法律與財金期刊，5(1)，19–36。</w:t>
      </w:r>
    </w:p>
    <w:p>
      <w:pPr>
        <w:spacing w:after="160" w:line="320"/>
        <w:ind w:firstLine="431"/>
      </w:pPr>
      <w:r>
        <w:t xml:space="preserve">林家暘（2022）。2022 年數位中介服務法草案爭議評析。教育暨資訊科技法學評論，9，127–143。</w:t>
      </w:r>
    </w:p>
    <w:p>
      <w:pPr>
        <w:spacing w:after="160" w:line="320"/>
        <w:ind w:firstLine="431"/>
      </w:pPr>
      <w:r>
        <w:t xml:space="preserve">顏廷棟（2023）。日本服務提供者責任限制法之研究－兼論對我國數位中介服務法草案之檢討。銘傳大學法學論叢，38，147–225。</w:t>
      </w:r>
    </w:p>
    <w:p>
      <w:pPr>
        <w:spacing w:after="160" w:line="320"/>
        <w:ind w:firstLine="431"/>
      </w:pPr>
      <w:r>
        <w:t xml:space="preserve">周義哲（2023）。「數位中介服務法」草案之立法評析。國立高雄科技大學科技法律研究所碩士論文。</w:t>
      </w:r>
    </w:p>
    <w:p>
      <w:pPr>
        <w:spacing w:after="160" w:line="320"/>
        <w:ind w:firstLine="431"/>
      </w:pPr>
      <w:r>
        <w:t xml:space="preserve">林佑貞（2023）。數位服務平台之責任——以歐盟數位服務法案與我國NCC數位中介服務法草案為中心。國立高雄大學法律學系碩士論文。</w:t>
      </w:r>
    </w:p>
    <w:p>
      <w:pPr>
        <w:spacing w:after="160" w:line="320"/>
        <w:ind w:firstLine="431"/>
      </w:pPr>
      <w:r>
        <w:t xml:space="preserve">陳俐蓉（2024）。數位服務平臺治理法制之研究——以數位中介服務法草案為核心。國立臺灣大學科際整合法律學研究所碩士論文。</w:t>
      </w:r>
    </w:p>
    <w:p>
      <w:pPr>
        <w:spacing w:after="160" w:line="320"/>
        <w:ind w:firstLine="431"/>
      </w:pPr>
      <w:r>
        <w:t xml:space="preserve">謝宜哲（2025）。數位中介服務法草案立法評析——假訊息管制與言論自由保障之平衡。國立臺灣大學事業經營法務碩士在職學位學程碩士論文。</w:t>
      </w:r>
    </w:p>
    <w:p>
      <w:pPr>
        <w:spacing w:after="160" w:line="320"/>
        <w:ind w:firstLine="431"/>
      </w:pPr>
      <w:r>
        <w:t xml:space="preserve">van Dijck, J., Poell, T., &amp; de Waal, M. (2018). The Platform Society: Public Values in a Connective World. Oxford University Press.</w:t>
      </w:r>
    </w:p>
    <w:p>
      <w:pPr>
        <w:spacing w:after="140" w:before="280"/>
      </w:pPr>
      <w:r>
        <w:rPr>
          <w:b/>
          <w:bCs/>
          <w:color w:val="1F4E79"/>
          <w:sz w:val="24"/>
          <w:szCs w:val="24"/>
        </w:rPr>
        <w:t xml:space="preserve">二、判決、法規草案與政策文件</w:t>
      </w:r>
    </w:p>
    <w:p>
      <w:pPr>
        <w:spacing w:after="160" w:line="320"/>
        <w:ind w:firstLine="431"/>
      </w:pPr>
      <w:r>
        <w:t xml:space="preserve">Moody v. NetChoice, LLC, 603 U.S. ___ (2024)（美國聯邦最高法院判決）。</w:t>
      </w:r>
    </w:p>
    <w:p>
      <w:pPr>
        <w:spacing w:after="160" w:line="320"/>
        <w:ind w:firstLine="431"/>
      </w:pPr>
      <w:r>
        <w:t xml:space="preserve">國家通訊傳播委員會（2022）。《數位中介服務法》草案（2022 年 7 月 4 日公告，同年 12 月實質撤回）。</w:t>
      </w:r>
    </w:p>
    <w:p>
      <w:pPr>
        <w:spacing w:after="160" w:line="320"/>
        <w:ind w:firstLine="431"/>
      </w:pPr>
      <w:r>
        <w:t xml:space="preserve">國家通訊傳播委員會（2024）。《網際網路傳播政策白皮書》初稿。</w:t>
      </w:r>
    </w:p>
    <w:p>
      <w:pPr>
        <w:spacing w:after="160" w:line="320"/>
        <w:ind w:firstLine="431"/>
      </w:pPr>
      <w:r>
        <w:t xml:space="preserve">European Commission (2025). Commission Finds Apple and Meta in Breach of the Digital Markets Act.</w:t>
      </w:r>
    </w:p>
    <w:p>
      <w:pPr>
        <w:spacing w:after="160" w:line="320"/>
        <w:ind w:firstLine="431"/>
      </w:pPr>
      <w:r>
        <w:t xml:space="preserve">European Commission (2026, May 21). Annual report on the implementation of the Digital Markets Act, COM(2026) 247 final.</w:t>
      </w:r>
    </w:p>
    <w:p>
      <w:pPr>
        <w:spacing w:after="160" w:line="320"/>
        <w:ind w:firstLine="431"/>
      </w:pPr>
      <w:r>
        <w:t xml:space="preserve">中央社（2026年7月31日）。《NCC 3委員任期31日屆滿 面臨成立20年來首度無委員》。</w:t>
      </w:r>
    </w:p>
    <w:p>
      <w:pPr>
        <w:spacing w:after="160" w:line="320"/>
        <w:ind w:firstLine="431"/>
      </w:pPr>
      <w:r>
        <w:t xml:space="preserve">中央社（2026年8月17日）。NCC無委員空窗期　政院指派機關代表人優先處理射頻器材核准。</w:t>
      </w:r>
    </w:p>
    <w:p>
      <w:pPr>
        <w:spacing w:after="160" w:line="320"/>
        <w:ind w:firstLine="431"/>
      </w:pPr>
      <w:r>
        <w:t xml:space="preserve">自由時報（2026年8月）。《NCC遭藍白「歸零」首度零委員！經民連：重要業務全面癱瘓中》。</w:t>
      </w:r>
    </w:p>
    <w:p>
      <w:pPr>
        <w:spacing w:after="160" w:line="320"/>
        <w:ind w:firstLine="431"/>
      </w:pPr>
      <w:r>
        <w:t xml:space="preserve">美麗島電子報（2026年）。《NCC恐陷無委員空窗 748案待審議》。</w:t>
      </w:r>
    </w:p>
    <w:p>
      <w:pPr>
        <w:spacing w:after="160" w:line="320"/>
        <w:ind w:firstLine="431"/>
      </w:pPr>
      <w:r>
        <w:t xml:space="preserve">European Commission (2026). Commission Preliminarily Finds TikTok's Addictive Design in Breach of the Digital Services Act.</w:t>
      </w:r>
    </w:p>
    <w:p>
      <w:pPr>
        <w:spacing w:after="160" w:line="320"/>
        <w:ind w:firstLine="431"/>
      </w:pPr>
      <w:r>
        <w:t xml:space="preserve">European Commission (2026). Commission Investigates Grok and X's Recommender Systems under the Digital Services Act.</w:t>
      </w:r>
    </w:p>
    <w:p>
      <w:pPr>
        <w:spacing w:after="160" w:line="320"/>
        <w:ind w:firstLine="431"/>
      </w:pPr>
      <w:r>
        <w:t xml:space="preserve">European Commission (2026). Commission Requests Information from Shein on Illegal Products and its Recommender System.</w:t>
      </w:r>
    </w:p>
    <w:p>
      <w:pPr>
        <w:pBdr>
          <w:left w:val="single" w:color="BFBFBF" w:sz="12" w:space="8"/>
        </w:pBdr>
        <w:spacing w:after="200" w:line="276"/>
        <w:ind w:left="200"/>
      </w:pPr>
      <w:r>
        <w:rPr>
          <w:i/>
          <w:iCs/>
          <w:color w:val="595959"/>
          <w:sz w:val="20"/>
          <w:szCs w:val="20"/>
        </w:rPr>
        <w:t xml:space="preserve">上列自由時報、美麗島電子報二則報導使用「全面癱瘓」等評價性標題語言；正文陸-2已明確說明，這類用語不進入本文事實描述，僅作為報導性資料交叉核對之來源，與官方文件、法規條文性質有別，引用時應注意區辨。</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9595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abstractNum>
  <w:abstractNum w:abstractNumId="3" w15:restartNumberingAfterBreak="0">
    <w:multiLevelType w:val="hybridMultilevel"/>
    <w:lvl w:ilvl="0" w15:tentative="1">
      <w:start w:val="1"/>
      <w:numFmt w:val="decimal"/>
      <w:lvlText w:val="%1."/>
      <w:lvlJc w:val="left"/>
      <w:pPr>
        <w:ind w:left="504" w:hanging="360"/>
      </w:pPr>
    </w:lvl>
  </w:abstractNum>
  <w:abstractNum w:abstractNumId="4" w15:restartNumberingAfterBreak="0">
    <w:multiLevelType w:val="hybridMultilevel"/>
    <w:lvl w:ilvl="0" w15:tentative="1">
      <w:start w:val="1"/>
      <w:numFmt w:val="decimal"/>
      <w:lvlText w:val="%1."/>
      <w:lvlJc w:val="left"/>
      <w:pPr>
        <w:ind w:left="504" w:hanging="360"/>
      </w:pPr>
    </w:lvl>
  </w:abstractNum>
  <w:num w:numId="1">
    <w:abstractNumId w:val="1"/>
    <w:lvlOverride w:ilvl="0">
      <w:startOverride w:val="1"/>
    </w:lvlOverride>
  </w:num>
  <w:num w:numId="2">
    <w:abstractNumId w:val="4"/>
    <w:lvlOverride w:ilvl="0">
      <w:startOverride w:val="1"/>
    </w:lvlOverride>
  </w:num>
  <w:num w:numId="3">
    <w:abstractNumId w:val="3"/>
    <w:lvlOverride w:ilvl="0">
      <w:startOverride w:val="1"/>
    </w:lvlOverride>
  </w:num>
  <w:num w:numId="4">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2026-08-28T16:27:04.348Z</dcterms:created>
  <dcterms:modified xsi:type="dcterms:W3CDTF">2026-08-28T16:27:04.348Z</dcterms:modified>
</cp:coreProperties>
</file>

<file path=docProps/custom.xml><?xml version="1.0" encoding="utf-8"?>
<Properties xmlns="http://schemas.openxmlformats.org/officeDocument/2006/custom-properties" xmlns:vt="http://schemas.openxmlformats.org/officeDocument/2006/docPropsVTypes"/>
</file>