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line="360"/>
        <w:ind w:firstLine="0"/>
        <w:jc w:val="center"/>
      </w:pPr>
      <w:r>
        <w:rPr>
          <w:rFonts w:ascii="Times New Roman" w:hAnsi="Times New Roman" w:eastAsia="新細明體"/>
          <w:b/>
          <w:sz w:val="36"/>
        </w:rPr>
        <w:t>資訊社會中公共行政的新議題：三十年後的重訪（1996–2026）</w:t>
      </w:r>
    </w:p>
    <w:p>
      <w:pPr>
        <w:spacing w:after="160" w:line="360"/>
        <w:ind w:firstLine="0"/>
        <w:jc w:val="center"/>
      </w:pPr>
      <w:r>
        <w:rPr>
          <w:rFonts w:ascii="Times New Roman" w:hAnsi="Times New Roman" w:eastAsia="新細明體"/>
          <w:b w:val="0"/>
          <w:sz w:val="26"/>
        </w:rPr>
        <w:t>——一篇跨世代的重新檢視</w:t>
      </w:r>
    </w:p>
    <w:p>
      <w:pPr>
        <w:spacing w:after="160" w:line="360"/>
        <w:ind w:firstLine="0"/>
        <w:jc w:val="center"/>
      </w:pPr>
      <w:r>
        <w:rPr>
          <w:rFonts w:ascii="Times New Roman" w:hAnsi="Times New Roman" w:eastAsia="新細明體"/>
          <w:b/>
          <w:sz w:val="28"/>
        </w:rPr>
        <w:t>盧建旭</w:t>
      </w:r>
    </w:p>
    <w:p>
      <w:pPr>
        <w:spacing w:after="360" w:line="360"/>
        <w:ind w:firstLine="0"/>
        <w:jc w:val="center"/>
      </w:pPr>
      <w:r>
        <w:rPr>
          <w:rFonts w:ascii="Times New Roman" w:hAnsi="Times New Roman" w:eastAsia="新細明體"/>
          <w:b w:val="0"/>
          <w:sz w:val="22"/>
        </w:rPr>
        <w:t>工作論文</w:t>
      </w:r>
    </w:p>
    <w:p>
      <w:pPr>
        <w:spacing w:after="160" w:line="360"/>
      </w:pPr>
      <w:r>
        <w:rPr>
          <w:rFonts w:ascii="新細明體" w:cs="新細明體" w:eastAsia="新細明體" w:hAnsi="新細明體"/>
          <w:b w:val="false"/>
          <w:bCs w:val="false"/>
          <w:i w:val="false"/>
          <w:iCs w:val="false"/>
          <w:sz w:val="24"/>
          <w:szCs w:val="24"/>
        </w:rPr>
        <w:t xml:space="preserve"/>
      </w:r>
    </w:p>
    <w:p>
      <w:pPr>
        <w:pStyle w:val="Heading2"/>
        <w:spacing w:after="160" w:line="360"/>
        <w:ind w:firstLine="0"/>
        <w:jc w:val="left"/>
      </w:pPr>
      <w:r>
        <w:rPr>
          <w:rFonts w:ascii="Times New Roman" w:cs="新細明體" w:eastAsia="新細明體" w:hAnsi="Times New Roman"/>
          <w:b/>
          <w:bCs/>
          <w:i w:val="false"/>
          <w:iCs w:val="false"/>
          <w:sz w:val="28"/>
          <w:szCs w:val="26"/>
        </w:rPr>
        <w:t xml:space="preserve">摘要</w:t>
      </w:r>
    </w:p>
    <w:p>
      <w:pPr>
        <w:spacing w:after="120" w:line="360" w:lineRule="auto" w:before="0"/>
        <w:ind w:firstLine="420"/>
        <w:jc w:val="both"/>
      </w:pPr>
      <w:r>
        <w:rPr>
          <w:rFonts w:ascii="Times New Roman" w:hAnsi="Times New Roman" w:eastAsia="新細明體"/>
          <w:sz w:val="24"/>
        </w:rPr>
        <w:t>三十年前，Cleveland（1985）以五項臆測描述資訊社會可能如何重組公共行政的權力關係；1996年，筆者曾據此呼籲公共行政學界正視資訊社會，卻未進一步檢驗其背後的技術決定論假定。本文以三十年後的制度、組織、市場與基礎設施發展重新檢視五項臆測。結果顯示，僅「資訊公開」在制度形式上部分實現，但秘密決策並未因此消失，而是轉化為演算法不透明；其餘四項則未如預期實現，甚至出現反向發展：資訊擴散可能促成平台權力集中，資料的可複製性反而加劇控制權與使用權爭議，數位科技削弱日常地理限制，卻使晶片、資料中心與海纜的區位更具戰略意義。本文據此提出「技術特性→制度中介→權力配置→行政結果」的分析架構，並將制度中介區分為法律規範、組織能力、市場結構、專業與知識不對稱、物質基礎設施五類。進一步提出2026年公共行政的七項研究議題與研究路徑圖，主張下一階段研究不應再問技術會把政府帶向何處，而應追問技術在何種制度條件下改變行政裁量、課責與公共性。</w:t>
      </w:r>
    </w:p>
    <w:p>
      <w:pPr>
        <w:spacing w:after="240" w:line="276" w:lineRule="auto" w:before="0"/>
        <w:ind w:firstLine="0"/>
        <w:jc w:val="left"/>
      </w:pPr>
      <w:r>
        <w:rPr>
          <w:rFonts w:ascii="Times New Roman" w:hAnsi="Times New Roman" w:eastAsia="新細明體"/>
          <w:sz w:val="24"/>
        </w:rPr>
        <w:t>關鍵詞：資訊社會；公共行政；數位治理；演算法治理；制度中介</w:t>
      </w:r>
    </w:p>
    <w:p>
      <w:pPr>
        <w:pStyle w:val="Heading2"/>
        <w:spacing w:after="160" w:line="360"/>
      </w:pPr>
      <w:r>
        <w:rPr>
          <w:rFonts w:ascii="新細明體" w:cs="新細明體" w:eastAsia="新細明體" w:hAnsi="新細明體"/>
          <w:b/>
          <w:bCs/>
          <w:i w:val="false"/>
          <w:iCs w:val="false"/>
          <w:sz w:val="26"/>
          <w:szCs w:val="26"/>
        </w:rPr>
        <w:t xml:space="preserve">New Issues in Public Administration in the Information Society: A Revisit Thirty Years Later (1996-2026)</w:t>
      </w:r>
    </w:p>
    <w:p>
      <w:pPr>
        <w:pStyle w:val="Heading2"/>
        <w:spacing w:after="160" w:line="360"/>
        <w:ind w:firstLine="0"/>
        <w:jc w:val="left"/>
      </w:pPr>
      <w:r>
        <w:rPr>
          <w:rFonts w:ascii="Times New Roman" w:cs="新細明體" w:eastAsia="新細明體" w:hAnsi="Times New Roman"/>
          <w:b/>
          <w:bCs/>
          <w:i w:val="false"/>
          <w:iCs w:val="false"/>
          <w:sz w:val="28"/>
          <w:szCs w:val="24"/>
        </w:rPr>
        <w:t xml:space="preserve">Abstract</w:t>
      </w:r>
    </w:p>
    <w:p>
      <w:pPr>
        <w:spacing w:after="160" w:line="276" w:lineRule="auto" w:before="0"/>
        <w:ind w:firstLine="0"/>
        <w:jc w:val="both"/>
      </w:pPr>
      <w:r>
        <w:rPr>
          <w:rFonts w:ascii="Times New Roman" w:cs="新細明體" w:eastAsia="新細明體" w:hAnsi="Times New Roman"/>
          <w:b w:val="false"/>
          <w:bCs w:val="false"/>
          <w:i w:val="false"/>
          <w:iCs w:val="false"/>
          <w:sz w:val="24"/>
          <w:szCs w:val="22"/>
        </w:rPr>
        <w:t xml:space="preserve">Thirty years ago, Cleveland (1985) offered five speculations about how the information society would reorganize the power hierarchy of public administration. The author drew on these arguments in 1996 to call attention to the information society, but did not examine whether the underlying speculations were themselves valid. This article revisits the 1996 essay and systematically examines Cleveland's five speculations against institutional, organizational, market, and infrastructural developments over the subsequent three decades. The analysis finds that only information disclosure has been partially realized in institutional form, while also generating a new dilemma of algorithmic opacity. The other four speculations have either failed to materialize or moved in the opposite direction. Under particular market and institutional conditions, the diffusion of information has contributed to the concentration of platform power rather than participatory power; the non-exclusive nature of information has not rendered ownership obsolete, but has intensified disputes over data control and rights of use among individuals, firms, and states; and geographical proximity has not disappeared, but has regained strategic importance through semiconductor facilities, data centers, and submarine cables. The article further argues that public administration scholarship has moved from neglecting the information society toward digital governance and related paradigms, yet substantial fragmentation among subfields remains. From a 2026 perspective, the article therefore proposes seven new research issues and a research road map that identifies who should study or address each issue and over what time scale.</w:t>
      </w:r>
    </w:p>
    <w:p>
      <w:pPr>
        <w:spacing w:after="240" w:line="276" w:lineRule="auto" w:before="0"/>
        <w:ind w:firstLine="0"/>
        <w:jc w:val="left"/>
      </w:pPr>
      <w:r>
        <w:rPr>
          <w:rFonts w:ascii="Times New Roman" w:cs="新細明體" w:eastAsia="新細明體" w:hAnsi="Times New Roman"/>
          <w:b w:val="false"/>
          <w:bCs w:val="false"/>
          <w:i/>
          <w:iCs/>
          <w:sz w:val="24"/>
          <w:szCs w:val="22"/>
        </w:rPr>
        <w:t xml:space="preserve">Keywords: information society; public administration; digital governance; algorithmic governance; institutional mediation</w:t>
      </w:r>
    </w:p>
    <w:p>
      <w:pPr>
        <w:pStyle w:val="Heading2"/>
        <w:spacing w:after="160" w:line="360"/>
        <w:ind w:firstLine="0"/>
        <w:jc w:val="left"/>
      </w:pPr>
      <w:r>
        <w:rPr>
          <w:rFonts w:ascii="Times New Roman" w:cs="新細明體" w:eastAsia="新細明體" w:hAnsi="Times New Roman"/>
          <w:b/>
          <w:bCs/>
          <w:i w:val="false"/>
          <w:iCs w:val="false"/>
          <w:sz w:val="28"/>
          <w:szCs w:val="26"/>
        </w:rPr>
        <w:t xml:space="preserve">研究方法與分析架構</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所稱「三十年後的檢視」，並非以統計假設檢定方式判定Cleveland（1985）的預測真偽，而是採取歷史比較分析、理論重訪、文獻分析、制度分析與個案對照的方式，將1996年原文中的五項臆測，與2026年已出現的制度、組織、市場與基礎設施變化進行對照。因此，本文的「檢視」是指在可取得的歷史與制度證據下，檢視原始命題是否仍能解釋後續發展，或是否必須加入新的中介機制。</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採取的核心分析架構如下：技術特性→組織與制度中介→權力配置→行政結果。其中，技術特性包括資訊的可複製性、可傳輸性、計算能力與自動化能力；制度與組織中介包括法律規範、官僚慣例、行政程序、組織文化與跨機關協調；權力配置則涵蓋國家、平台企業、技術供應商、公民社會與受影響群體之間的資源與決策能力分布；最後才觀察其對行政結果所產生的影響。本文所稱的行政結果明確包括：行政裁量、行政責任、透明與理由說明、公民參與、平等對待，以及政策執行能力。如此，讀者在閱讀後續對五項預測的檢視時，能更清楚理解這些預測如何轉換成公共行政研究問題。</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這一架構是本文重新檢視技術決定論的關鍵。資訊科技具有某些物理與技術特性，但這些特性不會直接轉換成去集中化、民主化或公平化的政治結果；相同技術在不同法律制度、組織能力、市場結構與權力關係下，可能產生不同甚至相反的治理結果。</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制度中介之操作化：五類機制</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為回應審查意見對概念操作化程度之要求，本文將前述「制度中介」進一步初步區分為五類機制：（1）法律規範，如資訊公開法、個人資料保護法、《人工智慧基本法》、採購法規；（2）組織慣例與能力，如人工覆核之實際運作方式、績效與工作量壓力、文官之資料與AI素養；（3）市場結構，如平台市場集中度、雲端服務寡占程度、系統供應鏈依賴；（4）專業與知識不對稱，如技術黑箱、外包系統之不可見性、行政機關與供應商之資訊落差；（5）物質基礎設施，如晶片、資料中心、海纜、能源與水資源之區位與可及性。表二各項預測「制度中介」欄位所列之具體機制，均可歸入此五類之一或其組合；後續研究可據此五類分別建立可觀察指標，並進行跨國或跨機關之系統比較，而非僅停留於本文現階段之定性分類。</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核心理論命題</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為使全文之理論主張更為集中，本文將核心命題濃縮為以下兩項：其一，AI與資訊科技對公共行政之影響，不取決於技術能力本身，而取決於法律規範、組織能力、市場集中與基礎設施依賴所形成的制度中介；其二，AI不必然消除行政裁量，而可能將裁量從第一線公務員重新配置至資料、模型、採購與平台控制者。本文對Cleveland（1985）五項臆測的三十年歷史檢視（肆節），即是對第一項命題的歷史性檢驗；伍節對演算法官僚課責問題的討論，則是對第二項命題的延伸應用。全文其餘章節之論證，均可回溯至此二命題。</w:t>
      </w:r>
    </w:p>
    <w:p>
      <w:pPr>
        <w:spacing w:after="120" w:before="0" w:line="360" w:lineRule="auto"/>
        <w:ind w:firstLine="420"/>
        <w:jc w:val="both"/>
      </w:pPr>
      <w:r>
        <w:rPr>
          <w:rFonts w:ascii="Times New Roman" w:cs="新細明體" w:eastAsia="新細明體" w:hAnsi="Times New Roman"/>
          <w:b/>
          <w:bCs/>
          <w:i w:val="false"/>
          <w:iCs w:val="false"/>
          <w:sz w:val="24"/>
          <w:szCs w:val="24"/>
        </w:rPr>
        <w:t xml:space="preserve">規範性主張與經驗性判斷之區分</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之論證兼具經驗性描述與規範性評價，為避免混淆，凡屬本文之規範性評價或尚待後續研究驗證之假設，均於行文中以〔規範性評價〕〔待驗證假設〕標示；未特別標示者，原則上為根據所引文獻或制度證據所作之經驗性判斷。此一標示原則自本節以下全文適用。</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壹、緣起：三十年後重讀舊文</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5月，筆者在《政治科學論叢》發表〈資訊社會中公共行政的新議題〉一文。該文的核心論點，其實不在資訊社會如何定義，而在於一項未經檢驗的假定：資訊具有易擴散、難獨佔、可累聚的物理特性，社會結構的轉變是否就會自動朝Cleveland（1985）所臆測的方向前進——權力層級鬆動為參與與授權、秘密決策讓位於資訊公開的兩難、所有權觀念因難以獨佔而過時、社會不公平因公平近用而轉變成公平性、地理通達性因網路而不再重要？當年的文章止步於引述與呼籲，並未檢驗這項假定本身是否成立。</w:t>
      </w:r>
    </w:p>
    <w:p>
      <w:pPr>
        <w:spacing w:after="120" w:line="360" w:lineRule="auto" w:before="0"/>
        <w:ind w:firstLine="420"/>
        <w:jc w:val="both"/>
      </w:pPr>
      <w:r>
        <w:rPr>
          <w:rFonts w:ascii="Times New Roman" w:hAnsi="Times New Roman" w:eastAsia="新細明體"/>
          <w:sz w:val="24"/>
        </w:rPr>
        <w:t>三十年，足夠讓一項理論性假定接受實務的壓力測試——但這不是個人回顧，而是一次對推論方式本身的重新檢視：問題不在筆者三十年前寫對了什麼、寫錯了什麼，而在於「資訊科技的擴散必然帶來治理民主化」這樣的命題，作為一種推論方式，是否從一開始就犯了範疇錯誤——把技術的物理特性，直接等同於政治後果，中間毋須任何制度中介？本文重訪1996年的提問，不是要重寫一篇新的資訊社會導論，而是要逐項檢驗這個範疇錯誤是否真的發生了：哪些臆測應驗了？哪些落空，甚至逆轉？而哪些問題，是當年那套技術決定論框架本身，在邏輯上就提不出來的？此一範疇錯誤命題，即前文所述本文之核心理論命題一，下文各節不再逐一重述其完整表述，僅視脈絡簡稱為「範疇錯誤假定」。</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貳、資訊社會概念的再定義：從「後工業社會」到「監控資本主義」</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1996年的文章，用去相當篇幅處理一個在今日看來略顯古典的問題：資訊社會是否真實存在？當時Forester（1985, 1989）、Roszak（1986）等論者仍在爭辯資訊革命是否只是「量化的標準」的誇大——資訊科技的產值、資訊工作者的比例增加，是否足以構成一個新的社會型態，還是僅為工業社會的延伸？Webster（1994）更以科技、經濟、職業、空間、文化五種判準，逐一檢驗資訊社會論者宣稱的斷裂是否經得起實證考驗。</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這場爭論，在三十年後已成歷史公案——多數當代研究普遍承認，資訊科技已深刻改變經濟活動、社會互動與政府運作，但對於這些變化是否構成新的社會型態，仍存在不同理論判斷。問題是，爭論並未真正消失，只是換了戰場：今日真正困難之處，不在「資訊社會是否存在」，而在「資訊社會是誰的社會、由誰治理、為誰服務」。這個轉向，大致可循三條理論路徑追蹤。</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第一條路徑，是將資訊社會鑲嵌進全球網絡結構之中。與1996年原文同一年出版的Castells（1996）《網絡社會的崛起》，把資訊社會重新定義為「網絡社會」（network society）——權力不再單純依附於層級組織，而流動於節點與連結所構成的網絡拓樸之中；被排除在關鍵網絡之外的個人、組織甚至國家，將面臨結構性的邊緣化。這個「連結／排除」的二元框架，日後成為理解數位落差（digital divide）的核心語彙。</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第二條路徑，聚焦於資訊社會的商業化與私有化。van Dijck、Poell與de Waal（2018）提出「平台社會」（platform society）的概念，指出公共生活的基礎設施——新聞、交通、住宿、社交，乃至公共討論本身——已大量遷移至由少數私人企業掌控的平台之上，使公共價值的維護不再只是政府的職責，而必須與平台的技術架構及商業模式協商。Zuboff（2019）則以「監控資本主義」（surveillance capitalism）一詞，指出這些平台的商業模式，本質上是將人類經驗轉譯為行為數據的原料，進而生產出可供交易的「預測商品」；資訊社會賴以運作的資料，因此從一開始就帶有被攫取、被商品化的原罪。這與1996年原文樂觀引述增田米二「資訊社會將實現人類自我實現的協力觀點」，形成鮮明對照。</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三條路徑，則是2022年之後才真正成形的「生成式AI社會」敘事。ChatGPT等大型語言模型的普及，使「資訊」本身的性質產生質變——資訊不再只是被儲存、傳遞與檢索的對象，而成為可被模型即時生成、混合、甚至生成錯誤、無依據或虛構的內容（此類問題通常稱為「幻覺」（hallucination），但不宜理解為系統具有主觀意圖的故意欺騙）。這使得1996年原文所引Roszak（1986）「資訊過量而智慧不足」的警語，在三十年後有了更尖銳的版本：問題不再是資訊太多，而是我們越來越難分辨一則資訊究竟是被生成的，還是被發現的。</w:t>
      </w:r>
    </w:p>
    <w:p>
      <w:pPr>
        <w:pStyle w:val="Heading2"/>
        <w:spacing w:after="160" w:line="360"/>
        <w:ind w:firstLine="0"/>
        <w:jc w:val="left"/>
      </w:pPr>
      <w:r>
        <w:rPr>
          <w:rFonts w:ascii="Times New Roman" w:cs="新細明體" w:eastAsia="新細明體" w:hAnsi="Times New Roman"/>
          <w:b/>
          <w:bCs/>
          <w:i w:val="false"/>
          <w:iCs w:val="false"/>
          <w:sz w:val="28"/>
          <w:szCs w:val="24"/>
        </w:rPr>
        <w:t xml:space="preserve">AI系統的類型區分</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後續所稱「AI」並非單一技術。為避免將不同技術的治理風險混為一談，至少區分五類：（1）生成式AI，主要產生文字、圖像、程式或摘要，風險包括錯誤內容、機密外洩與著作權問題；（2）預測模型，用於預測風險、需求或行為，主要涉及偏誤與錯誤分類；（3）規則式自動化，依固定條件進行審查或分流，主要風險是規則僵化與例外處理不足；（4）演算法排序，對案件、內容或資源進行優先排序，可能影響可見性與資源配置；（5）自動化決策系統，直接或間接形成行政決定，涉及正當程序、理由說明與責任歸屬。</w:t>
      </w:r>
    </w:p>
    <w:p>
      <w:pPr>
        <w:pStyle w:val="Heading2"/>
        <w:spacing w:after="160" w:line="360"/>
        <w:ind w:firstLine="0"/>
        <w:jc w:val="left"/>
      </w:pPr>
      <w:r>
        <w:rPr>
          <w:rFonts w:ascii="Times New Roman" w:cs="新細明體" w:eastAsia="新細明體" w:hAnsi="Times New Roman"/>
          <w:b/>
          <w:bCs/>
          <w:i w:val="false"/>
          <w:iCs w:val="false"/>
          <w:sz w:val="28"/>
          <w:szCs w:val="24"/>
        </w:rPr>
        <w:t xml:space="preserve">概念演進圖示</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這三條理論路徑，並非彼此取代的線性進步敘事，而更接近同一個範疇錯誤在不同歷史階段的重演——每一代理論都重新發現：技術特性本身，從未直接決定社會安排。圖一嘗試把本節所述的理論脈絡，連同1996年原文自身在這條脈絡中的座標，整理成一張概念演進圖，並標示出此刻尚未收斂的三條競爭軌跡。</w:t>
      </w:r>
    </w:p>
    <w:p>
      <w:pPr>
        <w:jc w:val="center"/>
      </w:pPr>
      <w:r>
        <w:drawing>
          <wp:inline distT="0" distB="0" distL="0" distR="0">
            <wp:extent cx="3238500" cy="441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238500" cy="4419600"/>
                    </a:xfrm>
                    <a:prstGeom prst="rect">
                      <a:avLst/>
                    </a:prstGeom>
                  </pic:spPr>
                </pic:pic>
              </a:graphicData>
            </a:graphic>
          </wp:inline>
        </w:drawing>
      </w:r>
    </w:p>
    <w:p>
      <w:pPr>
        <w:spacing w:after="120" w:line="360" w:lineRule="auto" w:before="120"/>
        <w:ind w:firstLine="0"/>
        <w:jc w:val="center"/>
      </w:pPr>
      <w:r>
        <w:rPr>
          <w:rFonts w:ascii="Times New Roman" w:cs="新細明體" w:eastAsia="新細明體" w:hAnsi="Times New Roman"/>
          <w:b/>
          <w:bCs/>
          <w:i w:val="false"/>
          <w:iCs w:val="false"/>
          <w:sz w:val="22"/>
          <w:szCs w:val="20"/>
        </w:rPr>
        <w:t xml:space="preserve">圖一：資訊社會概念演進，1973–2026</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這三條路徑的演變，也帶出一個1996年原文不曾出現、卻在近年公共行政文獻中日益混用的區辨問題：「資訊社會」與「人工智慧治理」（AI governance）並非同一層次的概念。前者是描述社會型態的巨觀範疇——如同「工業社會」描述的是生產方式與階級結構的整體安排；後者則是治理範疇，指向政府與相關機構如何規制、監督特定技術系統的設計、部署與後果，性質上更接近「金融監理」之於「市場經濟」，而非另一種與資訊社會平行並列的社會型態。AI治理鑲嵌在既有的社會型態之中運作；本文肆節與伍節討論的演算法官僚課責、平台規制，正是AI治理範疇下的具體議題，而非資訊社會之外的另一個階段。</w:t>
      </w:r>
    </w:p>
    <w:p>
      <w:pPr>
        <w:spacing w:after="120" w:line="360" w:lineRule="auto" w:before="0"/>
        <w:ind w:firstLine="420"/>
        <w:jc w:val="both"/>
      </w:pPr>
      <w:r>
        <w:rPr>
          <w:rFonts w:ascii="Times New Roman" w:hAnsi="Times New Roman" w:eastAsia="新細明體"/>
          <w:sz w:val="24"/>
        </w:rPr>
        <w:t>那麼，此刻我們所處的，究竟該稱為什麼樣的社會？目前較能成立的答案是：學界尚未收斂於單一名稱——這與1996年原文開篇所描述的定義之爭遙相呼應，只是爭論的座標換了位置。若一定要給它一個暫時的名稱，較接近本文論證的說法是：一個以平台為基礎設施、以監控資本主義為主要積累邏輯、疊加生成式人工智慧作為新一層演算法中介的社會。逕稱之為「資訊社會」已略嫌籠統，稱之為「AI社會」又失之過早——因為決定資源分配與權力集中方向的，主要仍是平台的商業模式，而非AI技術本身。</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至於未來將走向哪一種社會型態，本文的立場與其對Cleveland預言的批判一致：任何單一名稱的預測，都可能重蹈1996年原文的樂觀技術決定論。目前至少存在三種彼此競爭、而非彼此排斥的軌跡：其一，是平台與AI能力進一步集中的軌跡，其中一派學者（如Varoufakis, 2023）甚至主張，這已不只是資本主義內部的壟斷深化，而是一種新的支配關係——「技術封建主義」（technofeudalism）：雲端資本取代市場交換本身，成為價值汲取的主要機制，使用者與中小企業淪為向平台繳納「雲端租金」的現代佃農。需特別說明：「平台壟斷」是市場結構描述；「監控資本主義」是資料萃取與獲利模式的政治經濟分析；「技術封建主義」則是對平台支配關係是否構成新型社會關係的批判性命題〔待驗證假設，三者的分析層次與理論主張並不相同〕。其二，是以歐盟《數位服務法》與《數位市場法》為代表、規制型國家擴大介入的「規制型數位國家」軌跡；其三，是以晶片與資料管制為核心、全球資訊基礎設施沿地緣政治斷層線分裂的「科技集團化」軌跡。三種軌跡目前同時並存、彼此拉扯。本文並非否定「技術封建主義」作為政治經濟批判命題的解釋力，而是認為，若要將其轉化為公共行政研究，仍必須追問平台支配如何透過法律規範、行政程序、採購制度、組織能力與國家權力被具體制度化。因此，本文採取「制度中介」作為主要分析取徑，不是排除技術封建主義，而是把它視為可供比較的權力集中軌跡之一。本文拒絕在此刻選定其中一種〔規範性評價〕，理由不是迴避判斷，而是判斷本身必須等待更多證據。</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表一：增田米二（1994）資訊社會結構想像與2026年現實之對照</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2400"/>
        <w:gridCol w:w="3400"/>
        <w:gridCol w:w="3226"/>
      </w:tblGrid>
      <w:tr>
        <w:trPr>
          <w:tblHeader/>
        </w:trPr>
        <w:tc>
          <w:tcPr>
            <w:tcW w:type="dxa" w:w="24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面向</w:t>
            </w:r>
          </w:p>
        </w:tc>
        <w:tc>
          <w:tcPr>
            <w:tcW w:type="dxa" w:w="34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增田米二（1994）對資訊社會的原始想像</w:t>
            </w:r>
          </w:p>
        </w:tc>
        <w:tc>
          <w:tcPr>
            <w:tcW w:type="dxa" w:w="3226"/>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2026年的實際發展</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核心生產力</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資訊、知識與科技取代資本與勞動力，擴充個人的判斷與行動選擇力</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資料與運算力確已成為核心生產要素，但擴充的多是平台與AI企業的判斷能力，而非分散給每個個人</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產品與市場領先工業</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知識密集的「資訊公用事業」，具有公共財性質</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雲端與AI基礎設施由少數科技巨頭主導，呈現高度寡占，而非公用化</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社會經濟型態</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自由市場經濟，知識共有共貫，志願社群互助合作</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監控資本主義下的資料萃取經濟，資料被少數企業私有化、商品化（規範性評價，見下文說明）</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組織與治理原則</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多資訊中心、自治，階級社會鬆動為自由社會</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平台中心化治理，用戶對少數平台高度依附，論者稱之為「數位封建」</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政府與政治機制</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參與式民主政治取代議會代議政治</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假訊息與演算法操弄侵蝕參與所需的資訊基礎，多國出現「參與的形式化」（經驗觀察，詳見貳節說明）</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國家施政目標</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以GNS（國民滿意度指數）取代GNW（國民福利總值）</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多數國家仍以GDP與數位經濟產值為核心指標，GNS式的滿意度治理未成主流</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價值與時代標準</w:t>
            </w:r>
          </w:p>
        </w:tc>
        <w:tc>
          <w:tcPr>
            <w:tcW w:type="dxa" w:w="3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全球主義，人類與自然相依共存</w:t>
            </w:r>
          </w:p>
        </w:tc>
        <w:tc>
          <w:tcPr>
            <w:tcW w:type="dxa" w:w="32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資料中心與AI訓練的能源、水資源消耗，使「人類與自然相依共存」面臨新的環境代價</w:t>
            </w:r>
          </w:p>
        </w:tc>
      </w:tr>
    </w:tbl>
    <w:p>
      <w:pPr>
        <w:spacing w:after="120" w:before="120" w:line="360" w:lineRule="auto"/>
        <w:ind w:firstLine="0"/>
        <w:jc w:val="center"/>
      </w:pPr>
      <w:r>
        <w:rPr>
          <w:rFonts w:ascii="Times New Roman" w:hAnsi="Times New Roman" w:eastAsia="新細明體"/>
          <w:b/>
          <w:sz w:val="22"/>
        </w:rPr>
        <w:t>表一所呈現的，不只是資訊社會理想與現實之間的落差，也與表二對Cleveland五項臆測的檢視形成同一條論證線索：凡涉及「生產力擴充」與「制度形式將隨技術特性自動調整」的預測，多半落空或逆轉——資訊科技確實重組了生產力的核心構成，但重組後的分配結果，是集中而非分散。增田米二與Cleveland共享同一項隱含假定：技術特性可以繞過既有的資本結構與國家權力，直接轉化為新的社會安排。三十年後的證據顯示，這項假定本身，才是兩人樂觀預言雙雙落空的根源。</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參、公共行政學界的回應：從忽視到主流化，但整合仍未完成</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原文最尖銳的觀察，或許不在資訊社會理論本身，而在於它對公共行政學界的診斷：透過檢視Lundquist（1985）、Burke（1989）、Denhardt（1990）對公共行政理論發展的整理，以及Bingham與Bowen（1994）對《公共行政評論》內容的量化分析，筆者發現，資訊社會的變遷幾乎完全沒有進入公共行政學的主流研究議程——教科書談論資訊科技時，多半侷限於辦公室自動化與資料庫管理等技術性議題，而未觸及資訊社會對權力、公平、主權等公共行政根本假定的衝擊。</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三十年後，這個診斷已需要大幅修正——但修正的方向，是喜憂參半的。</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Dunleavy與Margetts所稱的「第三波數位治理」值得在此特別停留。相較於第一波數位治理主要處理數位化再造、整合與再中心化，第三波的問題已進一步轉向資料科學、人工智慧與自動化如何進入國家決策與服務生產。這使公共行政研究不能只問「政府是否採用AI」，而必須追問AI採用之後，行政裁量究竟如何重新分配：哪些判斷仍由公務員作成，哪些判斷已被模型、資料與系統預設所吸收，以及當模型建議在組織中具有高度事實拘束力時，誰仍然具有拒絕、覆核與說明的能力。換言之，第三波數位治理已比早期數位治理更接近本文所關心的問題，但其重要性不在於證明AI必然導向某一種行政型態，而在於提供一個可以檢驗「技術進入制度之後如何重構裁量與課責」的研究場域。Dunleavy與Margetts所說的再中心化與企業化，也因此不能只被理解為早期數位政府的組織重組；在平台、雲端與AI服務高度集中之後，再中心化可能表現為資料、基礎設施與決策能力向少數國家機關及大型技術供應者重新集中，而企業化則表現為公共服務的部分能力依賴私人平台與商業技術。這與本文所稱的「權力以新形式重新集中」具有直接的對話關係：第三波並未取消再中心化，而是改變了再中心化的載體與責任邊界。</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若要把這項行政能力落實為可執行的制度，文官培訓不宜另立一套與既有體系完全分離的專門訓練，而可在既有數位治理、政策分析、採購與風險管理課程中，逐步加入三類能力：資料治理與資料品質判讀、AI系統與模型風險的基本辨識，以及晶片、雲端服務、資料中心與供應鏈依賴的基礎知識。其目的不是要求一般行政人員成為工程師，而是使其具備足以提出需求、辨識風險、監督外包與向技術供應商追問的最低治理能力。</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Fountain（2001）提出的「科技制訂」（technology enactment）架構則提供了更直接的制度性解釋：資訊科技進入官僚體制後，往往被既有的組織結構、法規與慣例重新形塑，而非如技術決定論者所預期，自動帶來扁平化與去官僚化。因此，第三波數位治理與本文的關係，不應理解為「新技術取代舊典範」，而應理解為研究問題從「數位化是否改變政府」進一步轉向「數位化在何種制度條件下改變政府，以及它究竟把裁量與課責移向何處」。這個轉向，也正是本文重新檢驗Cleveland（1985）時最重要的方法論修正。</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然而，整合的缺口並未真正補上，只是換了一種形式存在。1996年原文引述Ronfeldt（1992）呼籲建立跨社會學、政治學、經濟學、心理學、人類學與決策科學的「資訊政治學」（cyberology），以整合當時零散的資訊社會理論；三十年後，類似的整合呼籲依然存在，只是研究對象換成了演算法治理（algorithmic governance）、平台治理（platform governance）與人工智慧治理（AI governance）——這些次領域彼此之間，仍然存在著1996年原文所描述的「破碎化」問題。公共行政學界如今並不缺乏關於資訊社會的研究，《公共行政評論》、《政策與政治》（Policy &amp; Politics）、《數位政府研究與實踐》（Digital Government: Research and Practice）等期刊近年皆推出人工智慧與公共行政的專刊；問題已從「研究太少」轉變為「研究太多卻未見整合」〔經驗觀察，惟本文未逐一統計上述期刊之專刊篇數，此為印象式之文獻概觀，而非系統性文獻計量結果〕。</w:t>
      </w:r>
    </w:p>
    <w:p>
      <w:pPr>
        <w:pStyle w:val="Heading2"/>
        <w:spacing w:after="160" w:line="360"/>
        <w:ind w:firstLine="0"/>
        <w:jc w:val="left"/>
      </w:pPr>
      <w:r>
        <w:rPr>
          <w:rFonts w:ascii="Times New Roman" w:hAnsi="Times New Roman" w:eastAsia="新細明體"/>
          <w:b/>
          <w:sz w:val="28"/>
        </w:rPr>
        <w:t>臺灣公共行政學界的在地回應</w:t>
      </w:r>
    </w:p>
    <w:p>
      <w:pPr>
        <w:spacing w:after="120" w:line="360" w:lineRule="auto" w:before="0"/>
        <w:ind w:firstLine="420"/>
        <w:jc w:val="both"/>
      </w:pPr>
      <w:r>
        <w:rPr>
          <w:rFonts w:ascii="Times New Roman" w:hAnsi="Times New Roman" w:eastAsia="新細明體"/>
          <w:sz w:val="24"/>
        </w:rPr>
        <w:t>以上是國際公共行政學界的回應軌跡。1996年原文的一則註腳，其實留下了一個更尖銳、也更少被談論的判斷：當時臺灣本地的公共行政研究者，仍停留在工業社會的思考層次上，學院教育延續以民族國家概念統治、限制性公民資格、政府公共制度分工為主流，對資訊社會整體的因應計畫付之闕如。三十年後，這項在地判斷是否也需要修正？</w:t>
      </w:r>
    </w:p>
    <w:p>
      <w:pPr>
        <w:spacing w:after="120" w:line="360" w:lineRule="auto" w:before="0"/>
        <w:ind w:firstLine="420"/>
        <w:jc w:val="both"/>
      </w:pPr>
      <w:r>
        <w:rPr>
          <w:rFonts w:ascii="Times New Roman" w:hAnsi="Times New Roman" w:eastAsia="新細明體"/>
          <w:sz w:val="24"/>
        </w:rPr>
        <w:t>這裡也不能只用進步或退步概括。從機構回應來看，進展相當具體：臺灣於2005年施行《政府資訊公開法》，2022年成立數位發展部；同一年，刊登1996年原文的《政治科學論叢》本身也推出「數位治理與公共政策」專刊（朱斌妤，2022），象徵資訊社會議題終於進入臺灣政治學與公共行政學的主流議程——距離1996年原文批評學界「對資訊社會整體的因應計畫付之闕如」，恰好二十六年。政策史取向的文獻也逐漸成熟：袁浩哲（2024）以「傳統政府、電子治理、數位治理」三階段，系統整理了臺灣自1980年代至2020年代的電子化政府政策脈絡與制度變遷，填補了1996年原文所欠缺的縱貫性梳理。</w:t>
      </w:r>
    </w:p>
    <w:p>
      <w:pPr>
        <w:spacing w:after="120" w:line="360" w:lineRule="auto" w:before="0"/>
        <w:ind w:firstLine="420"/>
        <w:jc w:val="both"/>
      </w:pPr>
      <w:r>
        <w:rPr>
          <w:rFonts w:ascii="Times New Roman" w:hAnsi="Times New Roman" w:eastAsia="新細明體"/>
          <w:sz w:val="24"/>
        </w:rPr>
        <w:t>在臺灣脈絡下，本文特別以兩組案例作為五項預測的對照錨點：第一，政府資訊公開與開放資料，用以檢視「公開是否等於實質監督與參與」；第二，半導體、海纜、資料中心與相關數位基礎設施，用以檢視「地理不再重要」是否因運算與供應鏈的物質性而發生逆轉。這些案例在本文中主要作為制度與理論對照，而非宣稱已完成完整的因果識別。</w:t>
      </w:r>
    </w:p>
    <w:p>
      <w:pPr>
        <w:spacing w:after="120" w:line="360" w:lineRule="auto" w:before="0"/>
        <w:ind w:firstLine="420"/>
        <w:jc w:val="both"/>
      </w:pPr>
      <w:r>
        <w:rPr>
          <w:rFonts w:ascii="Times New Roman" w:hAnsi="Times New Roman" w:eastAsia="新細明體"/>
          <w:sz w:val="24"/>
        </w:rPr>
        <w:t>就政府資訊公開與開放資料而言，臺灣自2005年施行《政府資訊公開法》以來，形式上的文件公開與開放資料平台已相當普及。然而，實質透明仍需進一步檢視：公開資訊是否具備可搜尋、可理解及可再利用性？公開是否真正導致公民實質參與或行政責任提升？哪些資訊仍因個資保護、國家安全或商業機密而受限制？現有研究顯示，公開往往止於「文件可得」，但公民與監督者能否理解決策邏輯、提出質疑並獲得救濟，仍受程序與資訊素養限制。這正呼應本文對Cleveland預測二的判斷：制度面應驗，但實質監督與參與效果仍有限。</w:t>
      </w:r>
    </w:p>
    <w:p>
      <w:pPr>
        <w:spacing w:after="120" w:line="360" w:lineRule="auto" w:before="0"/>
        <w:ind w:firstLine="420"/>
        <w:jc w:val="both"/>
      </w:pPr>
      <w:r>
        <w:rPr>
          <w:rFonts w:ascii="Times New Roman" w:hAnsi="Times New Roman" w:eastAsia="新細明體"/>
          <w:sz w:val="24"/>
        </w:rPr>
        <w:t>就數位基礎設施而言，臺灣的半導體製造能量、海纜登陸站與資料中心區位，使「地理不再重要」的預測發生深層反轉。晶片、海纜與資料中心如何使地理位置重新具備戰略意義，可從三方面觀察：其一，臺灣在全球先進製程供應鏈中具備關鍵能力，卻也因此承受高度地緣政治脆弱性；其二，海纜與資料中心的實體位置直接影響資料流動與運算主權，中央與地方政府在選址、能源與水資源分配上的政策責任因而加重；其三，這些基礎設施的安全與韌性，已成為國家安全與公共行政必須共同處理的議題。換言之，遠距活動雖削弱日常地理限制，但戰略基礎設施的地理座標反而比以往更關鍵。</w:t>
      </w:r>
    </w:p>
    <w:p>
      <w:pPr>
        <w:spacing w:after="120" w:line="360" w:lineRule="auto" w:before="0"/>
        <w:ind w:firstLine="420"/>
        <w:jc w:val="both"/>
      </w:pPr>
      <w:r>
        <w:rPr>
          <w:rFonts w:ascii="Times New Roman" w:hAnsi="Times New Roman" w:eastAsia="新細明體"/>
          <w:sz w:val="24"/>
        </w:rPr>
        <w:t>但若把評價標準從「是否關注資訊社會」，提高到「是否嚴謹檢驗資訊社會理論的預期效果」，臺灣文獻的表現則相對有限。少數例外是黃東益與李仲彬（2010）的實證研究：他們檢驗電子治理是否真的能如樂觀論者所預期，提升民眾對政府的信任，結果顯示，電子化政府的正向使用經驗並未顯著強化信任，負向經驗卻會顯著侵蝕信任——尤其針對中央政府，而電子治理中被寄予參與式民主厚望的「參與途徑」，其影響力遠不如單純提供資訊與服務的「企業途徑」。這項發現背後，其實藏著一個比研究結果本身更值得深究的問題：當「參與」被化約為一項可供評估滿意度的服務項目時，它是否還是Cleveland或增田米二原初設想的那種、足以鬆動權力層級的參與？還是參與本身，已經被降格為另一種形式的顧客服務〔規範性評價〕？這項提問，恰好是本文表二對Cleveland預測一（權力層級轉變成參與與授權）檢視結果的臺灣印證：資訊科技確實改變了政府與民眾的互動介面，卻沒有如理論預期般帶來實質的參與式賦權。</w:t>
      </w:r>
    </w:p>
    <w:p>
      <w:pPr>
        <w:spacing w:after="120" w:line="360" w:lineRule="auto" w:before="0"/>
        <w:ind w:firstLine="420"/>
        <w:jc w:val="both"/>
      </w:pPr>
      <w:r>
        <w:rPr>
          <w:rFonts w:ascii="Times New Roman" w:hAnsi="Times New Roman" w:eastAsia="新細明體"/>
          <w:sz w:val="24"/>
        </w:rPr>
        <w:t>至於最新一波以生成式AI為對象的臺灣文獻，則呈現與1996年原文所批評的另一項侷限相近的特徵：偏向實務建議，較少進行理論檢驗。廖興中（2024）系統整理了人工智慧在公共行政領域的機會與挑戰，指出效率提升、決策輔助與參與透明化的潛力，同時點出隱私保護、倫理風險與數位落差等課題，並建議建立公務人員的AI趨勢、數位倫理與資料治理能力——這是務實且必要的政策建議，但論文本身並未如黃東益與李仲彬（2010）那樣提出可供檢驗的理論假設，也未觸及本文肆節所檢視、伍節所提出的裁量權歸屬、規制對象界定等更根本的制度性問題。</w:t>
      </w:r>
    </w:p>
    <w:p>
      <w:pPr>
        <w:spacing w:after="120" w:line="360" w:lineRule="auto" w:before="0"/>
        <w:ind w:firstLine="420"/>
        <w:jc w:val="both"/>
      </w:pPr>
      <w:r>
        <w:rPr>
          <w:rFonts w:ascii="Times New Roman" w:hAnsi="Times New Roman" w:eastAsia="新細明體"/>
          <w:sz w:val="24"/>
        </w:rPr>
        <w:t>真正值得追問的是：臺灣公共行政學界這三十年來對資訊社會變遷的回應，究竟是一場真正的重新檢視，還是僅僅一次又一次的潮流適應〔規範性評價〕？機構名稱的更迭——從研考會到數位發展部，政策典範的引介——從電子化政府到數位治理，再到當前的人工智慧治理，呈現的多是對國際主流議程設定的跟隨與翻譯，而較少見到如本文所嘗試進行的、對這些引介框架背後隱含假定的逆向追問。三十年後，這仍然是留給臺灣公共行政學界，而不只是留給本文的提問。</w:t>
      </w:r>
    </w:p>
    <w:p>
      <w:pPr>
        <w:spacing w:after="120" w:line="360" w:lineRule="auto" w:before="0"/>
        <w:ind w:firstLine="420"/>
        <w:jc w:val="both"/>
      </w:pPr>
      <w:r>
        <w:rPr>
          <w:rFonts w:ascii="Times New Roman" w:hAnsi="Times New Roman" w:eastAsia="新細明體"/>
          <w:sz w:val="24"/>
        </w:rPr>
        <w:t>因此，本文對臺灣研究現況的判斷應理解為「研究取向的診斷」〔規範性評價〕，而非對全部臺灣數位治理研究作出窮盡式評價。本文的重點不是否定政策導向研究的價值，而是指出：若研究長期停留在政策工具、能力建構與風險清單層次，便仍可能錯過資訊科技如何改變公共行政基本制度關係的問題。</w:t>
      </w:r>
    </w:p>
    <w:p>
      <w:pPr>
        <w:sectPr>
          <w:footerReference w:type="default" r:id="rId9"/>
          <w:pgSz w:w="11906" w:h="16838" w:orient="portrait"/>
          <w:pgMar w:top="1417" w:right="1417" w:bottom="1417" w:left="1417" w:header="709" w:footer="709" w:gutter="0"/>
          <w:pgNumType/>
          <w:docGrid w:linePitch="360"/>
        </w:sectPr>
      </w:pPr>
    </w:p>
    <w:p>
      <w:pPr>
        <w:pStyle w:val="Heading1"/>
        <w:spacing w:after="160" w:line="360"/>
        <w:ind w:firstLine="0"/>
        <w:jc w:val="left"/>
      </w:pPr>
      <w:r>
        <w:rPr>
          <w:rFonts w:ascii="Times New Roman" w:cs="新細明體" w:eastAsia="新細明體" w:hAnsi="Times New Roman"/>
          <w:b/>
          <w:bCs/>
          <w:i w:val="false"/>
          <w:iCs w:val="false"/>
          <w:sz w:val="32"/>
          <w:szCs w:val="28"/>
        </w:rPr>
        <w:t xml:space="preserve">肆、Cleveland（1985）五項臆測的三十年後歷史與制度性檢視</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1996年原文的核心論證，建立在Cleveland（1985）對資訊社會將如何重塑五種管理層級的臆測之上。這五項臆測共享一項隱含假定：資訊科技一旦具備易擴散、難獨佔、可累聚的物理特性，社會結構就會「自然而然」朝去集中化與治理民主化的方向調整——彷彿技術特性可以直接轉化為政治後果，中間不需要任何制度中介。這項假定即前述本文核心命題一所欲檢驗之對象；逐項臆測的實現程度，僅是檢驗這項假定的具體證據。為使五項預測之證據基礎更為一致，下表依「原始命題—觀察指標—主要證據—支持或反駁結果—制度中介—研究限制」六個欄位逐項整理：</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表二：Cleveland（1985）五項預測的歷史與制度性檢視（含研究限制）</w:t>
      </w:r>
    </w:p>
    <w:tbl>
      <w:tblPr>
        <w:tblW w:type="dxa" w:w="11158"/>
        <w:jc w:val="center"/>
        <w:tblBorders>
          <w:top w:val="single" w:color="auto" w:sz="4"/>
          <w:left w:val="single" w:color="auto" w:sz="4"/>
          <w:bottom w:val="single" w:color="auto" w:sz="4"/>
          <w:right w:val="single" w:color="auto" w:sz="4"/>
          <w:insideH w:val="single" w:color="auto" w:sz="4"/>
          <w:insideV w:val="single" w:color="auto" w:sz="4"/>
        </w:tblBorders>
      </w:tblPr>
      <w:tblGrid>
        <w:gridCol w:w="1300"/>
        <w:gridCol w:w="1650"/>
        <w:gridCol w:w="1650"/>
        <w:gridCol w:w="1650"/>
        <w:gridCol w:w="1650"/>
        <w:gridCol w:w="1650"/>
        <w:gridCol w:w="1608"/>
      </w:tblGrid>
      <w:tr>
        <w:trPr>
          <w:tblHeader/>
        </w:trPr>
        <w:tc>
          <w:tcPr>
            <w:tcW w:type="dxa" w:w="13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預測項目</w:t>
            </w:r>
          </w:p>
        </w:tc>
        <w:tc>
          <w:tcPr>
            <w:tcW w:type="dxa" w:w="165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原始命題（Cleveland 1985）</w:t>
            </w:r>
          </w:p>
        </w:tc>
        <w:tc>
          <w:tcPr>
            <w:tcW w:type="dxa" w:w="165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觀察指標</w:t>
            </w:r>
          </w:p>
        </w:tc>
        <w:tc>
          <w:tcPr>
            <w:tcW w:type="dxa" w:w="165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主要證據</w:t>
            </w:r>
          </w:p>
        </w:tc>
        <w:tc>
          <w:tcPr>
            <w:tcW w:type="dxa" w:w="165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支持或反駁結果</w:t>
            </w:r>
          </w:p>
        </w:tc>
        <w:tc>
          <w:tcPr>
            <w:tcW w:type="dxa" w:w="165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制度中介</w:t>
            </w:r>
          </w:p>
        </w:tc>
        <w:tc>
          <w:tcPr>
            <w:tcW w:type="dxa" w:w="1608"/>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研究限制</w:t>
            </w:r>
          </w:p>
        </w:tc>
      </w:tr>
      <w:tr>
        <w:tc>
          <w:tcPr>
            <w:tcW w:type="dxa" w:w="13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預測一：權力層級轉變成參與與授權</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少數人壟斷權力層級的模式因資訊擴散、分享與累聚特性而難以為繼，代之以共同制定規則的參與與授權</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公民是否能影響正式決策，而非僅增加互動；平台市場集中度；演算法決策的可質疑程度</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社群媒體動員（2010年代初期公民新聞運動）；平台權力集中與演算法黑箱之研究（Zuboff, 2019；Varoufakis, 2023）</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局部應驗後反轉：短期參與擴大，長期權力以平台形式重新集中</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平台之商業模式（廣告與資料經濟）、市場集中度、演算法設計之封閉性；受影響群體之集體行動能力（公民科技、開放原始碼協作）作為抗衡力量</w:t>
            </w:r>
          </w:p>
        </w:tc>
        <w:tc>
          <w:tcPr>
            <w:tcW w:type="dxa" w:w="1608"/>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「參與擴大」與「其後權力集中」之因果關係，本文以文獻回顧與歷史比較支持，非以量化資料直接檢定，此為理論性判斷而非因果識別</w:t>
            </w:r>
          </w:p>
        </w:tc>
      </w:tr>
      <w:tr>
        <w:tc>
          <w:tcPr>
            <w:tcW w:type="dxa" w:w="13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預測二：由秘密決策到資訊公開的兩難</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資訊公開使公共事務難以再被秘密地討論，公共政策正當性將更依賴透明化的相互調適過程</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資訊是否可取得、理解、質疑與救濟；演算法決策系統之揭露程度</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開放政府資料運動；台灣2005年《政府資訊公開法》；美國《演算法問責法案》（國會提案，未通過）；OECD（2024）政府自動化決策透明度報告</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制度面應驗，但衍生演算法不透明之新兩難</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資訊公開法制之範圍界定（是否涵蓋演算法本身）；行政機關與系統供應商之揭露義務分配；商業機密與資安考量對揭露範圍之限制</w:t>
            </w:r>
          </w:p>
        </w:tc>
        <w:tc>
          <w:tcPr>
            <w:tcW w:type="dxa" w:w="1608"/>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「制度面應驗」主要依據法制普及程度判斷，尚缺乏「公民實際理解、質疑並獲得救濟」之系統性實證資料；台灣個案（黃東益、李仲彬，2010）僅涵蓋電子治理信任面向，未直接檢驗演算法透明</w:t>
            </w:r>
          </w:p>
        </w:tc>
      </w:tr>
      <w:tr>
        <w:tc>
          <w:tcPr>
            <w:tcW w:type="dxa" w:w="13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預測三：所有權觀念的過時</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資訊不易獨佔的特性，將使傳統以排他性使用為核心的所有權觀念逐漸失去意義</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資料控制與使用權的制度安排；相關立法與訴訟數量</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GDPR個人資料控制、查詢、刪除及可攜權利；AI訓練資料著作權訴訟；資料在地化立法</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未應驗，且方向相反：資料所有權爭奪顯著增加</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資料之高度經濟價值（可訓練模型、可再利用）；個人、企業、國家三方之法律地位與談判能力差異</w:t>
            </w:r>
          </w:p>
        </w:tc>
        <w:tc>
          <w:tcPr>
            <w:tcW w:type="dxa" w:w="1608"/>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本文以代表性立法與訴訟趨勢為證據，未系統性量化全球資料所有權爭議之增長幅度；GDPR賦予之權利是否等同傳統私法所有權，本身仍有法律解釋上之爭議，本文採廣義理解</w:t>
            </w:r>
          </w:p>
        </w:tc>
      </w:tr>
      <w:tr>
        <w:tc>
          <w:tcPr>
            <w:tcW w:type="dxa" w:w="13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預測四：社會結構的不公平性轉變成公平性</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資訊科技的擴散將使社會不再維持既有以財富、地位決定的階層結構，公平取得科技的行動更有可能成功</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不同群體在近用、使用與結果上的差異；演算法錯誤率、拒絕率之群體差異</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全球數位落差研究；演算法偏見實證文獻；Crawford（2021）《AI地圖》物質基礎設施分析</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未應驗：數位落差持續存在，演算法偏見更放大既有不平等</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運算與資料基礎設施之物質稀缺性與全球分工不平等；演算法設計與訓練資料之代表性缺陷；資源分配決策之課責機制</w:t>
            </w:r>
          </w:p>
        </w:tc>
        <w:tc>
          <w:tcPr>
            <w:tcW w:type="dxa" w:w="1608"/>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本文引用之偏見實證文獻多來自歐美個案，台灣本土演算法群體差異之系統性實證研究仍屬有限，此為本文尚待補充之處</w:t>
            </w:r>
          </w:p>
        </w:tc>
      </w:tr>
      <w:tr>
        <w:tc>
          <w:tcPr>
            <w:tcW w:type="dxa" w:w="13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預測五：地理通達性的不再重要</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過去以地緣鄰近與自然資源決定國家力量與國際地位；未來世界文明將以人類屬性的社群為主要組織形式</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遠距活動與基礎設施區位的相對重要性；晶片、海纜、資料中心之地緣政治爭端數量</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遠距工作普及；晶片出口管制、資料中心選址與海纜路由之地緣政治角力；台灣半導體案例</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表面應驗，深層反轉：特定基礎設施的地理位置重新具有高度戰略意義</w:t>
            </w:r>
          </w:p>
        </w:tc>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先進製程晶片供應鏈之集中度；國家安全與出口管制政策；地方政府在選址、能源與水資源分配上之權責</w:t>
            </w:r>
          </w:p>
        </w:tc>
        <w:tc>
          <w:tcPr>
            <w:tcW w:type="dxa" w:w="1608"/>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本文以台灣半導體案例為主要對照錨點，尚未系統比較其他晶片生產國或資料中心密集地區之治理經驗，跨國比較仍待後續研究</w:t>
            </w:r>
          </w:p>
        </w:tc>
      </w:tr>
    </w:tbl>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以下依表二順序，逐項補充論述。</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第一，「權力層級轉變成參與與授權」。Cleveland預期，資訊的擴散、分享與累聚特性，將使少數人獨佔權力層級的舊模式無以為繼，更多人將透過共同制定的規則與網絡參與決策。這項預測在特定歷史時刻確曾閃現真實的光芒——社群媒體曾短暫地降低公民集體行動與資訊擴散的成本，2010年代初期的公民新聞運動與網路動員，都曾被視為這項預言的具體印證。然而三十年後的結構性圖像，卻呈現近乎相反的走向：資訊的擴散與累聚，最終並未催生扁平化的參與式權力，而是在特定市場與制度條件下促成一小群平台企業對全球資訊基礎設施的高度權力集中——Zuboff（2019）稱之為監控資本主義對「行為剩餘」的壟斷，Varoufakis（2023）則以更激進的「技術封建主義」描述用戶對平台的結構性依附。權力層級並未消失，只是換了一套語彙與載體重新集中〔經驗觀察，惟因果機制之詳細論證仍見表二「研究限制」欄〕。</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此外，受影響群體並非只能被動接受或申訴；其能動性也可能透過公民科技、集體訴訟、資料倡議、開放原始碼協作與其他抵抗實踐重新進入權力配置。換言之，制度中介不只決定平台或政府如何行動，也決定受影響者能否形成集體行動並改變規則。</w:t>
      </w:r>
    </w:p>
    <w:p>
      <w:pPr>
        <w:spacing w:after="120" w:line="360" w:lineRule="auto" w:before="0"/>
        <w:ind w:firstLine="420"/>
        <w:jc w:val="both"/>
      </w:pPr>
      <w:r>
        <w:rPr>
          <w:rFonts w:ascii="Times New Roman" w:hAnsi="Times New Roman" w:eastAsia="新細明體"/>
          <w:sz w:val="24"/>
        </w:rPr>
        <w:t>第二，「由秘密決策到資訊公開的兩難」。Cleveland預見，資訊公開將使公共事務難以再被秘密地討論，公共政策的正當性將更依賴透明化的相互調適過程。這項預言在制度面確有相當程度的實現：開放政府資料（open government data）運動席捲全球，資訊自由與政府資訊公開法制的數位化，使公民取得政府文件的門檻大幅降低；臺灣自2005年起施行的《政府資訊公開法》，正是這股浪潮的一部分。然而，這項「資訊公開」的勝利，很大程度上只解決了1996年原文所設想的舊型態秘密——政府主動隱匿的文件與決策紀錄；三十年後真正棘手的秘密，卻換了一種面貌出現：Pasquale（2015）所稱的「黑箱社會」（black box society），指的是演算法決策系統本身的不透明性——當政府採用自動化風險評估、資格審查或資源分配演算法時，公民往往連該演算法存在的事實都無從得知，遑論質疑其邏輯。美國國會近年再度提出、尚未通過的《演算法問責法案》（Algorithmic Accountability Act of 2025, S.2164）與OECD（2024）對政府自動化決策透明度及究責機制的檢討，正是對這個新型態秘密決策困境的制度回應。資訊公開的兩難並未解決，只是從「要不要公開文件」，演變成「如何在不要求揭露全部技術細節的情況下，提供足以支持受影響者理解、質疑與救濟的模型文件、資料來源、決策理由與稽核紀錄」。</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三，「所有權觀念的過時」。這是五項預測中，三十年後的現實與原初臆測方向最為背離的一項。Cleveland認為，資訊不易獨佔的特性，將使傳統以排他性使用為核心的所有權觀念逐漸失去意義。然而，三十年後我們所目睹的，恰恰是資料所有權爭奪戰的空前激化，而非其消解：歐盟《一般資料保護規則》（GDPR）強化個人對個人資料的控制、查詢、刪除及可攜權利，但其法律性質並不等同於傳統私法上的所有權。資訊「不易獨佔」的物理特性，並未如Cleveland所預期地弱化所有權觀念，反而因為資料具有可複製、可再利用、可訓練模型的高度經濟價值，激發了個人、企業與國家三方更激烈的所有權爭奪。所有權沒有消失，只是換了主張者。</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第四，「社會結構的不公平性轉變成公平性」。Cleveland預期，資訊科技的擴散將使社會不再維持過去以財富、地位或資訊近用機會決定的階層結構，公平取得資訊科技的行動將比過去更有可能成功。這項預測背後其實藏著一個更深的哲學預設：資訊作為一種非物質的、可無限複製的財貨，理應擺脫物質資源分配所受的稀缺性限制，從而鬆動由稀缺性支撐的階層結構。三十年後，這項預設本身就值得懷疑——Crawford（2021）在《AI地圖》（Atlas of AI）中提醒我們，人工智慧系統看似非物質、看似「雲端」，其運作卻始終奠基在極度物質性的基礎之上：稀土礦物的開採、資料標註勞動的分工、資料中心的耗電與耗水。資訊或許不稀缺，但支撐資訊處理能力的物質基礎設施，仍然稀缺，而且仍然依循既有的全球分工不平等而分布。更值得警惕的是，當自動化風險評估、信用評分乃至預測性治理工具，被證實會複製並放大既有的階級與群體偏見時，究竟是設計者、採購機關，還是使用該系統的第一線公務員，該為此負責？1996年的樂觀預測，沒有替我們準備好這個問題。資訊科技不僅未能實現Cleveland預言的公平化，反而藉由物質基礎設施的不均分布，成為既有社會不平等的新型態放大器。</w:t>
      </w:r>
    </w:p>
    <w:p>
      <w:pPr>
        <w:spacing w:after="120" w:line="360" w:lineRule="auto" w:before="0"/>
        <w:ind w:firstLine="420"/>
        <w:jc w:val="both"/>
      </w:pPr>
      <w:r>
        <w:rPr>
          <w:rFonts w:ascii="Times New Roman" w:hAnsi="Times New Roman" w:eastAsia="新細明體"/>
          <w:sz w:val="24"/>
        </w:rPr>
        <w:t>第五，「地理通達性的不再重要」。這項預測的檢視結果最為弔詭——表面上部分應驗，深層結構卻近乎完全反轉。就資訊近用與知識工作的組織型態而言，雲端運算、遠距協作與2020年之後常態化的遠距辦公，確實大幅削弱了地理鄰近性作為經濟活動組織原則的重要性。然而，就資訊基礎設施本身的政治經濟而言，地理位置非但沒有消失，反而以前所未見的強度重新浮現：運算能力（compute）與晶片製造能力，如今被視為國家戰略資產，各國圍繞先進製程晶片出口管制、資料中心選址與海底電纜路由展開的地緣政治角力，正是「運算主權」（compute sovereignty）與「資料主權」（data sovereignty）論述興起的背景；近年學界甚至以「科技集團化」（techno-bloc）描述全球資訊基礎設施沿地緣政治斷層線重新分裂的趨勢。饒富反諷意味的是，1996年原文寫作之時，撰文的筆者身處臺灣——而三十年後，正是臺灣的半導體製造能量，成為這場全球運算主權角力最關鍵的地理節點之一。「地球村」的想像沒有錯，錯的是想像其治理將因此變得無關地理；事實恰恰相反，資訊社會的公共行政，比工業社會更需要正視晶圓廠、資料中心與海纜登陸站所在的具體地理座標。</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綜合而論，Cleveland五項臆測中，僅第二項（資訊公開）在制度形式上有實質進展，但也衍生出演算法不透明的新兩難；其餘四項——參與授權、所有權過時、社會公平、地理通達性——不僅未如預期實現，甚至出現結構性的逆轉。這項歷史與制度性檢視，支持了本文核心命題一：Cleveland的推論確實犯了範疇錯誤——他把資訊的物理特性，直接等同於政治結果，卻略過了資本、國家權力與既有制度慣性這些中介變項的形塑力量。這正是Fountain（2001）「科技制訂」理論三十年後仍具高度解釋力之處：技術從不直接決定社會結果，決定結果的，是技術落入哪一套既有的制度安排。本文並不主張資訊科技毫無解放性可言，而是主張〔規範性評價〕：解放效果從來不是技術特性自動釋放的結果，而是制度安排是否選擇釋放它的結果。</w:t>
      </w:r>
    </w:p>
    <w:p>
      <w:pPr>
        <w:sectPr>
          <w:pgSz w:w="16838" w:h="11906" w:orient="landscape"/>
          <w:pgMar w:top="1417" w:right="1417" w:bottom="1417" w:left="1417" w:header="709" w:footer="709" w:gutter="0"/>
          <w:pgNumType/>
          <w:docGrid w:linePitch="360"/>
        </w:sectPr>
      </w:pPr>
    </w:p>
    <w:p>
      <w:pPr>
        <w:pStyle w:val="Heading1"/>
        <w:spacing w:after="160" w:line="360"/>
        <w:ind w:firstLine="0"/>
        <w:jc w:val="left"/>
      </w:pPr>
      <w:r>
        <w:rPr>
          <w:rFonts w:ascii="Times New Roman" w:cs="新細明體" w:eastAsia="新細明體" w:hAnsi="Times New Roman"/>
          <w:b/>
          <w:bCs/>
          <w:i w:val="false"/>
          <w:iCs w:val="false"/>
          <w:sz w:val="32"/>
          <w:szCs w:val="28"/>
        </w:rPr>
        <w:t xml:space="preserve">伍、2026年資訊社會公共行政的新議題</w:t>
      </w:r>
    </w:p>
    <w:p>
      <w:pPr>
        <w:spacing w:after="120" w:line="360" w:lineRule="auto" w:before="0"/>
        <w:ind w:firstLine="420"/>
        <w:jc w:val="both"/>
      </w:pPr>
      <w:r>
        <w:rPr>
          <w:rFonts w:ascii="Times New Roman" w:hAnsi="Times New Roman" w:eastAsia="新細明體"/>
          <w:sz w:val="24"/>
        </w:rPr>
        <w:t>舊預測檢驗到此，問題就不能停在「哪些預測錯了」。2026年的公共行政還必須處理一組原文未曾預見的新問題，本文將其整理為七項研究議題，摘要如表三。</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表三：2026年資訊社會公共行政七項新議題</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1900"/>
        <w:gridCol w:w="7126"/>
      </w:tblGrid>
      <w:tr>
        <w:trPr>
          <w:tblHeader/>
        </w:trPr>
        <w:tc>
          <w:tcPr>
            <w:tcW w:type="dxa" w:w="19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新議題</w:t>
            </w:r>
          </w:p>
        </w:tc>
        <w:tc>
          <w:tcPr>
            <w:tcW w:type="dxa" w:w="7126"/>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簡述</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一、演算法官僚與行政裁量的重構</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生成式AI可能進入公文草擬、摘要與陳情分類等工作；資格審查與資源分配則可能結合規則式自動化、預測模型或其他自動化決策系統，因而產生不同的裁量與課責問題，模糊了行政裁量權究竟由公務員或演算法實質行使的界線</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二、平台治理與規制型國家的興起</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歐盟《數位服務法》（2022年11月生效、2024年2月全面適用）與《數位市場法》（2022年11月生效、2023年5月適用）代表公共行政的規制對象，已擴及對公共資訊環境具結構性影響力的私人平台</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三、資料主權與運算地緣政治</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晶片供應鏈、資料中心區位與海纜路由成為國家安全核心議程，要求行政學者具備跨領域的技術與供應鏈素養</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四、數位落差2.0</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從能否連上網路的第一道落差，疊加能否有效運用資訊科技，以及能否被演算法系統公平對待的第二、三道落差</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五、假訊息治理與民主正當性危機</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生成式AI大幅降低偽造內容的製作成本，使資訊公開的理想必須正面迎戰資訊操弄的現實</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六、運算基礎設施的環境外部性</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資料中心與大型模型訓練所消耗的電力與水資源，使資訊治理與氣候治理兩個政策領域產生直接連動</w:t>
            </w:r>
          </w:p>
        </w:tc>
      </w:tr>
      <w:tr>
        <w:tc>
          <w:tcPr>
            <w:tcW w:type="dxa" w:w="19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七、學科建制的整合困境</w:t>
            </w:r>
          </w:p>
        </w:tc>
        <w:tc>
          <w:tcPr>
            <w:tcW w:type="dxa" w:w="71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演算法治理、平台治理、資料治理等次領域研究量暴增，卻仍缺乏足以類比Ronfeldt當年呼籲的整合性理論框架</w:t>
            </w:r>
          </w:p>
        </w:tc>
      </w:tr>
    </w:tbl>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就假訊息治理而言，生成式AI所改變的不只是內容真偽判斷的成本，而是資訊公開與民主參與所依賴的共同事實基礎。當政府公開資料、媒體報導與社群內容都可能被低成本地大量生成、仿造與重新脈絡化時，公民即使取得更多資訊，也未必因此更接近可共同檢驗的事實。由此形成一條值得公共行政研究進一步追問的制度鏈條：資訊操弄能力的下降成本，可能先削弱資訊公開的可信度，再提高公民參與中的認知協調成本，最後轉化為行政決策與民主正當性的信任問題〔待驗證假設〕。因此，假訊息治理不能只被理解為內容刪除或平台監管問題，也涉及政府如何在行政中立、言論自由、程序正義與公共資訊可信度之間建立可受監督的制度界線。</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為進一步區分不同行政用途的裁量風險，本文將生成式AI的使用情境依其對行政裁量與權利影響的程度作如下區分：</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4826"/>
      </w:tblGrid>
      <w:tr>
        <w:trPr>
          <w:tblHeader/>
        </w:trPr>
        <w:tc>
          <w:tcPr>
            <w:tcW w:type="dxa" w:w="24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行政使用情境</w:t>
            </w:r>
          </w:p>
        </w:tc>
        <w:tc>
          <w:tcPr>
            <w:tcW w:type="dxa" w:w="18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裁量侵蝕程度</w:t>
            </w:r>
          </w:p>
        </w:tc>
        <w:tc>
          <w:tcPr>
            <w:tcW w:type="dxa" w:w="4826"/>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建議人工覆核強度</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公文草擬</w:t>
            </w:r>
          </w:p>
        </w:tc>
        <w:tc>
          <w:tcPr>
            <w:tcW w:type="dxa" w:w="18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低</w:t>
            </w:r>
          </w:p>
        </w:tc>
        <w:tc>
          <w:tcPr>
            <w:tcW w:type="dxa" w:w="48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一般覆核，確認事實與法規依據</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摘要、資訊整理</w:t>
            </w:r>
          </w:p>
        </w:tc>
        <w:tc>
          <w:tcPr>
            <w:tcW w:type="dxa" w:w="18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低至中</w:t>
            </w:r>
          </w:p>
        </w:tc>
        <w:tc>
          <w:tcPr>
            <w:tcW w:type="dxa" w:w="48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必要覆核，確認遺漏與錯置</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陳情分類、排序</w:t>
            </w:r>
          </w:p>
        </w:tc>
        <w:tc>
          <w:tcPr>
            <w:tcW w:type="dxa" w:w="18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中</w:t>
            </w:r>
          </w:p>
        </w:tc>
        <w:tc>
          <w:tcPr>
            <w:tcW w:type="dxa" w:w="48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強化覆核，避免分類結果直接決定後續處置</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資格審查、資源分配建議</w:t>
            </w:r>
          </w:p>
        </w:tc>
        <w:tc>
          <w:tcPr>
            <w:tcW w:type="dxa" w:w="18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高</w:t>
            </w:r>
          </w:p>
        </w:tc>
        <w:tc>
          <w:tcPr>
            <w:tcW w:type="dxa" w:w="48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原則上要求具體人工判斷與理由記錄</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直接形成行政決定</w:t>
            </w:r>
          </w:p>
        </w:tc>
        <w:tc>
          <w:tcPr>
            <w:tcW w:type="dxa" w:w="18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極高</w:t>
            </w:r>
          </w:p>
        </w:tc>
        <w:tc>
          <w:tcPr>
            <w:tcW w:type="dxa" w:w="48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不得由AI單獨形成決定，須由具權責之公務員作成並負責</w:t>
            </w:r>
          </w:p>
        </w:tc>
      </w:tr>
    </w:tbl>
    <w:p>
      <w:pPr>
        <w:spacing w:after="120" w:before="0" w:line="360" w:lineRule="auto"/>
        <w:ind w:firstLine="420"/>
        <w:jc w:val="both"/>
      </w:pPr>
      <w:r>
        <w:rPr>
          <w:rFonts w:ascii="Times New Roman" w:hAnsi="Times New Roman" w:eastAsia="新細明體"/>
          <w:sz w:val="24"/>
        </w:rPr>
        <w:t>先看第一項議題最直接的課責問題。當生成式AI的建議在組織實務中具有高度事實拘束力，即使公務員在形式上仍保有覆核權時，行使裁量權的究竟是誰？若答案含糊，課責就無所附麗——這不是技術問題，而是組織必須明訂：AI建議在什麼情況下可以被視為決定、什麼情況下仍須經人工覆核、覆核者又要為何種錯誤負責。缺乏這道分工，「AI輔助決策」很容易成為責任持續漂移的藉口〔規範性評價〕。</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就現行法制而言，這種覆核義務並非完全沒有法律接口。《行政程序法》第43條要求行政機關斟酌全部陳述與調查事實及證據之結果，並將決定及理由告知當事人；若AI建議已實質影響重要事實認定，則不能僅以「系統建議」取代行政機關本身的事實認定與理由形成。另一方面，《國家賠償法》第2條所建立的國家賠償責任，仍以公務員執行職務行使公權力時之故意或過失不法侵害為核心，因此AI的介入並不當然切斷公務員或機關的責任鏈。更進一步，立法院於114年12月23日三讀通過、115年1月14日總統公布並自公布日施行之《人工智慧基本法》，其第16條要求數位發展部參考國際標準推動風險分類框架、各目的事業主管機關訂定以風險為基礎之管理規範，第17條要求政府就高風險人工智慧之應用明確責任歸屬及歸責條件、並建立救濟與補償機制，第19條要求政府使用AI執行業務或提供服務時應進行風險評估、規劃風險因應措施並訂定使用規範或內控管理機制。據此，本文所稱「高度事實拘束力」可暫以「AI輸出若對重要事實認定、資格判斷或資源分配具有實質影響，機關仍須保留可追溯的人工覆核與理由形成」作為制度研究的工作定義；至於是否構成行政處分中的重要事實認定，仍應依具體法規與個案程序判斷，而不宜預先一概而論。</w:t>
      </w:r>
    </w:p>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為使「責任漂移」從抽象批判轉為可研究的制度設計問題，本文建議以以下責任主體分工作為分析起點：</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表五：AI輔助行政決策的責任主體與主要責任分工</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rPr>
          <w:tblHeader/>
        </w:trPr>
        <w:tc>
          <w:tcPr>
            <w:tcW w:type="dxa" w:w="24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責任主體</w:t>
            </w:r>
          </w:p>
        </w:tc>
        <w:tc>
          <w:tcPr>
            <w:tcW w:type="dxa" w:w="6626"/>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主要責任</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系統開發者</w:t>
            </w:r>
          </w:p>
        </w:tc>
        <w:tc>
          <w:tcPr>
            <w:tcW w:type="dxa" w:w="66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模型設計、訓練資料與技術測試</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採購機關</w:t>
            </w:r>
          </w:p>
        </w:tc>
        <w:tc>
          <w:tcPr>
            <w:tcW w:type="dxa" w:w="66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需求規格、風險評估與契約管理</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機關主管</w:t>
            </w:r>
          </w:p>
        </w:tc>
        <w:tc>
          <w:tcPr>
            <w:tcW w:type="dxa" w:w="66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部署決策、內部控制與監督</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第一線公務員</w:t>
            </w:r>
          </w:p>
        </w:tc>
        <w:tc>
          <w:tcPr>
            <w:tcW w:type="dxa" w:w="66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個案判斷、人工覆核與理由說明</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廠商</w:t>
            </w:r>
          </w:p>
        </w:tc>
        <w:tc>
          <w:tcPr>
            <w:tcW w:type="dxa" w:w="66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系統品質、資安與資訊揭露</w:t>
            </w:r>
          </w:p>
        </w:tc>
      </w:tr>
      <w:tr>
        <w:tc>
          <w:tcPr>
            <w:tcW w:type="dxa" w:w="24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監督機關</w:t>
            </w:r>
          </w:p>
        </w:tc>
        <w:tc>
          <w:tcPr>
            <w:tcW w:type="dxa" w:w="662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稽核、申訴、救濟與外部課責</w:t>
            </w:r>
          </w:p>
        </w:tc>
      </w:tr>
    </w:tbl>
    <w:p>
      <w:pPr>
        <w:spacing w:after="120" w:before="0" w:line="360" w:lineRule="auto"/>
        <w:ind w:firstLine="420"/>
        <w:jc w:val="both"/>
      </w:pPr>
      <w:r>
        <w:rPr>
          <w:rFonts w:ascii="Times New Roman" w:cs="新細明體" w:eastAsia="新細明體" w:hAnsi="Times New Roman"/>
          <w:b w:val="false"/>
          <w:bCs w:val="false"/>
          <w:i w:val="false"/>
          <w:iCs w:val="false"/>
          <w:sz w:val="24"/>
          <w:szCs w:val="24"/>
        </w:rPr>
        <w:t xml:space="preserve">此外，文中所稱「演算法黑箱」可進一步拆分為四類，以避免籠統討論：（1）技術不可理解（模型本身難以完全解釋）；（2）商業機密限制揭露；（3）行政機關無法掌握外包系統的內部邏輯；（4）資料來源與決策規則未被適當記錄。公共行政回應的重點，並非要求揭露全部技術細節，而是建立足以支持理解、質疑與救濟的最低揭露標準。至少應包括：（1）系統目的、適用範圍與使用情境；（2）風險分類及主要限制；（3）訓練或輸入資料的來源類型、品質限制與重要偏誤風險；（4）影響決定的主要因素、決策理由與人工覆核方式；（5）版本、異常事件與稽核紀錄。此一最低清單可與模型卡、資料卡及採購契約中的稽核條款相互銜接，而不要求公開足以造成資安、商業機密或模型濫用風險的全部技術細節。</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AI促進公平與課責的正向條件與反例</w:t>
      </w:r>
    </w:p>
    <w:p>
      <w:pPr>
        <w:spacing w:after="120" w:line="360" w:lineRule="auto" w:before="0"/>
        <w:ind w:firstLine="420"/>
        <w:jc w:val="both"/>
      </w:pPr>
      <w:r>
        <w:rPr>
          <w:rFonts w:ascii="Times New Roman" w:hAnsi="Times New Roman" w:eastAsia="新細明體"/>
          <w:sz w:val="24"/>
        </w:rPr>
        <w:t>本文以上各節較集中討論平台集中、演算法黑箱與數位落差等負面案例，容易使讀者將本文理解為單向的技術悲觀論。但這裡仍需保留一個反例。現有文獻顯示，AI在特定制度條件下確實可能提升公平與課責；並強調這些條件本身，才是本文核心命題一（制度中介決定技術效果）的正面例證，而非對命題一的反駁。</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其一，公開演算法登記冊（algorithm register）之實踐：荷蘭阿姆斯特丹市與芬蘭赫爾辛基市自2020年起建立公開之政府AI系統登記冊，逐一列出各系統之使用目的、資料來源、風險分類與負責單位，並開放民眾檢視（Amsterdam and Helsinki, cited in OECD.AI policy observatory; Cities for Digital Rights, n.d.）。此一實踐顯示，「透明」若被拆解為制度化的登記與定期更新義務，而非僅仰賴事後究責，確實可能提升認知性課責的制度基礎；惟此類登記冊對「實際降低偏誤或提升申訴成功率」之因果效果，現有公開資料尚未提供長期追蹤之量化證據，本文將其列為〔待驗證假設〕，而非已證實之成效。</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其二，公民科技與監督團體之制衡角色：以AlgorithmWatch等歐洲公民科技組織為代表的第三方監督機制，透過獨立稽核、資訊請求與公開報告，對政府與平台之演算法系統形成外部監督壓力，是本文伍節（一）所稱「受影響者能動性」之具體實踐形式。此類組織之存在，顯示課責能力並非只能仰賴政府自我要求，亦可能來自公民社會之組織化監督，惟其實際政策影響力隨各國言論環境與資訊公開法制成熟度而異，不宜一概而論。</w:t>
      </w:r>
    </w:p>
    <w:p>
      <w:pPr>
        <w:spacing w:after="120" w:line="360" w:lineRule="auto" w:before="0"/>
        <w:ind w:firstLine="420"/>
        <w:jc w:val="both"/>
      </w:pPr>
      <w:r>
        <w:rPr>
          <w:rFonts w:ascii="Times New Roman" w:hAnsi="Times New Roman" w:eastAsia="新細明體"/>
          <w:sz w:val="24"/>
        </w:rPr>
        <w:t>其三，何種人工覆核制度較可能降低偏誤：本文伍節（一）已建議之責任分工表若能落實「拒絕權」「完整理由揭示」與「定期稽核AI建議與最終決定之差異」三項制度設計，理論上較可能形成「實質人工覆核」而非「形式背書」；此一推論與公共行政組織理論中對第一線公務員（street-level bureaucrats）裁量行為之既有研究方向一致，但本文尚未取得臺灣或特定個案之系統性實證資料以直接檢驗此一推論，仍屬〔待驗證假設〕。</w:t>
      </w:r>
    </w:p>
    <w:p>
      <w:pPr>
        <w:spacing w:after="120" w:line="360" w:lineRule="auto" w:before="0"/>
        <w:ind w:firstLine="420"/>
        <w:jc w:val="both"/>
      </w:pPr>
      <w:r>
        <w:rPr>
          <w:rFonts w:ascii="Times New Roman" w:hAnsi="Times New Roman" w:eastAsia="新細明體"/>
          <w:sz w:val="24"/>
        </w:rPr>
        <w:t>這些反例不是要推翻肆、伍兩節的整體判斷（即多數領域仍呈現權力集中而非分散之趨勢），而在於指出：條件式的制度設計——包括登記冊、外部監督與具實質拒絕權之人工覆核——確實可能改變技術落入制度後的效果方向，這正是本文核心命題一之應用，而非例外。</w:t>
      </w:r>
    </w:p>
    <w:p>
      <w:pPr>
        <w:spacing w:after="120" w:before="0" w:line="360" w:lineRule="auto"/>
        <w:ind w:firstLine="420"/>
        <w:jc w:val="both"/>
      </w:pPr>
      <w:r>
        <w:rPr>
          <w:rFonts w:ascii="Times New Roman" w:hAnsi="Times New Roman" w:eastAsia="新細明體"/>
          <w:sz w:val="24"/>
        </w:rPr>
        <w:t>另一個原文完全未曾預見的問題，是第六項議題：運算基礎設施的環境外部性。資料中心與大型語言模型訓練所消耗的電力與水資源，已使「資訊社會」與「氣候治理」這兩個原本被視為互不相干的政策領域產生直接連動。公共行政學界過去多將能源與環境政策視為獨立的政策部門處理；資訊社會公共行政若要正視運算基礎設施的選址、能源採購與水資源分配爭議，勢必得將環境治理正式納入其核心議程——這也是本文與1996年原文相比，視野必須擴張最多的一個面向。</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陸、未來研究議程路徑圖</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三十年前，筆者曾借用Caiden（1994）對行政國家本質的二十五種研究視角，逐一叩問資訊社會將對每一種視角帶來何種挑戰，並呼籲建立資訊社會公共行政的理論架構。這項呼籲三十年來並未完全落空，卻也從未真正完成——如本文參節所述，缺的不是研究議程，而是議程與負責主體之間的對應關係。表四嘗試把本文肆、伍兩節指出的問題，轉譯為具體的研究方向、核心待答問題、建議負責或推動主體，以及概略的時間尺度，取代單純的呼籲。</w:t>
      </w:r>
    </w:p>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表四：資訊社會公共行政未來研究議程路徑圖</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1650"/>
        <w:gridCol w:w="2100"/>
        <w:gridCol w:w="1500"/>
        <w:gridCol w:w="1200"/>
        <w:gridCol w:w="2576"/>
      </w:tblGrid>
      <w:tr>
        <w:trPr>
          <w:tblHeader/>
        </w:trPr>
        <w:tc>
          <w:tcPr>
            <w:tcW w:type="dxa" w:w="165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研究方向</w:t>
            </w:r>
          </w:p>
        </w:tc>
        <w:tc>
          <w:tcPr>
            <w:tcW w:type="dxa" w:w="21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核心待答問題</w:t>
            </w:r>
          </w:p>
        </w:tc>
        <w:tc>
          <w:tcPr>
            <w:tcW w:type="dxa" w:w="15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建議負責／推動主體</w:t>
            </w:r>
          </w:p>
        </w:tc>
        <w:tc>
          <w:tcPr>
            <w:tcW w:type="dxa" w:w="1200"/>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時間尺度</w:t>
            </w:r>
          </w:p>
        </w:tc>
        <w:tc>
          <w:tcPr>
            <w:tcW w:type="dxa" w:w="2576"/>
            <w:shd w:fill="1F3864" w:val="clear"/>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bCs/>
                <w:color w:val="FFFFFF"/>
                <w:sz w:val="19"/>
                <w:szCs w:val="19"/>
              </w:rPr>
              <w:t xml:space="preserve">可能制度阻力／現有缺口</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制度分析典範轉移</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以「科技制訂」取徑取代線性技術決定論，建立資訊科技在特定組織與法規脈絡中如何被形塑的實證研究方法</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各大學公共行政研究所、國科會人文司</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短期至中期（1–3年，視課程調整與研究誘因逐步納入）</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學科分工與績效導向可能抑制跨領域方法整合，並需配合課程調整與研究計畫誘因</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演算法官僚課責機制</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AI建議在何種情況下應被視為決定？覆核者的責任邊界為何？</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各部會法制單位、監察院</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短期至中期（3–5年內訂定具體行政規則）</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法規責任、採購契約、供應商責任與第一線公務員覆核義務尚待明確化</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平台治理與規制型國家理論</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公共行政學應如何界定並研究「規制準公共基礎設施」的私人平台？</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數位發展部、跨校研究團隊</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中期（5–8年）</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跨境管轄、資訊不對稱與監管能力不足，可能形成規制落差</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資料主權與運算地緣政治的行政能力</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行政人員與政策分析者應具備何種晶片供應鏈與雲端市場結構知識？</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國家文官學院、經濟與外交主管機關</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中期（5–8年）</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行政人員的技術素養、供應鏈知識與跨部門協調能力仍不足；相關機關之間的資訊共享與權責界面亦待制度化</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數位落差2.0的量測與矯正</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如何超越「近用率」，發展演算法素養與公平對待的測量指標？</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數位發展部、學界與民間監督團體協力</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短期至中期</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近用率之外的公平指標尚未制度化，資料取得與演算法評估能力亦有限</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假訊息治理與行政中立</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政府在對抗假訊息與維護言論自由之間，行政程序的界線何在？</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中選會、NCC、學界</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持續性，優先度隨選舉週期升高</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行政中立、言論自由與平台治理之間存在權責邊界爭議</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運算基礎設施的環境治理</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資料中心選址、能源與水資源分配決策，應納入何種環評與公民參與機制？</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環境部、地方政府、能源主管機關</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中期（5–8年）</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資料中心選址涉及能源、水資源、地方利益與國家安全，政策目標可能衝突</w:t>
            </w:r>
          </w:p>
        </w:tc>
      </w:tr>
      <w:tr>
        <w:tc>
          <w:tcPr>
            <w:tcW w:type="dxa" w:w="165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學科整合建制</w:t>
            </w:r>
          </w:p>
        </w:tc>
        <w:tc>
          <w:tcPr>
            <w:tcW w:type="dxa" w:w="21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是否需要類似Ronfeldt當年呼籲的整合性次領域，統合演算法治理、平台治理與資料治理研究？</w:t>
            </w:r>
          </w:p>
        </w:tc>
        <w:tc>
          <w:tcPr>
            <w:tcW w:type="dxa" w:w="15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學門召集人、學會、期刊編輯社群</w:t>
            </w:r>
          </w:p>
        </w:tc>
        <w:tc>
          <w:tcPr>
            <w:tcW w:type="dxa" w:w="1200"/>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長期（10年內檢視是否達成整合）</w:t>
            </w:r>
          </w:p>
        </w:tc>
        <w:tc>
          <w:tcPr>
            <w:tcW w:type="dxa" w:w="2576"/>
            <w:tcMar>
              <w:top w:type="dxa" w:w="80"/>
              <w:left w:type="dxa" w:w="100"/>
              <w:bottom w:type="dxa" w:w="80"/>
              <w:right w:type="dxa" w:w="100"/>
            </w:tcMar>
            <w:vAlign w:val="cente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p>
            <w:pPr>
              <w:spacing w:after="40" w:line="252" w:lineRule="auto"/>
              <w:ind w:firstLine="0"/>
              <w:jc w:val="left"/>
            </w:pPr>
            <w:r>
              <w:rPr>
                <w:rFonts w:ascii="Times New Roman" w:cs="新細明體" w:eastAsia="新細明體" w:hAnsi="Times New Roman"/>
                <w:b w:val="0"/>
                <w:bCs w:val="false"/>
                <w:sz w:val="19"/>
                <w:szCs w:val="19"/>
              </w:rPr>
              <w:t xml:space="preserve">期刊專業化、研究計畫分流與學術績效制度可能持續造成次領域碎片化</w:t>
            </w:r>
          </w:p>
        </w:tc>
      </w:tr>
    </w:tbl>
    <w:p>
      <w:pPr>
        <w:spacing w:after="120" w:before="120" w:line="360" w:lineRule="auto"/>
        <w:ind w:firstLine="0"/>
        <w:jc w:val="center"/>
      </w:pPr>
      <w:r>
        <w:rPr>
          <w:rFonts w:ascii="Times New Roman" w:cs="新細明體" w:eastAsia="新細明體" w:hAnsi="Times New Roman"/>
          <w:b/>
          <w:bCs/>
          <w:i w:val="false"/>
          <w:iCs w:val="false"/>
          <w:sz w:val="22"/>
          <w:szCs w:val="24"/>
        </w:rPr>
        <w:t xml:space="preserve">表四不是預測，而是分工。這張路徑圖本身，也應該在若干年後被重新檢驗——但檢驗的標準應該是具體的：每一列所列的負責主體，是否真的被要求交出對應的成果？若十年後，公共行政學界對演算法治理、平台治理與資料治理的研究，依然如本文參節所述彼此隔絕、不相往來，那麼問題就不再是次領域尚未成熟，而是這個學科的建制本身，未能完成三十年前就已提出、此刻又再度提出的整合任務。</w:t>
      </w:r>
    </w:p>
    <w:p>
      <w:pPr>
        <w:pStyle w:val="Heading1"/>
        <w:spacing w:after="160" w:line="360"/>
        <w:ind w:firstLine="0"/>
        <w:jc w:val="left"/>
      </w:pPr>
      <w:r>
        <w:rPr>
          <w:rFonts w:ascii="Times New Roman" w:cs="新細明體" w:eastAsia="新細明體" w:hAnsi="Times New Roman"/>
          <w:b/>
          <w:bCs/>
          <w:i w:val="false"/>
          <w:iCs w:val="false"/>
          <w:sz w:val="32"/>
          <w:szCs w:val="28"/>
        </w:rPr>
        <w:t xml:space="preserve">柒、結語：從預測資訊社會到檢驗制度中介</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三十年後重新閱讀1996年的問題，最值得留下的並不是一張「哪些預測正確、哪些預測錯誤」的成績單，而是對預測方法本身的重新檢討。Cleveland五項臆測之所以多數落空，並非資訊科技沒有改變公共行政，而是技術變遷與政治結果之間從來存在制度、資本、組織與國家權力等中介。資訊公開可以被制度化，但也可能轉化為新的演算法黑箱；網絡可以擴大參與，也可能把資訊基礎設施集中於少數平台；遠距技術可以削弱日常活動的地理限制，卻可能同時提高晶片、資料中心與海纜的地緣政治重要性。因此，2026年公共行政研究真正需要超越的，不只是1990年代的技術決定論，而是任何把技術能力直接等同於治理結果的線性推論。本文提出的七項新議題與研究路徑圖，因而不是對未來的預言，而是一組可被制度實踐與後續研究重新檢驗的問題。若十年後這些問題仍被分散在演算法治理、平台治理、資料治理與環境治理等彼此封閉的次領域中，那麼真正需要重新檢討的，就不只是技術，而是公共行政學自身的知識建制。</w:t>
      </w:r>
    </w:p>
    <w:p>
      <w:pPr>
        <w:pStyle w:val="Heading2"/>
        <w:spacing w:after="160" w:before="200" w:line="360"/>
        <w:ind w:firstLine="0"/>
        <w:jc w:val="left"/>
      </w:pPr>
      <w:r>
        <w:rPr>
          <w:rFonts w:ascii="Times New Roman" w:cs="新細明體" w:eastAsia="新細明體" w:hAnsi="Times New Roman"/>
          <w:b/>
          <w:bCs/>
          <w:i w:val="false"/>
          <w:iCs w:val="false"/>
          <w:sz w:val="28"/>
          <w:szCs w:val="24"/>
        </w:rPr>
        <w:t xml:space="preserve">研究限制</w:t>
      </w:r>
    </w:p>
    <w:p>
      <w:pPr>
        <w:spacing w:after="120" w:line="360" w:lineRule="auto" w:before="0"/>
        <w:ind w:firstLine="420"/>
        <w:jc w:val="both"/>
      </w:pPr>
      <w:r>
        <w:rPr>
          <w:rFonts w:ascii="Times New Roman" w:cs="新細明體" w:eastAsia="新細明體" w:hAnsi="Times New Roman"/>
          <w:b w:val="false"/>
          <w:bCs w:val="false"/>
          <w:i w:val="false"/>
          <w:iCs w:val="false"/>
          <w:sz w:val="24"/>
          <w:szCs w:val="24"/>
        </w:rPr>
        <w:t xml:space="preserve">本文的「三十年後歷史與制度性檢視」主要建立在歷史比較、文獻與制度對照，而非統計因果識別；因此，文中對五項預測的評估應理解為理論性與制度性的初步檢視。後續研究仍需以跨國資料、政策個案與長期實證研究進一步檢驗本文提出的中介機制。本文伍節新增之「正向條件與反例」討論，其因果效果同樣尚未經量化檢驗，讀者宜將其理解為條件式命題而非已證實之政策成效。</w:t>
      </w:r>
    </w:p>
    <w:p>
      <w:pPr>
        <w:pStyle w:val="Heading2"/>
        <w:spacing w:after="160" w:line="360"/>
        <w:ind w:firstLine="0"/>
        <w:jc w:val="left"/>
      </w:pPr>
      <w:r>
        <w:rPr>
          <w:rFonts w:ascii="Times New Roman" w:cs="新細明體" w:eastAsia="新細明體" w:hAnsi="Times New Roman"/>
          <w:b/>
          <w:bCs/>
          <w:i w:val="false"/>
          <w:iCs w:val="false"/>
          <w:sz w:val="28"/>
          <w:szCs w:val="26"/>
        </w:rPr>
        <w:t xml:space="preserve">參考文獻</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朱斌妤（2022）。〈「數位治理與公共政策」專刊序〉。《政治科學論叢》，第94期。</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法務部（2019）。《國家賠償法》。</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法務部（2021）。《行政程序法》。</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袁浩哲（2024）。〈從傳統政府、電子治理到數位治理：臺灣電子化政府政策的回顧與展望〉。《科際整合月刊》，9(9)，頁42-68。</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國家科學及技術委員會（2026）。《人工智慧基本法》。114年12月23日立法院三讀通過，115年1月14日總統華總一義字第11500001671號令公布，自公布日施行。</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廖興中（2024）。〈人工智慧在公共行政的機會與挑戰〉。《文官制度》，第16卷第2期，頁1-19。</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歐洲聯盟（European Union）（2022, 2024）。《數位服務法》（Digital Services Act，2022年11月生效、2024年2月全面適用）與《數位市場法》（Digital Markets Act，2022年11月生效、2023年5月適用）。Brussels: European Commission。</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盧建旭（1996）。〈資訊社會中公共行政的新議題〉。《政治科學論叢》，第七期，頁231-256。</w:t>
      </w:r>
    </w:p>
    <w:p>
      <w:pPr>
        <w:spacing w:after="80" w:line="276" w:lineRule="auto" w:before="0"/>
        <w:ind w:left="420" w:hanging="420"/>
        <w:jc w:val="left"/>
      </w:pPr>
      <w:r>
        <w:rPr>
          <w:rFonts w:ascii="Times New Roman" w:cs="新細明體" w:eastAsia="新細明體" w:hAnsi="Times New Roman"/>
          <w:b w:val="false"/>
          <w:bCs w:val="false"/>
          <w:i w:val="false"/>
          <w:iCs w:val="false"/>
          <w:sz w:val="22"/>
          <w:szCs w:val="24"/>
        </w:rPr>
        <w:t xml:space="preserve">黃東益、李仲彬（2010）。〈電子治理與民眾對政府信任：台灣的個案分析〉。《行政暨政策學報》，第51期，頁77-124。</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Amsterdam Algorithm Register; Helsinki AI Register. Cited via OECD.AI Policy Observatory and Cities for Digital Rights (n.d.), "AI as Public Service: Accountability &amp; AI-Registers." 〔本文轉引自政策觀測網頁整理，未直接取得原始登記冊之完整量化評估資料，見七節研究限制。〕</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Bell, Daniel (1973). The Coming of Post-Industrial Society: A Venture in Social Forecasting. New York: Basic Books.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Bingham, R.D., &amp; W.M. Bowen (1994). "'Mainstream' Public Administration Over Time: A Topical Content Analysis of Public Administration Review." Public Administration Review, Vol.54, No.2, pp.204-208.</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Burke, C.G. (1989). "Themes From the History of American Public Administration: Rethinking Our Past." In J. Rabin et al. (eds.), Handbook of Public Administration, pp.43-103. New York: Marcel Dekker.</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Caiden, G.E. (1994). "Getting at the Essence of the Administrative State." In A. Farazmand (ed.), Handbook of Bureaucracy, pp.29-40. New York: Marcel Dekker.</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Castells, Manuel (1996). The Rise of the Network Society. Oxford: Blackwell.</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Cleveland, Harlan (1985). "The Twilight of Hierarchy: Speculations on the Global Information Society." Public Administration Review, Vol.45, No.1, pp.185-195.</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Crawford, Kate (2021). Atlas of AI: Power, Politics, and the Planetary Costs of Artificial Intelligence. New Haven: Yale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Denhardt, R. (1990). "Public Administration Theory: The State of the Discipline." In N.B. Lynn &amp; A. Wildavsky (eds.), Public Administration: The State of the Discipline, pp.43-72. NJ: Chatham House.</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Dunleavy, Patrick, &amp; Helen Margetts (2010). "The Second Wave of Digital Era Governance." Paper presented at the American Political Science Association Annual Meeting; LSE Research Online.</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Dunleavy, Patrick, &amp; Helen Margetts (2023/2025). "Data Science, Artificial Intelligence and the Third Wave of Digital Era Governance." LSE Research Online / Sage Journals.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Dunleavy, Patrick, Helen Margetts, Simon Bastow, &amp; Jane Tinkler (2006). Digital Era Governance: IT Corporations, the State, and e-Government. Oxford: Oxford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Forester, Tom (1992). "Megatrends or Megamistakes? What Ever Happened to the Information Society?" Information Society, Vol.8, pp.133-146.</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Forester, Tom (ed.) (1985). The Information Technology Revolution. Cambridge, MA: The MIT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Fountain, Jane E. (2001). Building the Virtual State: Information Technology and Institutional Change. Washington, D.C.: Brookings Institution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Lundquist, L. (1985). "From Order to Chaos: Recent Trends in the Study of Public Administration." In Jan-Erik Lane (ed.), State &amp; Market: The Politics of the Public &amp; the Private, pp.201-230. CA: Sage.</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Masuda, Yoneji (1981). The Information Society as a Post-Industrial Society. Washington, D.C.: World Future Society.</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Masuda, Yoneji (1994). Managing in the Information Society: Releasing Synergy Japanese Style. Oxford: Blackwell.</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OECD (2024). Governing with Artificial Intelligence: Are Governments Ready? Paris: OECD Publishing.</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Pasquale, Frank (2015). The Black Box Society: The Secret Algorithms That Control Money and Information. Cambridge, MA: Harvard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Ronfeldt, D. (1992). "Cyberocracy Is Coming." Information Society, Vol.8, pp.243-296.</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Roszak, Theodore (1986). The Cult of Information: The Folklore of Computers and the True Art of Thinking. Cambridge, England: Lutterworth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U.S. Congress, 119th (2025)（法案提案，S.2164；未作為已生效法律引用）. Algorithmic Accountability Act of 2025, S.2164.</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U.S. Government Accountability Office (GAO) (2025)（聯邦政府報告）. Artificial Intelligence: Generative AI Use and Management at Federal Agencies. GAO-25-107653. Washington, D.C.: GAO.</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van Dijck, José, Thomas Poell, &amp; Martijn de Waal (2018). The Platform Society: Public Values in a Connective World. New York: Oxford University Press.</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Varoufakis, Yanis (2023). Technofeudalism: What Killed Capitalism. London: The Bodley Head.</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Webster, Frank (1994). "What Information Society?" Information Society, Vol.10, pp.1-23.</w:t>
      </w:r>
    </w:p>
    <w:p>
      <w:pPr>
        <w:spacing w:after="80" w:line="276" w:lineRule="auto" w:before="0"/>
        <w:ind w:left="420" w:hanging="420"/>
        <w:jc w:val="left"/>
      </w:pPr>
      <w:r>
        <w:rPr>
          <w:rFonts w:ascii="Times New Roman" w:cs="新細明體" w:eastAsia="新細明體" w:hAnsi="Times New Roman"/>
          <w:b w:val="false"/>
          <w:bCs w:val="false"/>
          <w:i/>
          <w:iCs/>
          <w:sz w:val="22"/>
          <w:szCs w:val="24"/>
        </w:rPr>
        <w:t xml:space="preserve">Zuboff, Shoshana (2019). The Age of Surveillance Capitalism: The Fight for a Human Future at the New Frontier of Power. New York: PublicAffairs.</w:t>
      </w:r>
    </w:p>
    <w:sectPr>
      <w:pgSz w:w="11906" w:h="16838" w:orient="portrait"/>
      <w:pgMar w:top="1417" w:right="1417" w:bottom="1417" w:left="1417" w:header="709" w:footer="709"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Times New Roman" w:hAnsi="Times New Roman" w:eastAsia="新細明體"/>
        <w:sz w:val="20"/>
      </w:rPr>
      <w:fldChar w:fldCharType="begin"/>
      <w:instrText xml:space="preserve"> PAGE </w:instrText>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新細明體" w:cs="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240" w:after="120"/>
    </w:pPr>
    <w:rPr>
      <w:rFonts w:ascii="Times New Roman" w:hAnsi="Times New Roman" w:eastAsia="新細明體"/>
      <w:b/>
      <w:color w:val="2E74B5"/>
      <w:sz w:val="32"/>
      <w:szCs w:val="32"/>
    </w:rPr>
  </w:style>
  <w:style w:type="paragraph" w:styleId="Heading2">
    <w:name w:val="Heading 2"/>
    <w:basedOn w:val="Normal"/>
    <w:next w:val="Normal"/>
    <w:qFormat/>
    <w:pPr>
      <w:keepNext/>
      <w:spacing w:before="160" w:after="120"/>
    </w:pPr>
    <w:rPr>
      <w:rFonts w:ascii="Times New Roman" w:hAnsi="Times New Roman" w:eastAsia="新細明體"/>
      <w:b/>
      <w:color w:val="2E74B5"/>
      <w:sz w:val="28"/>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962ede93ebad95d86c5b602c16a60a87928edef.png"/><Relationship Id="rId8" Type="http://schemas.openxmlformats.org/officeDocument/2006/relationships/fontTable" Target="fontTable.xml"/><Relationship Id="rId9"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2026-08-23T18:13:09.620Z</dcterms:created>
  <dcterms:modified xsi:type="dcterms:W3CDTF">2026-08-23T18:13:09.640Z</dcterms:modified>
</cp:coreProperties>
</file>

<file path=docProps/custom.xml><?xml version="1.0" encoding="utf-8"?>
<Properties xmlns="http://schemas.openxmlformats.org/officeDocument/2006/custom-properties" xmlns:vt="http://schemas.openxmlformats.org/officeDocument/2006/docPropsVTypes"/>
</file>