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Noto Sans CJK TC" w:cs="Noto Sans CJK TC" w:eastAsia="Noto Sans CJK TC" w:hAnsi="Noto Sans CJK TC"/>
          <w:b/>
          <w:bCs/>
          <w:i w:val="false"/>
          <w:iCs w:val="false"/>
          <w:color w:val="1A365D"/>
          <w:sz w:val="34"/>
          <w:szCs w:val="34"/>
        </w:rPr>
        <w:t xml:space="preserve">規範何以轉換？</w:t>
      </w:r>
    </w:p>
    <w:p>
      <w:pPr>
        <w:spacing w:after="300" w:before="0"/>
        <w:jc w:val="center"/>
      </w:pPr>
      <w:r>
        <w:rPr>
          <w:rFonts w:ascii="Noto Sans CJK TC" w:cs="Noto Sans CJK TC" w:eastAsia="Noto Sans CJK TC" w:hAnsi="Noto Sans CJK TC"/>
          <w:b/>
          <w:bCs/>
          <w:i w:val="false"/>
          <w:iCs w:val="false"/>
          <w:color w:val="2C5282"/>
          <w:sz w:val="26"/>
          <w:szCs w:val="26"/>
        </w:rPr>
        <w:t xml:space="preserve">人工智慧行政中技術選擇轉化為公共規範的條件</w:t>
      </w:r>
    </w:p>
    <w:p>
      <w:pPr>
        <w:spacing w:after="20" w:before="0"/>
        <w:jc w:val="center"/>
      </w:pPr>
      <w:r>
        <w:rPr>
          <w:rFonts w:ascii="Times New Roman" w:cs="Times New Roman" w:eastAsia="Times New Roman" w:hAnsi="Times New Roman"/>
          <w:b w:val="false"/>
          <w:bCs w:val="false"/>
          <w:i/>
          <w:iCs/>
          <w:color w:val="4A5568"/>
          <w:sz w:val="22"/>
          <w:szCs w:val="22"/>
        </w:rPr>
        <w:t xml:space="preserve">When Does Technology Become Norm?</w:t>
      </w:r>
    </w:p>
    <w:p>
      <w:pPr>
        <w:spacing w:after="300" w:before="0"/>
        <w:jc w:val="center"/>
      </w:pPr>
      <w:r>
        <w:rPr>
          <w:rFonts w:ascii="Times New Roman" w:cs="Times New Roman" w:eastAsia="Times New Roman" w:hAnsi="Times New Roman"/>
          <w:b w:val="false"/>
          <w:bCs w:val="false"/>
          <w:i/>
          <w:iCs/>
          <w:color w:val="4A5568"/>
          <w:sz w:val="22"/>
          <w:szCs w:val="22"/>
        </w:rPr>
        <w:t xml:space="preserve">Conditions for the Transformation of Technical Choices into Public Norms in AI-Mediated Administration</w:t>
      </w:r>
    </w:p>
    <w:p>
      <w:pPr>
        <w:pBdr>
          <w:left w:val="single" w:color="1A365D" w:sz="18" w:space="10"/>
        </w:pBdr>
        <w:spacing w:after="140" w:before="0"/>
        <w:ind w:left="200"/>
      </w:pPr>
      <w:r>
        <w:rPr>
          <w:rFonts w:ascii="Noto Sans CJK TC" w:cs="Noto Sans CJK TC" w:eastAsia="Noto Sans CJK TC" w:hAnsi="Noto Sans CJK TC"/>
          <w:b/>
          <w:bCs/>
          <w:i w:val="false"/>
          <w:iCs w:val="false"/>
          <w:color w:val="1A365D"/>
          <w:sz w:val="22"/>
          <w:szCs w:val="22"/>
        </w:rPr>
        <w:t xml:space="preserve">文章定位</w:t>
      </w:r>
    </w:p>
    <w:p>
      <w:pPr>
        <w:pBdr>
          <w:left w:val="single" w:color="1A365D" w:sz="18" w:space="10"/>
        </w:pBdr>
        <w:spacing w:after="300" w:before="60" w:line="320"/>
        <w:ind w:left="200"/>
        <w:jc w:val="both"/>
      </w:pPr>
      <w:r>
        <w:rPr>
          <w:rFonts w:ascii="Noto Serif CJK TC" w:cs="Noto Serif CJK TC" w:eastAsia="Noto Serif CJK TC" w:hAnsi="Noto Serif CJK TC"/>
          <w:b w:val="false"/>
          <w:bCs w:val="false"/>
          <w:i w:val="false"/>
          <w:iCs w:val="false"/>
          <w:color w:val="2D3748"/>
          <w:sz w:val="21"/>
          <w:szCs w:val="21"/>
        </w:rPr>
        <w:t xml:space="preserve">本文（編號 035）是作者「030～035系列」的第四篇，性質為純理論深化，不涉及案例、外部理論文獻對話或跨國比較。GDA 模型（生成—裁量—權威模型，首次提出於作者前作、工作稿編號 030）在規範轉換這一構面上，主張價值條件、理由條件、例外條件、責任條件四者「同時」出現疑義時，即有理由懷疑公共權威已發生實質外部化——這組判準最早由〈不可外包的行政〉（工作稿編號 029）援引美國 nondelegation doctrine 與德國 Wesentlichkeitstheorie（重要性理論）等比較法資源提出，其後為 030、031、032、033 反覆引用，卻始終停留在「四條件同時出現疑義」這一描述性、複合式的判準，未被追問「四條件如何組合判定」「是否有先後、輕重之分」。本文的任務，即是把這個描述性菱形，往下深挖一層，轉化為真正可操作的判準：本文採用五項操作化設計——其一，把「技術→行政→政策→規範」光譜寫成可定位的分析背景，而非四個互斥類別；其二，把價值條件定為門檻、其餘三項定為安全閥，並訂出中度狀態與邊界情形的判定規則；其三，提供可供 031 個案編碼直接使用的五步編碼程序與觀察問題，並整理出一組可轉譯為法律文本逐條審查問題的清單；其四，釐清規範轉換與 UCPR、裁量場的分工，避免把風險診斷誤寫成制度能力評估；其五，把六項命題改寫為附有觀察指標與優先驗證順序的檢驗清單。這與 031「有真實個案、走實證路線」正好相反，也與 032「與國際理論橫向對話」、033「對 GDA 模型自身的縱向盤點」的定位不同：本文是系列中唯一一篇純粹在既有理論演繹基礎上再往下推演一層的文章。034 已完成臺灣、歐盟、加拿大三制度之比較法文本審計，其審計對象是現行法律文本，本文提供的則是尚待文本或個案資料填入的理論判準與操作化工具，捌章所整理之審查問題與 034 之逐條審計方法相互呼應，二者各自獨立完成，讀者可交互參照，不宜互相取代。</w:t>
      </w:r>
    </w:p>
    <w:p>
      <w:pPr>
        <w:pStyle w:val="Heading2"/>
        <w:spacing w:after="140" w:before="280" w:line="340"/>
      </w:pPr>
      <w:r>
        <w:rPr>
          <w:rFonts w:ascii="Noto Sans CJK TC" w:cs="Noto Sans CJK TC" w:eastAsia="Noto Sans CJK TC" w:hAnsi="Noto Sans CJK TC"/>
          <w:b/>
          <w:bCs/>
          <w:i w:val="false"/>
          <w:iCs w:val="false"/>
          <w:color w:val="1A365D"/>
          <w:sz w:val="27"/>
          <w:szCs w:val="27"/>
        </w:rPr>
        <w:t xml:space="preserve">摘要</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研究目的：GDA 模型主張，價值條件、理由條件、例外條件、責任條件四者同時出現疑義時，即有理由懷疑公共權威已發生實質外部化，但「四條件如何組合判定」始終停留在描述性層次。本文之目的，即是把這個複合判準轉化為可操作的判準：技術選擇在何種強度下，應被視為已轉化為公共規範？</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方法：本文採取概念分析與純理論演繹法，不涉及案例蒐集、文獻對話或跨國比較。以〈不可外包的行政〉（029）既有的規範轉換菱形為起點，逐一將四個條件轉化為附有低／中／高三級判斷指標的可操作判準，補上組合邏輯、中度狀態與邊界情形的判定規則，並提供供後續研究直接使用的五步編碼程序，最終以附有觀察指標的命題形式收束論證。</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主要內容：本文提出「技術→行政→政策→規範」轉換光譜，並補上一張定位線索表，作為理解四判準的背景架構；主張價值條件是規範轉換分析的門檻條件，理由、例外、責任三項條件則是一組「安全閥」——三者之中只要有一項仍具功能，技術選擇便只構成中度的行政規範風險，唯有三項安全閥同時失效，才構成本文所稱的實質規範轉換；並補上四條邊界規則，處理型態之間的交界情形。本文據此建立規範轉換強度矩陣、五步編碼程序、可轉譯給法律文本審計使用的審查問題，以及六項附有觀察指標之可檢驗理論命題。</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貢獻與限制：本文的貢獻在於把 GDA 模型中最抽象、最容易被質疑為「同義反覆」的規範轉換菱形，轉化為具體可操作的判準、矩陣與編碼工具，並釐清其與 UCPR、裁量場的分工——規範轉換診斷風險，UCPR 評估回應能力，裁量場之人類覆核節點則問這個空間是否被實際使用。其限制在於，本文提出的分級、邊界規則與命題均屬理論推導之產物，尚未經任何個案或法律文本實際檢驗，其操作化效度須留待 031 之後續個案工作與 034 已完成之法律文本審計加以確認。</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關鍵詞：規範轉換、生成—裁量—權威模型、價值條件、理由條件、例外條件、責任條件、安全閥、最終再介入能力</w:t>
      </w:r>
    </w:p>
    <w:p>
      <w:pPr>
        <w:pStyle w:val="Heading2"/>
        <w:spacing w:after="140" w:before="280" w:line="340"/>
      </w:pPr>
      <w:r>
        <w:rPr>
          <w:rFonts w:ascii="Noto Sans CJK TC" w:cs="Noto Sans CJK TC" w:eastAsia="Noto Sans CJK TC" w:hAnsi="Noto Sans CJK TC"/>
          <w:b/>
          <w:bCs/>
          <w:i w:val="false"/>
          <w:iCs w:val="false"/>
          <w:color w:val="1A365D"/>
          <w:sz w:val="27"/>
          <w:szCs w:val="27"/>
        </w:rPr>
        <w:t xml:space="preserve">Abstract</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The GDA model holds that when the value, reason, exception, and responsibility conditions simultaneously come into doubt, there is reason to suspect that public authority has been substantively externalized — yet how these four conditions should be jointly assessed has remained descriptive. This paper operationalizes that composite criterion through conceptual analysis and theoretical deduction, without new case collection, literature engagement, or cross-national comparison. Building on the normative-transformation diamond first proposed in working paper 029, it proposes a "technical–administrative–policy–normative" conversion spectrum with a set of positioning cues, treats the value condition as a threshold while the reason, exception, and responsibility conditions function as a set of safety valves, supplies four boundary rules for borderline cases, and derives a normative-transformation intensity matrix, a five-step coding protocol, and six testable propositions each paired with an observation strategy. Its contribution is to convert GDA's most abstract, most easily contested construct into an operational criterion and coding tool, and to clarify its division of labor with UCPR and the field of discretion: normative transformation diagnoses risk, UCPR assesses response capacity, and the human-review node of the field of discretion asks whether that capacity is actually exercised. Its limitation is that the proposed grading, boundary rules, and propositions remain products of theoretical deduction, awaiting validation through subsequent case work (031) and the legal-text auditing already completed in 034.</w:t>
      </w:r>
    </w:p>
    <w:p>
      <w:pPr>
        <w:pStyle w:val="Heading1"/>
        <w:spacing w:after="200" w:before="360" w:line="360"/>
      </w:pPr>
      <w:r>
        <w:rPr>
          <w:rFonts w:ascii="Noto Sans CJK TC" w:cs="Noto Sans CJK TC" w:eastAsia="Noto Sans CJK TC" w:hAnsi="Noto Sans CJK TC"/>
          <w:b/>
          <w:bCs/>
          <w:i w:val="false"/>
          <w:iCs w:val="false"/>
          <w:color w:val="1A365D"/>
          <w:sz w:val="32"/>
          <w:szCs w:val="32"/>
        </w:rPr>
        <w:t xml:space="preserve">壹、緒論：技術選擇何時不再只是技術選擇？</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假設某一行政風險評分系統把風險門檻設定為 80 分：超過 80 分者列為高風險對象，優先介入；低於 80 分者維持一般管理。表面上，「80」只是一個技術參數，是模型調校過程中的一個數字選擇。但如果這個數字實際上決定了誰會被列為高風險對象、誰會被優先稽查、誰的補助申請會被加註警示，它還只是技術嗎？這正是本文要處理的問題：技術選擇何時不再只是技術選擇，而已經在實質上分配公共利益、需要公共理由、限縮個案例外、造成責任配置問題——也就是說，何時已經轉化為一項公共規範。核心論點可以先說清楚：技術不是因為「用了 AI」就變成規範，而是當技術選擇開始分配價值、規避公共理由、排除例外、模糊責任時，才開始發生規範轉換。GDA 不宜把規範轉換理解成行政程序中的一個時間階段，而應理解為對同一技術選擇所做的風險診斷：它在光譜上走了多遠，以及還有沒有安全閥可以把它拉回來。</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GDA 模型在規範轉換這一構面上，早自〈不可外包的行政〉（029）即已提出價值條件、理由條件、例外條件、責任條件四項判準，並援引美國 nondelegation doctrine（不得延伸委任原則）與德國 Wesentlichkeitstheorie（重要性理論）等比較法資源作為理論背景，主張四者「同時」出現疑義時，即有理由懷疑公共權威已發生實質外部化。這組判準此後為 030、031、032 反覆引用：031 以電子圍籬個案初步套用四條件，032 則進一步指出，這組判準「目前仍是描述性的複合判準，尚未轉化為可操作的強度分級」。本文的任務，正是回應這個反覆被指出、卻始終未被處理的缺口。</w:t>
      </w:r>
    </w:p>
    <w:p>
      <w:pPr>
        <w:pStyle w:val="Heading2"/>
        <w:spacing w:after="140" w:before="280" w:line="340"/>
      </w:pPr>
      <w:r>
        <w:rPr>
          <w:rFonts w:ascii="Noto Sans CJK TC" w:cs="Noto Sans CJK TC" w:eastAsia="Noto Sans CJK TC" w:hAnsi="Noto Sans CJK TC"/>
          <w:b/>
          <w:bCs/>
          <w:i w:val="false"/>
          <w:iCs w:val="false"/>
          <w:color w:val="1A365D"/>
          <w:sz w:val="27"/>
          <w:szCs w:val="27"/>
        </w:rPr>
        <w:t xml:space="preserve">一、核心研究問題</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本文將整體提問收斂為以下五項核心研究問題：</w:t>
      </w:r>
    </w:p>
    <w:p>
      <w:pPr>
        <w:pStyle w:val="ListParagraph"/>
        <w:numPr>
          <w:ilvl w:val="0"/>
          <w:numId w:val="1"/>
        </w:numPr>
        <w:spacing w:after="100" w:before="0" w:line="320"/>
        <w:ind w:left="400"/>
      </w:pPr>
      <w:r>
        <w:rPr>
          <w:rFonts w:ascii="Noto Serif CJK TC" w:cs="Noto Serif CJK TC" w:eastAsia="Noto Serif CJK TC" w:hAnsi="Noto Serif CJK TC"/>
          <w:b w:val="false"/>
          <w:bCs w:val="false"/>
          <w:i w:val="false"/>
          <w:iCs w:val="false"/>
          <w:color w:val="1A202C"/>
          <w:sz w:val="22"/>
          <w:szCs w:val="22"/>
        </w:rPr>
        <w:t xml:space="preserve">RQ1　什麼情況下技術選擇開始具有規範性？</w:t>
      </w:r>
    </w:p>
    <w:p>
      <w:pPr>
        <w:pStyle w:val="ListParagraph"/>
        <w:numPr>
          <w:ilvl w:val="0"/>
          <w:numId w:val="1"/>
        </w:numPr>
        <w:spacing w:after="100" w:before="0" w:line="320"/>
        <w:ind w:left="400"/>
      </w:pPr>
      <w:r>
        <w:rPr>
          <w:rFonts w:ascii="Noto Serif CJK TC" w:cs="Noto Serif CJK TC" w:eastAsia="Noto Serif CJK TC" w:hAnsi="Noto Serif CJK TC"/>
          <w:b w:val="false"/>
          <w:bCs w:val="false"/>
          <w:i w:val="false"/>
          <w:iCs w:val="false"/>
          <w:color w:val="1A202C"/>
          <w:sz w:val="22"/>
          <w:szCs w:val="22"/>
        </w:rPr>
        <w:t xml:space="preserve">RQ2　技術參數與行政裁量之間的界線在哪裡？</w:t>
      </w:r>
    </w:p>
    <w:p>
      <w:pPr>
        <w:pStyle w:val="ListParagraph"/>
        <w:numPr>
          <w:ilvl w:val="0"/>
          <w:numId w:val="1"/>
        </w:numPr>
        <w:spacing w:after="100" w:before="0" w:line="320"/>
        <w:ind w:left="400"/>
      </w:pPr>
      <w:r>
        <w:rPr>
          <w:rFonts w:ascii="Noto Serif CJK TC" w:cs="Noto Serif CJK TC" w:eastAsia="Noto Serif CJK TC" w:hAnsi="Noto Serif CJK TC"/>
          <w:b w:val="false"/>
          <w:bCs w:val="false"/>
          <w:i w:val="false"/>
          <w:iCs w:val="false"/>
          <w:color w:val="1A202C"/>
          <w:sz w:val="22"/>
          <w:szCs w:val="22"/>
        </w:rPr>
        <w:t xml:space="preserve">RQ3　什麼條件下「技術決定」已經實質替代公共判斷？</w:t>
      </w:r>
    </w:p>
    <w:p>
      <w:pPr>
        <w:pStyle w:val="ListParagraph"/>
        <w:numPr>
          <w:ilvl w:val="0"/>
          <w:numId w:val="1"/>
        </w:numPr>
        <w:spacing w:after="100" w:before="0" w:line="320"/>
        <w:ind w:left="400"/>
      </w:pPr>
      <w:r>
        <w:rPr>
          <w:rFonts w:ascii="Noto Serif CJK TC" w:cs="Noto Serif CJK TC" w:eastAsia="Noto Serif CJK TC" w:hAnsi="Noto Serif CJK TC"/>
          <w:b w:val="false"/>
          <w:bCs w:val="false"/>
          <w:i w:val="false"/>
          <w:iCs w:val="false"/>
          <w:color w:val="1A202C"/>
          <w:sz w:val="22"/>
          <w:szCs w:val="22"/>
        </w:rPr>
        <w:t xml:space="preserve">RQ4　四項規範轉換條件之間究竟是累積、並聯、互補，還是門檻關係？</w:t>
      </w:r>
    </w:p>
    <w:p>
      <w:pPr>
        <w:pStyle w:val="ListParagraph"/>
        <w:numPr>
          <w:ilvl w:val="0"/>
          <w:numId w:val="1"/>
        </w:numPr>
        <w:spacing w:after="100" w:before="0" w:line="320"/>
        <w:ind w:left="400"/>
      </w:pPr>
      <w:r>
        <w:rPr>
          <w:rFonts w:ascii="Noto Serif CJK TC" w:cs="Noto Serif CJK TC" w:eastAsia="Noto Serif CJK TC" w:hAnsi="Noto Serif CJK TC"/>
          <w:b w:val="false"/>
          <w:bCs w:val="false"/>
          <w:i w:val="false"/>
          <w:iCs w:val="false"/>
          <w:color w:val="1A202C"/>
          <w:sz w:val="22"/>
          <w:szCs w:val="22"/>
        </w:rPr>
        <w:t xml:space="preserve">RQ5　如何把「規範轉換」從直覺判斷變成可操作的理論判準？</w:t>
      </w:r>
    </w:p>
    <w:p>
      <w:pPr>
        <w:pStyle w:val="Heading2"/>
        <w:spacing w:after="140" w:before="280" w:line="340"/>
      </w:pPr>
      <w:r>
        <w:rPr>
          <w:rFonts w:ascii="Noto Sans CJK TC" w:cs="Noto Sans CJK TC" w:eastAsia="Noto Sans CJK TC" w:hAnsi="Noto Sans CJK TC"/>
          <w:b/>
          <w:bCs/>
          <w:i w:val="false"/>
          <w:iCs w:val="false"/>
          <w:color w:val="1A365D"/>
          <w:sz w:val="27"/>
          <w:szCs w:val="27"/>
        </w:rPr>
        <w:t xml:space="preserve">二、本文之研究方法：概念分析與純理論演繹法</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本文採取概念分析與純理論演繹法，不涉及案例蒐集、文獻對話或跨國比較，具體步驟有五。其一，以既有的規範轉換菱形（價值條件、理由條件、例外條件、責任條件）為起點，逐一將四個條件從描述性概念轉化為可操作判準，每一判準均附上核心問題與低／中／高三級判斷指標。其二，以概念類型學方式，系統性列舉四條件在不同組合下可能出現的型態（技術選擇／行政規範風險／實質規範轉換），並說明每一型態的判定邏輯。其三，建立規範轉換強度矩陣，並補上處理中度狀態與交界情形的邊界規則，作為判準操作化的具體產出。其四，提供可供後續研究直接使用的五步編碼程序，以及一組可轉譯為法律文本逐條審查問題的清單。其五，以命題形式收束全文論證，每項命題均附上可能反證與建議觀察點，並明確界定規範轉換與 UCPR、裁量場三個構念的分工，避免與既有 GDA 論述產生重疊。全文的效力檢驗標準是概念的內部一致性與可操作性，而非實證資料的支持；命題本身留待 031 之後續個案工作與 034 已完成之文本分析加以檢驗。</w:t>
      </w:r>
    </w:p>
    <w:p>
      <w:pPr>
        <w:pStyle w:val="Heading2"/>
        <w:spacing w:after="140" w:before="280" w:line="340"/>
      </w:pPr>
      <w:r>
        <w:rPr>
          <w:rFonts w:ascii="Noto Sans CJK TC" w:cs="Noto Sans CJK TC" w:eastAsia="Noto Sans CJK TC" w:hAnsi="Noto Sans CJK TC"/>
          <w:b/>
          <w:bCs/>
          <w:i w:val="false"/>
          <w:iCs w:val="false"/>
          <w:color w:val="1A365D"/>
          <w:sz w:val="27"/>
          <w:szCs w:val="27"/>
        </w:rPr>
        <w:t xml:space="preserve">三、與系列其他文章的邊界</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本文與 031 的邊界須特別注意：031 是有真實個案、走實證路線的文件個案研究；本文則是唯一一篇不需要任何案例或外部文獻、純粹在 029 既有推演基礎上再往下挖一層的純理論文章，兩篇的方法論定位不應混淆。本文與 032、033 的邊界則在於：032 是 GDA 模型與國際既有理論的橫向對話，033 是對 GDA 模型自身的縱向盤點，並已將「規範轉換如何操作化」列為其第三研究群的核心缺口，本文則是對規範轉換這一個構面的深度理論演繹，回應 033 提出之問題 11 至 14。本文與 034 的邊界則在於：034 已完成臺灣、歐盟、加拿大三制度之現行法律文本審計，其分析對象是文本，本文提供的是理論判準與操作化工具，捌章之審查問題可與 034 之逐條審計方法交互參照，但二者各自獨立完成，不宜互相取代。</w:t>
      </w:r>
    </w:p>
    <w:p>
      <w:pPr>
        <w:pStyle w:val="Heading1"/>
        <w:spacing w:after="200" w:before="360" w:line="360"/>
      </w:pPr>
      <w:r>
        <w:rPr>
          <w:rFonts w:ascii="Noto Sans CJK TC" w:cs="Noto Sans CJK TC" w:eastAsia="Noto Sans CJK TC" w:hAnsi="Noto Sans CJK TC"/>
          <w:b/>
          <w:bCs/>
          <w:i w:val="false"/>
          <w:iCs w:val="false"/>
          <w:color w:val="1A365D"/>
          <w:sz w:val="32"/>
          <w:szCs w:val="32"/>
        </w:rPr>
        <w:t xml:space="preserve">貳、規範轉換的概念：一條強度遞增的光譜</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要回答「技術選擇何時不再只是技術選擇」，本文先建立一條轉換光譜：技術選擇 → 行政選擇 → 政策選擇 → 規範選擇。這條光譜不是四個互斥的類別，而是規範強度遞增的連續區間，同一個技術參數，可能隨著情境、揭露程度與救濟可能性的不同，落在光譜上不同的位置。</w:t>
      </w:r>
    </w:p>
    <w:p>
      <w:pPr>
        <w:pStyle w:val="Heading2"/>
        <w:spacing w:after="140" w:before="280" w:line="340"/>
      </w:pPr>
      <w:r>
        <w:rPr>
          <w:rFonts w:ascii="Noto Sans CJK TC" w:cs="Noto Sans CJK TC" w:eastAsia="Noto Sans CJK TC" w:hAnsi="Noto Sans CJK TC"/>
          <w:b/>
          <w:bCs/>
          <w:i w:val="false"/>
          <w:iCs w:val="false"/>
          <w:color w:val="1A365D"/>
          <w:sz w:val="27"/>
          <w:szCs w:val="27"/>
        </w:rPr>
        <w:t xml:space="preserve">一、四個位置</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技術選擇是指對系統效能、準確度或運算效率具有影響，但不直接分配公共利益、不涉及可辨識之權利義務差異的參數設定——例如資料庫索引方式、程式語言選擇、運算資源配置。這類選擇原則上不具規範意義，其判斷者是工程團隊，不需要對外部使用者或受規範對象負說明義務。</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行政選擇是指對行政作業流程、內部分工或執行方式具有影響，但仍在既有法律與政策框架內操作的選擇——例如系統警示的內部通報層級、案件分派的排序邏輯。這類選擇開始涉及行政組織內部的權責分配，但尚未直接觸及對外部受規範對象的權利義務分配。</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政策選擇是指對特定政策目標的達成方式具有實質影響、開始涉及公共利益分配的選擇——例如將風險評分的高風險門檻設定在特定數值，實質上決定了政策資源將優先投入哪些對象。這類選擇通常仍由行政機關在其政策裁量範圍內決定，但已經開始產生本文參章所稱的規範性質。</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規範選擇是指該選擇已經實質分配了不同對象之間的權利、義務或利益，且此一分配具有拘束性、可預見的持續效果——例如風險門檻的設定，實際上決定了誰會被列為高風險對象、誰的補助申請會被加註警示。這類選擇即使在形式上仍以「技術參數」的名義存在，其實質效果已經等同於一項行政規範，理當受到相應的正當程序、說理義務與救濟可能性之要求。</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下表提供每一層次的定位線索，供讀者在缺乏完整判準資料時，先行初步定位一項技術選擇大致落於光譜何處：</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500"/>
        <w:gridCol w:w="2800"/>
        <w:gridCol w:w="4700"/>
      </w:tblGrid>
      <w:tr>
        <w:trPr>
          <w:cantSplit/>
          <w:tblHeader/>
        </w:trPr>
        <w:tc>
          <w:tcPr>
            <w:tcW w:type="dxa" w:w="1500"/>
            <w:shd w:fill="1A365D"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bCs/>
                <w:i w:val="false"/>
                <w:iCs w:val="false"/>
                <w:color w:val="FFFFFF"/>
                <w:sz w:val="18"/>
                <w:szCs w:val="18"/>
              </w:rPr>
              <w:t xml:space="preserve">層次</w:t>
            </w:r>
          </w:p>
        </w:tc>
        <w:tc>
          <w:tcPr>
            <w:tcW w:type="dxa" w:w="2800"/>
            <w:shd w:fill="1A365D"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bCs/>
                <w:i w:val="false"/>
                <w:iCs w:val="false"/>
                <w:color w:val="FFFFFF"/>
                <w:sz w:val="18"/>
                <w:szCs w:val="18"/>
              </w:rPr>
              <w:t xml:space="preserve">主要特徵</w:t>
            </w:r>
          </w:p>
        </w:tc>
        <w:tc>
          <w:tcPr>
            <w:tcW w:type="dxa" w:w="4700"/>
            <w:shd w:fill="1A365D"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bCs/>
                <w:i w:val="false"/>
                <w:iCs w:val="false"/>
                <w:color w:val="FFFFFF"/>
                <w:sz w:val="18"/>
                <w:szCs w:val="18"/>
              </w:rPr>
              <w:t xml:space="preserve">初步觀察問題</w:t>
            </w:r>
          </w:p>
        </w:tc>
      </w:tr>
      <w:tr>
        <w:trPr>
          <w:cantSplit/>
        </w:trPr>
        <w:tc>
          <w:tcPr>
            <w:tcW w:type="dxa" w:w="15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技術層次</w:t>
            </w:r>
          </w:p>
        </w:tc>
        <w:tc>
          <w:tcPr>
            <w:tcW w:type="dxa" w:w="28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處理效率、穩定性或系統功能</w:t>
            </w:r>
          </w:p>
        </w:tc>
        <w:tc>
          <w:tcPr>
            <w:tcW w:type="dxa" w:w="47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改變此參數，外部對象的權利義務是否幾乎不變？</w:t>
            </w:r>
          </w:p>
        </w:tc>
      </w:tr>
      <w:tr>
        <w:trPr>
          <w:cantSplit/>
        </w:trPr>
        <w:tc>
          <w:tcPr>
            <w:tcW w:type="dxa" w:w="15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行政層次</w:t>
            </w:r>
          </w:p>
        </w:tc>
        <w:tc>
          <w:tcPr>
            <w:tcW w:type="dxa" w:w="28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影響案件處理順序或內部流程</w:t>
            </w:r>
          </w:p>
        </w:tc>
        <w:tc>
          <w:tcPr>
            <w:tcW w:type="dxa" w:w="47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改變此參數，是否只重排內部作業，而不改變誰取得利益或負擔？</w:t>
            </w:r>
          </w:p>
        </w:tc>
      </w:tr>
      <w:tr>
        <w:trPr>
          <w:cantSplit/>
        </w:trPr>
        <w:tc>
          <w:tcPr>
            <w:tcW w:type="dxa" w:w="15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政策層次</w:t>
            </w:r>
          </w:p>
        </w:tc>
        <w:tc>
          <w:tcPr>
            <w:tcW w:type="dxa" w:w="28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分配資源、風險或服務對象</w:t>
            </w:r>
          </w:p>
        </w:tc>
        <w:tc>
          <w:tcPr>
            <w:tcW w:type="dxa" w:w="47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此參數是否決定誰先被處理、誰被加註警示、誰被排除？</w:t>
            </w:r>
          </w:p>
        </w:tc>
      </w:tr>
      <w:tr>
        <w:trPr>
          <w:cantSplit/>
        </w:trPr>
        <w:tc>
          <w:tcPr>
            <w:tcW w:type="dxa" w:w="15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規範層次</w:t>
            </w:r>
          </w:p>
        </w:tc>
        <w:tc>
          <w:tcPr>
            <w:tcW w:type="dxa" w:w="28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產生實質權利義務效果，且個案難以偏離</w:t>
            </w:r>
          </w:p>
        </w:tc>
        <w:tc>
          <w:tcPr>
            <w:tcW w:type="dxa" w:w="47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此參數是否已具拘束力，且例外、說理與責任都難以啟動？</w:t>
            </w:r>
          </w:p>
        </w:tc>
      </w:tr>
    </w:tbl>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這張定位線索表只是初步篩檢工具，不能取代參章至陸章的四項判準——一項技術選擇即使初步定位在「政策層次」，仍須逐一檢驗價值、理由、例外、責任四項條件之強度，才能判定其在柒章所述之三型態中究竟屬於哪一型態。</w:t>
      </w:r>
    </w:p>
    <w:p>
      <w:pPr>
        <w:spacing w:after="60" w:before="200"/>
        <w:jc w:val="center"/>
      </w:pPr>
      <w:r>
        <w:drawing>
          <wp:inline distT="0" distB="0" distL="0" distR="0">
            <wp:extent cx="5905500" cy="2952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905500" cy="2952750"/>
                    </a:xfrm>
                    <a:prstGeom prst="rect">
                      <a:avLst/>
                    </a:prstGeom>
                  </pic:spPr>
                </pic:pic>
              </a:graphicData>
            </a:graphic>
          </wp:inline>
        </w:drawing>
      </w:r>
    </w:p>
    <w:p>
      <w:pPr>
        <w:spacing w:after="200" w:before="60"/>
        <w:jc w:val="center"/>
      </w:pPr>
      <w:r>
        <w:rPr>
          <w:rFonts w:ascii="Noto Sans CJK TC" w:cs="Noto Sans CJK TC" w:eastAsia="Noto Sans CJK TC" w:hAnsi="Noto Sans CJK TC"/>
          <w:b w:val="false"/>
          <w:bCs w:val="false"/>
          <w:i/>
          <w:iCs/>
          <w:color w:val="2D3748"/>
          <w:sz w:val="20"/>
          <w:szCs w:val="20"/>
        </w:rPr>
        <w:t xml:space="preserve">圖 1　技術選擇如何轉化為公共規範：轉換光譜與四判準（低／中／高分級見捌章判準表）</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這條光譜的作用，不是要求每一個技術參數都被歸入四個類別中的唯一一類，而是提供一個共同的分析背景：以下參章至陸章的四項判準，正是用來判斷一項選擇在光譜上的位置究竟落在哪裡、以及是什麼因素驅動它從光譜左端移向右端。</w:t>
      </w:r>
    </w:p>
    <w:p>
      <w:pPr>
        <w:pStyle w:val="Heading1"/>
        <w:spacing w:after="200" w:before="360" w:line="360"/>
      </w:pPr>
      <w:r>
        <w:rPr>
          <w:rFonts w:ascii="Noto Sans CJK TC" w:cs="Noto Sans CJK TC" w:eastAsia="Noto Sans CJK TC" w:hAnsi="Noto Sans CJK TC"/>
          <w:b/>
          <w:bCs/>
          <w:i w:val="false"/>
          <w:iCs w:val="false"/>
          <w:color w:val="1A365D"/>
          <w:sz w:val="32"/>
          <w:szCs w:val="32"/>
        </w:rPr>
        <w:t xml:space="preserve">參、第一判準：價值條件（門檻）</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核心問題：技術設定是否涉及公共價值選擇——誰被納入、誰被排除、風險如何排序、哪種錯誤比較可以接受？</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價值條件是規範轉換分析的門檻條件：唯有當一項技術選擇涉及公共價值的分配時，才有必要繼續追問理由、例外、責任三項條件；若技術選擇不涉及任何可辨識的公共價值分配（例如前述索引方式或程式語言選擇），則無論理由說明、個案例外或責任歸屬的安排如何，該選擇仍停留在光譜左端的技術選擇，不需要、也不應該被要求承擔規範性審查的成本。過度規範化純技術性參數，本身也是治理資源的錯置。</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判準：如果技術設定直接決定不同利益或權利的分配，規範性提高。具體而言，低度價值涉入指技術選擇對不同對象的影響大致均勻、不涉及可辨識的納入或排除效果；中度價值涉入指技術選擇間接影響資源分配的優先順序，但不直接決定個別對象的權利義務；高度價值涉入指技術選擇直接決定誰被納入、誰被排除，或直接排定不同對象承擔風險與錯誤成本的順序。前述風險門檻 80 分的例子，即屬於高度價值涉入：它直接決定了誰會被列為高風險對象，此一分類本身即是一種利益與負擔的分配。</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操作時應先問四個問題：這項設定是否改變誰被看見？是否改變誰被優先處理？是否改變誰承擔錯誤成本（漏放與誤傷何者較可接受）？是否對可辨識群體產生持續性的不利益？任一題得到肯定，即至少達到中度價值涉入，應進入後續三項安全閥的檢查；四題皆為否定，則可初步判定價值條件為「低」，依柒章規則 A 直接歸為型態一，不須再逐一檢查理由、例外、責任三項條件。</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回到貳章的光譜架構：價值條件每往「高」推進一級，即意味著該技術選擇正離開光譜左端的技術選擇位置，向規範選擇一端逼近；但這僅是光譜位置的初步定位，最終該選擇是否真正抵達光譜右端，仍須併入以下三章之理由、例外、責任三項安全閥的狀態，依柒章之組合邏輯判定，而非由價值條件單獨決定。</w:t>
      </w:r>
    </w:p>
    <w:p>
      <w:pPr>
        <w:pStyle w:val="Heading1"/>
        <w:spacing w:after="200" w:before="360" w:line="360"/>
      </w:pPr>
      <w:r>
        <w:rPr>
          <w:rFonts w:ascii="Noto Sans CJK TC" w:cs="Noto Sans CJK TC" w:eastAsia="Noto Sans CJK TC" w:hAnsi="Noto Sans CJK TC"/>
          <w:b/>
          <w:bCs/>
          <w:i w:val="false"/>
          <w:iCs w:val="false"/>
          <w:color w:val="1A365D"/>
          <w:sz w:val="32"/>
          <w:szCs w:val="32"/>
        </w:rPr>
        <w:t xml:space="preserve">肆、第二判準：理由條件（安全閥之一）</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核心問題：誰必須為這個選擇提供理由？如果技術人員決定、行政機關不知道、人民無法理解、法院無法審查，則規範轉換風險提高。</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理由條件呼應既有行政法上的說明理由義務與法律保留原則：一項技術選擇若已跨過價值門檻，理當存在某種形式的說理機制，使受影響者、監督機關或審查機關得以理解該選擇的依據，而非僅接受一個「系統就是這樣設定」的既成事實。</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判準：低度理由風險指技術選擇之依據有完整文件記載，且行政機關、監督者與受規範對象均可取得並理解該依據；中度理由風險指技術選擇之依據僅部分公開，或僅行政機關內部可取得，受規範對象無法直接取得完整說理；高度理由風險指技術選擇之依據無法被要求說明——例如因採購契約限制、技術複雜性或商業機密主張，導致行政機關本身亦無法完整說明系統為何做出特定判斷。高度理由風險與 032 所提出之 UCPR 認知能力有直接對應：一個機關若自身都無法說明系統邏輯，即同時面臨規範轉換的理由風險與 UCPR 認知能力的缺口，兩者在此處於同一組事實上重疊，但診斷目的不同——理由條件問的是「這個選擇本身是否已具規範性」，UCPR 認知能力問的是「公共機關是否仍有能力介入」。</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就光譜位置而言，理由條件若持續維持在「高」，代表受規範對象、監督機關與審查機關均無從取得說理依據，這是推動該技術選擇朝光譜右端移動的第一個安全閥風險來源；但如貳章所述，光譜移動的最終定性仍待理由、例外、責任三者合併檢視，單一安全閥失效尚不足以判定該選擇已抵達光譜右端。</w:t>
      </w:r>
    </w:p>
    <w:p>
      <w:pPr>
        <w:pStyle w:val="Heading1"/>
        <w:spacing w:after="200" w:before="360" w:line="360"/>
      </w:pPr>
      <w:r>
        <w:rPr>
          <w:rFonts w:ascii="Noto Sans CJK TC" w:cs="Noto Sans CJK TC" w:eastAsia="Noto Sans CJK TC" w:hAnsi="Noto Sans CJK TC"/>
          <w:b/>
          <w:bCs/>
          <w:i w:val="false"/>
          <w:iCs w:val="false"/>
          <w:color w:val="1A365D"/>
          <w:sz w:val="32"/>
          <w:szCs w:val="32"/>
        </w:rPr>
        <w:t xml:space="preserve">伍、第三判準：例外條件（安全閥之二）</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核心問題：個案還能不能脫離系統？這直接連到人類覆核、個案救濟、override、exception。如果系統設定→人員只能接受→人民無法挑戰，那麼技術選擇就開始產生實質規範效果。</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例外條件呼應既有行政法上的個案救濟與正當程序保障：一項規則不論其產生方式為何，只要存在有意義的個案偏離機制——人員得依專業判斷推翻系統建議、受規範對象得依個案情形申請例外處理——該規則對個案而言就不具有絕對拘束力，其規範強度也因此受到制約。</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判準：低度例外風險指個案可以容易地偏離系統設定，覆核者具有明確且經常行使的推翻權，受規範對象亦有清楚的申請例外管道；中度例外風險指個案偏離在制度上存在，但程序繁複、時間冗長或需要額外舉證，實務上並不容易行使；高度例外風險指個案幾乎不能偏離系統設定——覆核者形式上有簽核權限，但實際上僅能就系統已標記之個案進行事後確認，受規範對象亦無實質有效的申請例外管道。</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必須區分「形式上有人簽核」與「實質上有人判斷」：前者只能證明程序存在，不能證明例外條件仍具功能。這一判準與 032 裁量場之人類覆核節點高度重疊：例外條件問的是「規則本身是否留有偏離空間」，人類覆核節點問的是「覆核者是否有能力使用這個空間」，兩者一為制度設計問題，一為實際行使問題，性質相關但不相同。建議的觀察指標包括：實質推翻率、覆核者能否取得完整資料與模型說明、覆核所需時間與案件處理量、系統預設值被接受的比例，以及受規範對象申請例外的成功率——這組指標同時也是本文與 032 裁量場銜接、供後續個案編碼直接使用的具體工具。</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就光譜位置而言，例外條件若持續維持在「高」，代表個案幾乎沒有偏離系統設定的可能，這是推動技術選擇朝光譜右端移動的第二個安全閥風險來源，與理由條件之風險彼此獨立但可疊加——若理由、例外兩項安全閥同時維持在高，該選擇在光譜上已相當接近右端，僅賴責任條件此一最後安全閥是否仍具功能，決定其最終是否落入柒章所稱之型態三。</w:t>
      </w:r>
    </w:p>
    <w:p>
      <w:pPr>
        <w:pStyle w:val="Heading1"/>
        <w:spacing w:after="200" w:before="360" w:line="360"/>
      </w:pPr>
      <w:r>
        <w:rPr>
          <w:rFonts w:ascii="Noto Sans CJK TC" w:cs="Noto Sans CJK TC" w:eastAsia="Noto Sans CJK TC" w:hAnsi="Noto Sans CJK TC"/>
          <w:b/>
          <w:bCs/>
          <w:i w:val="false"/>
          <w:iCs w:val="false"/>
          <w:color w:val="1A365D"/>
          <w:sz w:val="32"/>
          <w:szCs w:val="32"/>
        </w:rPr>
        <w:t xml:space="preserve">陸、第四判準：責任條件（安全閥之三）</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核心問題：誰為技術造成的公共效果負責？如果行政機關推給廠商、廠商推給演算法、演算法無人負責，就出現責任真空。</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責任條件呼應既有行政法上的課責機制與國家賠償責任：一項技術選擇造成的公共效果，理當可以被追溯至一個可辨識的機關或人員，使受影響者在該效果造成損害時，有明確的對象可以請求說明、申訴或求償。</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判準：低度責任風險指技術選擇造成的效果，可清楚追溯至特定機關或人員，該機關或人員亦承認並願意承擔相應之說明與補救義務；中度責任風險指責任雖可追溯，但分散於行政機關、系統開發者、資料提供者等多方之間，受影響者須耗費相當成本才能確定求償對象；高度責任風險指責任歸屬模糊不清——行政機關主張其僅是依系統建議行事，開發廠商主張其僅提供工具、不負行政責任，形成本文所稱的責任真空。這一判準與外包風險直接相關：當私人供應商掌握模型更新、資料管線或技術文件的控制權時，責任真空出現的可能性隨之提高。責任條件問的不是契約上有沒有簽名欄，而是損害發生時，受影響者能不能找到一個真正會回應的公共對象。</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就光譜位置而言，責任條件若持續維持在「高」，代表損害發生時無法確定可請求的公共對象，這是推動技術選擇朝光譜右端移動的第三個、也是最後一個安全閥風險來源。柒章即說明，唯有理由、例外、責任三項安全閥「同時」維持在高，該技術選擇才真正抵達光譜右端，構成本文所稱的實質規範轉換；三者之中只要有一項仍具功能，該選擇便仍停留在光譜中段。</w:t>
      </w:r>
    </w:p>
    <w:p>
      <w:pPr>
        <w:pStyle w:val="Heading1"/>
        <w:spacing w:after="200" w:before="360" w:line="360"/>
      </w:pPr>
      <w:r>
        <w:rPr>
          <w:rFonts w:ascii="Noto Sans CJK TC" w:cs="Noto Sans CJK TC" w:eastAsia="Noto Sans CJK TC" w:hAnsi="Noto Sans CJK TC"/>
          <w:b/>
          <w:bCs/>
          <w:i w:val="false"/>
          <w:iCs w:val="false"/>
          <w:color w:val="1A365D"/>
          <w:sz w:val="32"/>
          <w:szCs w:val="32"/>
        </w:rPr>
        <w:t xml:space="preserve">柒、四條件的組合邏輯（全文核心理論貢獻）</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前四章分別建立了價值、理由、例外、責任四項判準的低／中／高判斷指標，但這四項判準如何組合，才能判定一項技術選擇究竟停留在光譜左端、還是已經移動到光譜右端？這正是 RQ4 所問的問題，也是本文相對於 029、030、031、032 既有論述最主要的理論推進：既有論述僅指出四條件「同時」出現疑義時，即有理由懷疑實質外部化，卻未說明「同時」究竟是指四者等權重加總，還是存在先後、輕重之分。</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本文主張，四項條件並非等權重的四個加總項，而是分成性質不同的兩層：價值條件是門檻條件，理由、例外、責任三項條件則是一組安全閥。這個主張直接呼應 032 對 UCPR 三種能力所做的「構成性能力」定性——UCPR 的認知、決策、課責三種能力「並非可以彼此加總或替代的量表分項，而更接近一組構成性能力：任一項長期缺失，都可能使公共權威喪失實質的再介入能力」。本文對規範轉換後三項條件的定性與此結構相似，但方向相反：UCPR 三種能力是「任一項缺失即整體喪失」的構成性能力，而規範轉換的理由、例外、責任三項條件則是「任一項仍具功能即可拉回」的安全閥——只要受規範對象或監督機關還能透過其中一個管道（要求理由、申請例外、追究責任）介入或糾正該技術選擇，這個選擇就尚未完全脫離公共控制，仍停留在中度的行政規範風險，而非本文所稱的實質規範轉換。</w:t>
      </w:r>
    </w:p>
    <w:p>
      <w:pPr>
        <w:pStyle w:val="Heading2"/>
        <w:spacing w:after="140" w:before="280" w:line="340"/>
      </w:pPr>
      <w:r>
        <w:rPr>
          <w:rFonts w:ascii="Noto Sans CJK TC" w:cs="Noto Sans CJK TC" w:eastAsia="Noto Sans CJK TC" w:hAnsi="Noto Sans CJK TC"/>
          <w:b/>
          <w:bCs/>
          <w:i w:val="false"/>
          <w:iCs w:val="false"/>
          <w:color w:val="1A365D"/>
          <w:sz w:val="27"/>
          <w:szCs w:val="27"/>
        </w:rPr>
        <w:t xml:space="preserve">一、三種型態</w:t>
      </w:r>
    </w:p>
    <w:p>
      <w:pPr>
        <w:pStyle w:val="Heading3"/>
        <w:spacing w:after="100" w:before="200" w:line="320"/>
      </w:pPr>
      <w:r>
        <w:rPr>
          <w:rFonts w:ascii="Noto Sans CJK TC" w:cs="Noto Sans CJK TC" w:eastAsia="Noto Sans CJK TC" w:hAnsi="Noto Sans CJK TC"/>
          <w:b/>
          <w:bCs/>
          <w:i w:val="false"/>
          <w:iCs w:val="false"/>
          <w:color w:val="2C5282"/>
          <w:sz w:val="24"/>
          <w:szCs w:val="24"/>
        </w:rPr>
        <w:t xml:space="preserve">型態一　低風險：技術選擇</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價值低、理由低、例外存在、責任清楚 → 技術選擇。當價值條件本身即未跨過門檻時，無論其餘三項條件的狀態如何，該選擇仍停留於光譜左端，不需要、也不應該被要求承擔規範性審查的成本——過度規範化純技術性的參數選擇，本身也是一種治理資源的錯置。</w:t>
      </w:r>
    </w:p>
    <w:p>
      <w:pPr>
        <w:pStyle w:val="Heading3"/>
        <w:spacing w:after="100" w:before="200" w:line="320"/>
      </w:pPr>
      <w:r>
        <w:rPr>
          <w:rFonts w:ascii="Noto Sans CJK TC" w:cs="Noto Sans CJK TC" w:eastAsia="Noto Sans CJK TC" w:hAnsi="Noto Sans CJK TC"/>
          <w:b/>
          <w:bCs/>
          <w:i w:val="false"/>
          <w:iCs w:val="false"/>
          <w:color w:val="2C5282"/>
          <w:sz w:val="24"/>
          <w:szCs w:val="24"/>
        </w:rPr>
        <w:t xml:space="preserve">型態二　中度轉換：行政規範風險</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價值高，但仍可覆核、可救濟 → 行政規範風險。當價值條件已跨過門檻，但理由、例外、責任三項安全閥之中，至少有一項仍具備實際功能時——例如受規範對象雖無法直接取得完整技術文件，但仍可透過申訴管道要求機關說明、或個案覆核者仍有實質而非形式的推翻權——該選擇即進入光譜中段，構成本文所稱的行政規範風險：其規範效果已不容忽視，但既有的行政與司法救濟管道原則上仍能發揮糾正功能，尚不必然需要另立新的規範程序。</w:t>
      </w:r>
    </w:p>
    <w:p>
      <w:pPr>
        <w:pStyle w:val="Heading3"/>
        <w:spacing w:after="100" w:before="200" w:line="320"/>
      </w:pPr>
      <w:r>
        <w:rPr>
          <w:rFonts w:ascii="Noto Sans CJK TC" w:cs="Noto Sans CJK TC" w:eastAsia="Noto Sans CJK TC" w:hAnsi="Noto Sans CJK TC"/>
          <w:b/>
          <w:bCs/>
          <w:i w:val="false"/>
          <w:iCs w:val="false"/>
          <w:color w:val="2C5282"/>
          <w:sz w:val="24"/>
          <w:szCs w:val="24"/>
        </w:rPr>
        <w:t xml:space="preserve">型態三　高度轉換：實質規範轉換</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價值高、理由不足、例外不足、責任模糊 → 實質規範轉換。唯有當價值條件已跨過門檻，且理由、例外、責任三項安全閥同時失效時——受規範對象既無法取得說理、亦無實質有效的個案偏離管道、又無法確定求償對象——該技術選擇才真正進入光譜右端，構成本文所稱的實質規範轉換：此時該技術選擇在實質效果上已等同於一項行政規範，卻未經過任何相應於行政規範的正當程序、說理義務與課責安排，這正是本文與 029、030 一貫關切的核心風險。</w:t>
      </w:r>
    </w:p>
    <w:p>
      <w:pPr>
        <w:pStyle w:val="Heading2"/>
        <w:spacing w:after="140" w:before="280" w:line="340"/>
      </w:pPr>
      <w:r>
        <w:rPr>
          <w:rFonts w:ascii="Noto Sans CJK TC" w:cs="Noto Sans CJK TC" w:eastAsia="Noto Sans CJK TC" w:hAnsi="Noto Sans CJK TC"/>
          <w:b/>
          <w:bCs/>
          <w:i w:val="false"/>
          <w:iCs w:val="false"/>
          <w:color w:val="1A365D"/>
          <w:sz w:val="27"/>
          <w:szCs w:val="27"/>
        </w:rPr>
        <w:t xml:space="preserve">二、邊界規則：原文未窮盡、此處先行補上</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型態之間在實務上未必能清楚劃界——例如理由、例外、責任三項條件中，若有一項處於「中度」而非明確的「低」或「高」，該如何歸類？本文補上四條暫時性規則，供後續個案編碼先用，再以經驗材料修正：</w:t>
      </w:r>
    </w:p>
    <w:p>
      <w:pPr>
        <w:pStyle w:val="ListParagraph"/>
        <w:numPr>
          <w:ilvl w:val="0"/>
          <w:numId w:val="1"/>
        </w:numPr>
        <w:spacing w:after="100" w:before="0" w:line="320"/>
        <w:ind w:left="400"/>
      </w:pPr>
      <w:r>
        <w:rPr>
          <w:rFonts w:ascii="Noto Serif CJK TC" w:cs="Noto Serif CJK TC" w:eastAsia="Noto Serif CJK TC" w:hAnsi="Noto Serif CJK TC"/>
          <w:b w:val="false"/>
          <w:bCs w:val="false"/>
          <w:i w:val="false"/>
          <w:iCs w:val="false"/>
          <w:color w:val="1A202C"/>
          <w:sz w:val="22"/>
          <w:szCs w:val="22"/>
        </w:rPr>
        <w:t xml:space="preserve">規則 A：價值為「低」，無論安全閥狀態如何，一律判定為型態一。</w:t>
      </w:r>
    </w:p>
    <w:p>
      <w:pPr>
        <w:pStyle w:val="ListParagraph"/>
        <w:numPr>
          <w:ilvl w:val="0"/>
          <w:numId w:val="1"/>
        </w:numPr>
        <w:spacing w:after="100" w:before="0" w:line="320"/>
        <w:ind w:left="400"/>
      </w:pPr>
      <w:r>
        <w:rPr>
          <w:rFonts w:ascii="Noto Serif CJK TC" w:cs="Noto Serif CJK TC" w:eastAsia="Noto Serif CJK TC" w:hAnsi="Noto Serif CJK TC"/>
          <w:b w:val="false"/>
          <w:bCs w:val="false"/>
          <w:i w:val="false"/>
          <w:iCs w:val="false"/>
          <w:color w:val="1A202C"/>
          <w:sz w:val="22"/>
          <w:szCs w:val="22"/>
        </w:rPr>
        <w:t xml:space="preserve">規則 B：價值為「中」或「高」，且三項安全閥中至少一項為「低」、其餘不為全部「高」，判定為型態二。</w:t>
      </w:r>
    </w:p>
    <w:p>
      <w:pPr>
        <w:pStyle w:val="ListParagraph"/>
        <w:numPr>
          <w:ilvl w:val="0"/>
          <w:numId w:val="1"/>
        </w:numPr>
        <w:spacing w:after="100" w:before="0" w:line="320"/>
        <w:ind w:left="400"/>
      </w:pPr>
      <w:r>
        <w:rPr>
          <w:rFonts w:ascii="Noto Serif CJK TC" w:cs="Noto Serif CJK TC" w:eastAsia="Noto Serif CJK TC" w:hAnsi="Noto Serif CJK TC"/>
          <w:b w:val="false"/>
          <w:bCs w:val="false"/>
          <w:i w:val="false"/>
          <w:iCs w:val="false"/>
          <w:color w:val="1A202C"/>
          <w:sz w:val="22"/>
          <w:szCs w:val="22"/>
        </w:rPr>
        <w:t xml:space="preserve">規則 C：價值為「中」或「高」，且三項安全閥均為「高」，判定為型態三。</w:t>
      </w:r>
    </w:p>
    <w:p>
      <w:pPr>
        <w:pStyle w:val="ListParagraph"/>
        <w:numPr>
          <w:ilvl w:val="0"/>
          <w:numId w:val="1"/>
        </w:numPr>
        <w:spacing w:after="100" w:before="0" w:line="320"/>
        <w:ind w:left="400"/>
      </w:pPr>
      <w:r>
        <w:rPr>
          <w:rFonts w:ascii="Noto Serif CJK TC" w:cs="Noto Serif CJK TC" w:eastAsia="Noto Serif CJK TC" w:hAnsi="Noto Serif CJK TC"/>
          <w:b w:val="false"/>
          <w:bCs w:val="false"/>
          <w:i w:val="false"/>
          <w:iCs w:val="false"/>
          <w:color w:val="1A202C"/>
          <w:sz w:val="22"/>
          <w:szCs w:val="22"/>
        </w:rPr>
        <w:t xml:space="preserve">規則 D：價值為「中」或「高」，三項安全閥均為「中」，或兩項為「高」、一項為「中」——判定為型態二偏高，標註為邊界個案，不逕行升為型態三。型態三必須滿足「三閥同時失效」，避免把尚存一線糾正可能的個案過早定性為實質規範轉換。</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規則 D 與型態三之嚴格門檻（三閥必須「同時」失效，而非多數失效或加權平均後偏高）背後，共通的理論意圖是一項保守原則：只要安全閥仍存有一線糾正可能——即使其狀態已接近「高」而非明確落於「中」或「低」——就不應逕行認定該技術選擇已發生實質規範轉換。這項保守原則的理由有二：其一，若把規則 D 所涵蓋之邊界組合提前計入型態三，會使「實質規範轉換」這個判準過度容易被滿足，稀釋其作為全文最嚴重風險標籤的診斷力，使柒、玖兩章所欲凸顯之「安全閥全數失效」與「安全閥尚存一項」之間的關鍵差異失去意義；其二，把邊界個案保留在型態二偏高，只是延後而非取消後續審查——後續個案工作仍可將其單獨列表追蹤，並不會使真正嚴重的個案被錯放為型態二而遭忽略。這四條規則是為了讓編碼者先有共同起點，不是宣稱已經窮盡所有組合。後續若發現「兩閥失效、一閥名目存在但從未被行使」的個案反覆出現，應考慮增列「安全閥空轉」作為獨立子型，而不是在本文預先把空轉等同於失效——「名目存在」與「實際可用」的落差，正是玖章與 033「形式再介入權限／實質再介入能力」討論的共同關切，本文在此先行標注，留待後續個案工作決定是否需要獨立子型。</w:t>
      </w:r>
    </w:p>
    <w:p>
      <w:pPr>
        <w:pStyle w:val="Heading1"/>
        <w:spacing w:after="200" w:before="360" w:line="360"/>
      </w:pPr>
      <w:r>
        <w:rPr>
          <w:rFonts w:ascii="Noto Sans CJK TC" w:cs="Noto Sans CJK TC" w:eastAsia="Noto Sans CJK TC" w:hAnsi="Noto Sans CJK TC"/>
          <w:b/>
          <w:bCs/>
          <w:i w:val="false"/>
          <w:iCs w:val="false"/>
          <w:color w:val="1A365D"/>
          <w:sz w:val="32"/>
          <w:szCs w:val="32"/>
        </w:rPr>
        <w:t xml:space="preserve">捌、操作化：判準表、強度矩陣與編碼步驟</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綜合參章至柒章，下表整理四項判準的核心問題與低／中／高判斷指標，作為後續個案編碼與法律文本審計的操作化起點：</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
        <w:gridCol w:w="2000"/>
        <w:gridCol w:w="950"/>
        <w:gridCol w:w="950"/>
        <w:gridCol w:w="1100"/>
        <w:gridCol w:w="3100"/>
      </w:tblGrid>
      <w:tr>
        <w:trPr>
          <w:cantSplit/>
          <w:tblHeader/>
        </w:trPr>
        <w:tc>
          <w:tcPr>
            <w:tcW w:type="dxa" w:w="900"/>
            <w:shd w:fill="1A365D"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bCs/>
                <w:i w:val="false"/>
                <w:iCs w:val="false"/>
                <w:color w:val="FFFFFF"/>
                <w:sz w:val="18"/>
                <w:szCs w:val="18"/>
              </w:rPr>
              <w:t xml:space="preserve">判準</w:t>
            </w:r>
          </w:p>
        </w:tc>
        <w:tc>
          <w:tcPr>
            <w:tcW w:type="dxa" w:w="2000"/>
            <w:shd w:fill="1A365D"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bCs/>
                <w:i w:val="false"/>
                <w:iCs w:val="false"/>
                <w:color w:val="FFFFFF"/>
                <w:sz w:val="18"/>
                <w:szCs w:val="18"/>
              </w:rPr>
              <w:t xml:space="preserve">核心問題</w:t>
            </w:r>
          </w:p>
        </w:tc>
        <w:tc>
          <w:tcPr>
            <w:tcW w:type="dxa" w:w="950"/>
            <w:shd w:fill="1A365D"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bCs/>
                <w:i w:val="false"/>
                <w:iCs w:val="false"/>
                <w:color w:val="FFFFFF"/>
                <w:sz w:val="18"/>
                <w:szCs w:val="18"/>
              </w:rPr>
              <w:t xml:space="preserve">低</w:t>
            </w:r>
          </w:p>
        </w:tc>
        <w:tc>
          <w:tcPr>
            <w:tcW w:type="dxa" w:w="950"/>
            <w:shd w:fill="1A365D"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bCs/>
                <w:i w:val="false"/>
                <w:iCs w:val="false"/>
                <w:color w:val="FFFFFF"/>
                <w:sz w:val="18"/>
                <w:szCs w:val="18"/>
              </w:rPr>
              <w:t xml:space="preserve">中</w:t>
            </w:r>
          </w:p>
        </w:tc>
        <w:tc>
          <w:tcPr>
            <w:tcW w:type="dxa" w:w="1100"/>
            <w:shd w:fill="1A365D"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bCs/>
                <w:i w:val="false"/>
                <w:iCs w:val="false"/>
                <w:color w:val="FFFFFF"/>
                <w:sz w:val="18"/>
                <w:szCs w:val="18"/>
              </w:rPr>
              <w:t xml:space="preserve">高</w:t>
            </w:r>
          </w:p>
        </w:tc>
        <w:tc>
          <w:tcPr>
            <w:tcW w:type="dxa" w:w="3100"/>
            <w:shd w:fill="1A365D"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bCs/>
                <w:i w:val="false"/>
                <w:iCs w:val="false"/>
                <w:color w:val="FFFFFF"/>
                <w:sz w:val="18"/>
                <w:szCs w:val="18"/>
              </w:rPr>
              <w:t xml:space="preserve">典型觀察線索</w:t>
            </w:r>
          </w:p>
        </w:tc>
      </w:tr>
      <w:tr>
        <w:trPr>
          <w:cantSplit/>
        </w:trPr>
        <w:tc>
          <w:tcPr>
            <w:tcW w:type="dxa" w:w="9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價值條件</w:t>
            </w:r>
          </w:p>
        </w:tc>
        <w:tc>
          <w:tcPr>
            <w:tcW w:type="dxa" w:w="20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技術設定是否涉及公共價值選擇（誰被納入、誰被排除、風險如何排序）？</w:t>
            </w:r>
          </w:p>
        </w:tc>
        <w:tc>
          <w:tcPr>
            <w:tcW w:type="dxa" w:w="95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技術</w:t>
            </w:r>
          </w:p>
        </w:tc>
        <w:tc>
          <w:tcPr>
            <w:tcW w:type="dxa" w:w="95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間接</w:t>
            </w:r>
          </w:p>
        </w:tc>
        <w:tc>
          <w:tcPr>
            <w:tcW w:type="dxa" w:w="11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直接</w:t>
            </w:r>
          </w:p>
        </w:tc>
        <w:tc>
          <w:tcPr>
            <w:tcW w:type="dxa" w:w="31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是否存在明文之納入／排除規則、風險排序公式，或資源分配門檻之書面記載</w:t>
            </w:r>
          </w:p>
        </w:tc>
      </w:tr>
      <w:tr>
        <w:trPr>
          <w:cantSplit/>
        </w:trPr>
        <w:tc>
          <w:tcPr>
            <w:tcW w:type="dxa" w:w="9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理由條件</w:t>
            </w:r>
          </w:p>
        </w:tc>
        <w:tc>
          <w:tcPr>
            <w:tcW w:type="dxa" w:w="20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能否要求對技術選擇提供理由？</w:t>
            </w:r>
          </w:p>
        </w:tc>
        <w:tc>
          <w:tcPr>
            <w:tcW w:type="dxa" w:w="95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完整</w:t>
            </w:r>
          </w:p>
        </w:tc>
        <w:tc>
          <w:tcPr>
            <w:tcW w:type="dxa" w:w="95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部分</w:t>
            </w:r>
          </w:p>
        </w:tc>
        <w:tc>
          <w:tcPr>
            <w:tcW w:type="dxa" w:w="11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無法</w:t>
            </w:r>
          </w:p>
        </w:tc>
        <w:tc>
          <w:tcPr>
            <w:tcW w:type="dxa" w:w="31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是否有完整技術文件、決策依據之書面記錄，以及該記錄之開放對象範圍</w:t>
            </w:r>
          </w:p>
        </w:tc>
      </w:tr>
      <w:tr>
        <w:trPr>
          <w:cantSplit/>
        </w:trPr>
        <w:tc>
          <w:tcPr>
            <w:tcW w:type="dxa" w:w="9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例外條件</w:t>
            </w:r>
          </w:p>
        </w:tc>
        <w:tc>
          <w:tcPr>
            <w:tcW w:type="dxa" w:w="20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個案能否偏離系統設定？</w:t>
            </w:r>
          </w:p>
        </w:tc>
        <w:tc>
          <w:tcPr>
            <w:tcW w:type="dxa" w:w="95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容易</w:t>
            </w:r>
          </w:p>
        </w:tc>
        <w:tc>
          <w:tcPr>
            <w:tcW w:type="dxa" w:w="95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困難</w:t>
            </w:r>
          </w:p>
        </w:tc>
        <w:tc>
          <w:tcPr>
            <w:tcW w:type="dxa" w:w="11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幾乎不能</w:t>
            </w:r>
          </w:p>
        </w:tc>
        <w:tc>
          <w:tcPr>
            <w:tcW w:type="dxa" w:w="31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是否有個案申請例外之明文管道、實際受理與核准紀錄，以及推翻系統建議之實際案例</w:t>
            </w:r>
          </w:p>
        </w:tc>
      </w:tr>
      <w:tr>
        <w:trPr>
          <w:cantSplit/>
        </w:trPr>
        <w:tc>
          <w:tcPr>
            <w:tcW w:type="dxa" w:w="9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責任條件</w:t>
            </w:r>
          </w:p>
        </w:tc>
        <w:tc>
          <w:tcPr>
            <w:tcW w:type="dxa" w:w="20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技術造成的公共效果，是否有人承擔？</w:t>
            </w:r>
          </w:p>
        </w:tc>
        <w:tc>
          <w:tcPr>
            <w:tcW w:type="dxa" w:w="95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清楚</w:t>
            </w:r>
          </w:p>
        </w:tc>
        <w:tc>
          <w:tcPr>
            <w:tcW w:type="dxa" w:w="95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分散</w:t>
            </w:r>
          </w:p>
        </w:tc>
        <w:tc>
          <w:tcPr>
            <w:tcW w:type="dxa" w:w="11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模糊</w:t>
            </w:r>
          </w:p>
        </w:tc>
        <w:tc>
          <w:tcPr>
            <w:tcW w:type="dxa" w:w="31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損害發生時，是否存在明確之求償對象、契約或法規上之責任歸屬條款</w:t>
            </w:r>
          </w:p>
        </w:tc>
      </w:tr>
    </w:tbl>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典型觀察線索」一欄提供的是判斷低／中／高等級時可留意的制度或文件特徵，性質仍屬理論性描述，並非引用任何具體個案，實際編碼時仍須依捌章下文之五步編碼程序，逐一附上文件、訪談或制度條文依據。</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下表則依柒章提出之組合邏輯與邊界規則，建立規範轉換強度矩陣，將四項判準的個別分級，轉譯為三種可判定的型態：</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600"/>
        <w:gridCol w:w="1400"/>
        <w:gridCol w:w="3600"/>
        <w:gridCol w:w="2400"/>
      </w:tblGrid>
      <w:tr>
        <w:trPr>
          <w:cantSplit/>
          <w:tblHeader/>
        </w:trPr>
        <w:tc>
          <w:tcPr>
            <w:tcW w:type="dxa" w:w="1600"/>
            <w:shd w:fill="1A365D"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bCs/>
                <w:i w:val="false"/>
                <w:iCs w:val="false"/>
                <w:color w:val="FFFFFF"/>
                <w:sz w:val="18"/>
                <w:szCs w:val="18"/>
              </w:rPr>
              <w:t xml:space="preserve">型態</w:t>
            </w:r>
          </w:p>
        </w:tc>
        <w:tc>
          <w:tcPr>
            <w:tcW w:type="dxa" w:w="1400"/>
            <w:shd w:fill="1A365D"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bCs/>
                <w:i w:val="false"/>
                <w:iCs w:val="false"/>
                <w:color w:val="FFFFFF"/>
                <w:sz w:val="18"/>
                <w:szCs w:val="18"/>
              </w:rPr>
              <w:t xml:space="preserve">價值條件</w:t>
            </w:r>
          </w:p>
        </w:tc>
        <w:tc>
          <w:tcPr>
            <w:tcW w:type="dxa" w:w="3600"/>
            <w:shd w:fill="1A365D"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bCs/>
                <w:i w:val="false"/>
                <w:iCs w:val="false"/>
                <w:color w:val="FFFFFF"/>
                <w:sz w:val="18"/>
                <w:szCs w:val="18"/>
              </w:rPr>
              <w:t xml:space="preserve">理由／例外／責任（安全閥）</w:t>
            </w:r>
          </w:p>
        </w:tc>
        <w:tc>
          <w:tcPr>
            <w:tcW w:type="dxa" w:w="2400"/>
            <w:shd w:fill="1A365D"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bCs/>
                <w:i w:val="false"/>
                <w:iCs w:val="false"/>
                <w:color w:val="FFFFFF"/>
                <w:sz w:val="18"/>
                <w:szCs w:val="18"/>
              </w:rPr>
              <w:t xml:space="preserve">判定</w:t>
            </w:r>
          </w:p>
        </w:tc>
      </w:tr>
      <w:tr>
        <w:trPr>
          <w:cantSplit/>
        </w:trPr>
        <w:tc>
          <w:tcPr>
            <w:tcW w:type="dxa" w:w="16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型態一　低風險</w:t>
            </w:r>
          </w:p>
        </w:tc>
        <w:tc>
          <w:tcPr>
            <w:tcW w:type="dxa" w:w="14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低</w:t>
            </w:r>
          </w:p>
        </w:tc>
        <w:tc>
          <w:tcPr>
            <w:tcW w:type="dxa" w:w="36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不問其餘三項條件之狀態</w:t>
            </w:r>
          </w:p>
        </w:tc>
        <w:tc>
          <w:tcPr>
            <w:tcW w:type="dxa" w:w="24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技術選擇——停留於光譜左端，不進入規範轉換分析</w:t>
            </w:r>
          </w:p>
        </w:tc>
      </w:tr>
      <w:tr>
        <w:trPr>
          <w:cantSplit/>
        </w:trPr>
        <w:tc>
          <w:tcPr>
            <w:tcW w:type="dxa" w:w="16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型態二　中度轉換</w:t>
            </w:r>
          </w:p>
        </w:tc>
        <w:tc>
          <w:tcPr>
            <w:tcW w:type="dxa" w:w="14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中至高</w:t>
            </w:r>
          </w:p>
        </w:tc>
        <w:tc>
          <w:tcPr>
            <w:tcW w:type="dxa" w:w="36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三項安全閥中至少一項仍具功能（理由可部分要求、例外仍可個案偏離、或責任仍可追溯）</w:t>
            </w:r>
          </w:p>
        </w:tc>
        <w:tc>
          <w:tcPr>
            <w:tcW w:type="dxa" w:w="24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行政規範風險——位於光譜中段，尚可透過既有安全閥拉回</w:t>
            </w:r>
          </w:p>
        </w:tc>
      </w:tr>
      <w:tr>
        <w:trPr>
          <w:cantSplit/>
        </w:trPr>
        <w:tc>
          <w:tcPr>
            <w:tcW w:type="dxa" w:w="16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型態三　高度轉換</w:t>
            </w:r>
          </w:p>
        </w:tc>
        <w:tc>
          <w:tcPr>
            <w:tcW w:type="dxa" w:w="14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中至高</w:t>
            </w:r>
          </w:p>
        </w:tc>
        <w:tc>
          <w:tcPr>
            <w:tcW w:type="dxa" w:w="36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理由、例外、責任三項安全閥同時失效（均為「高」）</w:t>
            </w:r>
          </w:p>
        </w:tc>
        <w:tc>
          <w:tcPr>
            <w:tcW w:type="dxa" w:w="24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實質規範轉換——已進入光譜右端，無既有安全閥可資糾正</w:t>
            </w:r>
          </w:p>
        </w:tc>
      </w:tr>
    </w:tbl>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這兩張表本身仍是理論推導的產物，尚未實際蒐集資料檢驗；其操作化效度，須留待 031 之後續個案工作實際套用、以及 034 已完成之法律文本審計逐條檢驗後，方能確認低／中／高三級指標的判定邊界是否需要進一步細緻化。</w:t>
      </w:r>
    </w:p>
    <w:p>
      <w:pPr>
        <w:pStyle w:val="Heading2"/>
        <w:spacing w:after="140" w:before="280" w:line="340"/>
      </w:pPr>
      <w:r>
        <w:rPr>
          <w:rFonts w:ascii="Noto Sans CJK TC" w:cs="Noto Sans CJK TC" w:eastAsia="Noto Sans CJK TC" w:hAnsi="Noto Sans CJK TC"/>
          <w:b/>
          <w:bCs/>
          <w:i w:val="false"/>
          <w:iCs w:val="false"/>
          <w:color w:val="1A365D"/>
          <w:sz w:val="27"/>
          <w:szCs w:val="27"/>
        </w:rPr>
        <w:t xml:space="preserve">建議編碼步驟</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為使 031 的後續個案工作能直接使用本文，建議依下列五步編碼，而不是一次對四條件做印象式打分：</w:t>
      </w:r>
    </w:p>
    <w:p>
      <w:pPr>
        <w:pStyle w:val="ListParagraph"/>
        <w:numPr>
          <w:ilvl w:val="0"/>
          <w:numId w:val="1"/>
        </w:numPr>
        <w:spacing w:after="100" w:before="0" w:line="320"/>
        <w:ind w:left="400"/>
      </w:pPr>
      <w:r>
        <w:rPr>
          <w:rFonts w:ascii="Noto Serif CJK TC" w:cs="Noto Serif CJK TC" w:eastAsia="Noto Serif CJK TC" w:hAnsi="Noto Serif CJK TC"/>
          <w:b w:val="false"/>
          <w:bCs w:val="false"/>
          <w:i w:val="false"/>
          <w:iCs w:val="false"/>
          <w:color w:val="1A202C"/>
          <w:sz w:val="22"/>
          <w:szCs w:val="22"/>
        </w:rPr>
        <w:t xml:space="preserve">第一步，鎖定分析對象：不是「整個 AI 系統」，而是一項可指認的技術選擇，例如特定風險門檻、特定資料納入範圍、特定預設值或特定警示規則。</w:t>
      </w:r>
    </w:p>
    <w:p>
      <w:pPr>
        <w:pStyle w:val="ListParagraph"/>
        <w:numPr>
          <w:ilvl w:val="0"/>
          <w:numId w:val="1"/>
        </w:numPr>
        <w:spacing w:after="100" w:before="0" w:line="320"/>
        <w:ind w:left="400"/>
      </w:pPr>
      <w:r>
        <w:rPr>
          <w:rFonts w:ascii="Noto Serif CJK TC" w:cs="Noto Serif CJK TC" w:eastAsia="Noto Serif CJK TC" w:hAnsi="Noto Serif CJK TC"/>
          <w:b w:val="false"/>
          <w:bCs w:val="false"/>
          <w:i w:val="false"/>
          <w:iCs w:val="false"/>
          <w:color w:val="1A202C"/>
          <w:sz w:val="22"/>
          <w:szCs w:val="22"/>
        </w:rPr>
        <w:t xml:space="preserve">第二步，先判價值條件。若為低，依規則 A 停止，標為型態一。</w:t>
      </w:r>
    </w:p>
    <w:p>
      <w:pPr>
        <w:pStyle w:val="ListParagraph"/>
        <w:numPr>
          <w:ilvl w:val="0"/>
          <w:numId w:val="1"/>
        </w:numPr>
        <w:spacing w:after="100" w:before="0" w:line="320"/>
        <w:ind w:left="400"/>
      </w:pPr>
      <w:r>
        <w:rPr>
          <w:rFonts w:ascii="Noto Serif CJK TC" w:cs="Noto Serif CJK TC" w:eastAsia="Noto Serif CJK TC" w:hAnsi="Noto Serif CJK TC"/>
          <w:b w:val="false"/>
          <w:bCs w:val="false"/>
          <w:i w:val="false"/>
          <w:iCs w:val="false"/>
          <w:color w:val="1A202C"/>
          <w:sz w:val="22"/>
          <w:szCs w:val="22"/>
        </w:rPr>
        <w:t xml:space="preserve">第三步，分別為理由、例外、責任編碼為低／中／高，每一項至少附一則文件、訪談或制度條文依據。無依據者標【U】，不得逕填「高」。</w:t>
      </w:r>
    </w:p>
    <w:p>
      <w:pPr>
        <w:pStyle w:val="ListParagraph"/>
        <w:numPr>
          <w:ilvl w:val="0"/>
          <w:numId w:val="1"/>
        </w:numPr>
        <w:spacing w:after="100" w:before="0" w:line="320"/>
        <w:ind w:left="400"/>
      </w:pPr>
      <w:r>
        <w:rPr>
          <w:rFonts w:ascii="Noto Serif CJK TC" w:cs="Noto Serif CJK TC" w:eastAsia="Noto Serif CJK TC" w:hAnsi="Noto Serif CJK TC"/>
          <w:b w:val="false"/>
          <w:bCs w:val="false"/>
          <w:i w:val="false"/>
          <w:iCs w:val="false"/>
          <w:color w:val="1A202C"/>
          <w:sz w:val="22"/>
          <w:szCs w:val="22"/>
        </w:rPr>
        <w:t xml:space="preserve">第四步，依規則 A 至 D 判定型態。邊界個案單獨列表，不強行歸入型態三。</w:t>
      </w:r>
    </w:p>
    <w:p>
      <w:pPr>
        <w:pStyle w:val="ListParagraph"/>
        <w:numPr>
          <w:ilvl w:val="0"/>
          <w:numId w:val="1"/>
        </w:numPr>
        <w:spacing w:after="100" w:before="0" w:line="320"/>
        <w:ind w:left="400"/>
      </w:pPr>
      <w:r>
        <w:rPr>
          <w:rFonts w:ascii="Noto Serif CJK TC" w:cs="Noto Serif CJK TC" w:eastAsia="Noto Serif CJK TC" w:hAnsi="Noto Serif CJK TC"/>
          <w:b w:val="false"/>
          <w:bCs w:val="false"/>
          <w:i w:val="false"/>
          <w:iCs w:val="false"/>
          <w:color w:val="1A202C"/>
          <w:sz w:val="22"/>
          <w:szCs w:val="22"/>
        </w:rPr>
        <w:t xml:space="preserve">第五步，另欄記錄 UCPR 線索，但不得用 UCPR 的強弱去改寫規範轉換的型態。兩者合併觀察，分開計分。</w:t>
      </w:r>
    </w:p>
    <w:p>
      <w:pPr>
        <w:pStyle w:val="Heading2"/>
        <w:spacing w:after="140" w:before="280" w:line="340"/>
      </w:pPr>
      <w:r>
        <w:rPr>
          <w:rFonts w:ascii="Noto Sans CJK TC" w:cs="Noto Sans CJK TC" w:eastAsia="Noto Sans CJK TC" w:hAnsi="Noto Sans CJK TC"/>
          <w:b/>
          <w:bCs/>
          <w:i w:val="false"/>
          <w:iCs w:val="false"/>
          <w:color w:val="1A365D"/>
          <w:sz w:val="27"/>
          <w:szCs w:val="27"/>
        </w:rPr>
        <w:t xml:space="preserve">可轉譯為法律文本審查問題的清單</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前述判準與編碼步驟同樣可轉譯為一組法律文本逐條審查問題，供比較法學與政策文本分析研究使用：</w:t>
      </w:r>
    </w:p>
    <w:p>
      <w:pPr>
        <w:pStyle w:val="ListParagraph"/>
        <w:numPr>
          <w:ilvl w:val="0"/>
          <w:numId w:val="1"/>
        </w:numPr>
        <w:spacing w:after="100" w:before="0" w:line="320"/>
        <w:ind w:left="400"/>
      </w:pPr>
      <w:r>
        <w:rPr>
          <w:rFonts w:ascii="Noto Serif CJK TC" w:cs="Noto Serif CJK TC" w:eastAsia="Noto Serif CJK TC" w:hAnsi="Noto Serif CJK TC"/>
          <w:b w:val="false"/>
          <w:bCs w:val="false"/>
          <w:i w:val="false"/>
          <w:iCs w:val="false"/>
          <w:color w:val="1A202C"/>
          <w:sz w:val="22"/>
          <w:szCs w:val="22"/>
        </w:rPr>
        <w:t xml:space="preserve">高價值技術選擇是否被要求說明理由？說明對象是否包括受規範者，而不只是內部工程文件？</w:t>
      </w:r>
    </w:p>
    <w:p>
      <w:pPr>
        <w:pStyle w:val="ListParagraph"/>
        <w:numPr>
          <w:ilvl w:val="0"/>
          <w:numId w:val="1"/>
        </w:numPr>
        <w:spacing w:after="100" w:before="0" w:line="320"/>
        <w:ind w:left="400"/>
      </w:pPr>
      <w:r>
        <w:rPr>
          <w:rFonts w:ascii="Noto Serif CJK TC" w:cs="Noto Serif CJK TC" w:eastAsia="Noto Serif CJK TC" w:hAnsi="Noto Serif CJK TC"/>
          <w:b w:val="false"/>
          <w:bCs w:val="false"/>
          <w:i w:val="false"/>
          <w:iCs w:val="false"/>
          <w:color w:val="1A202C"/>
          <w:sz w:val="22"/>
          <w:szCs w:val="22"/>
        </w:rPr>
        <w:t xml:space="preserve">法律是否要求人類覆核具有實質推翻權，而不只是形式簽核？</w:t>
      </w:r>
    </w:p>
    <w:p>
      <w:pPr>
        <w:pStyle w:val="ListParagraph"/>
        <w:numPr>
          <w:ilvl w:val="0"/>
          <w:numId w:val="1"/>
        </w:numPr>
        <w:spacing w:after="100" w:before="0" w:line="320"/>
        <w:ind w:left="400"/>
      </w:pPr>
      <w:r>
        <w:rPr>
          <w:rFonts w:ascii="Noto Serif CJK TC" w:cs="Noto Serif CJK TC" w:eastAsia="Noto Serif CJK TC" w:hAnsi="Noto Serif CJK TC"/>
          <w:b w:val="false"/>
          <w:bCs w:val="false"/>
          <w:i w:val="false"/>
          <w:iCs w:val="false"/>
          <w:color w:val="1A202C"/>
          <w:sz w:val="22"/>
          <w:szCs w:val="22"/>
        </w:rPr>
        <w:t xml:space="preserve">是否存在個案例外、落日條款或定期重新審查技術參數的機制？</w:t>
      </w:r>
    </w:p>
    <w:p>
      <w:pPr>
        <w:pStyle w:val="ListParagraph"/>
        <w:numPr>
          <w:ilvl w:val="0"/>
          <w:numId w:val="1"/>
        </w:numPr>
        <w:spacing w:after="100" w:before="0" w:line="320"/>
        <w:ind w:left="400"/>
      </w:pPr>
      <w:r>
        <w:rPr>
          <w:rFonts w:ascii="Noto Serif CJK TC" w:cs="Noto Serif CJK TC" w:eastAsia="Noto Serif CJK TC" w:hAnsi="Noto Serif CJK TC"/>
          <w:b w:val="false"/>
          <w:bCs w:val="false"/>
          <w:i w:val="false"/>
          <w:iCs w:val="false"/>
          <w:color w:val="1A202C"/>
          <w:sz w:val="22"/>
          <w:szCs w:val="22"/>
        </w:rPr>
        <w:t xml:space="preserve">損害發生時，責任歸屬是否指向可辨識的公共機關，而非停留在供應商契約條款？</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這些問題檢驗的是法制有沒有把安全閥寫進去；至於安全閥會不會被使用，仍屬 UCPR 與組織追蹤的範圍。034 已完成之三制度法律文本審計，其逐條審查方法與這組問題方向一致，可供讀者交互參照，惟兩篇文章之審查問題與條文對照均各自獨立完成，非彼此互相引用之結果。具體而言，第一題（是否被要求說明理由、說明對象是否及於受規範者）與 034 之認知能力審計問題（法律文本是否要求政府或部署者說明、記錄、揭露系統邏輯與風險評估）方向一致；第二題（人類覆核是否具實質推翻權）與第三題（個案例外、落日條款或定期重新審查機制）與 034 之決策能力審計問題（法律文本是否明文賦予暫停、否決、覆核或停止系統運作之權限）方向一致；第四題（責任歸屬是否指向可辨識之公共機關）與 034 之課責能力審計問題（法律文本是否明文建立獨立於既有救濟之外的救濟、賠償或責任歸屬機制）方向一致。這項對照僅說明兩篇文章之問題設計方向相近，不代表其中一篇之發現可直接代入另一篇。</w:t>
      </w:r>
    </w:p>
    <w:p>
      <w:pPr>
        <w:pStyle w:val="Heading1"/>
        <w:spacing w:after="200" w:before="360" w:line="360"/>
      </w:pPr>
      <w:r>
        <w:rPr>
          <w:rFonts w:ascii="Noto Sans CJK TC" w:cs="Noto Sans CJK TC" w:eastAsia="Noto Sans CJK TC" w:hAnsi="Noto Sans CJK TC"/>
          <w:b/>
          <w:bCs/>
          <w:i w:val="false"/>
          <w:iCs w:val="false"/>
          <w:color w:val="1A365D"/>
          <w:sz w:val="32"/>
          <w:szCs w:val="32"/>
        </w:rPr>
        <w:t xml:space="preserve">玖、規範轉換與 UCPR、裁量場的分工</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本節把 029、030（本文所稱 GDA 模型）與本文接起來。規範轉換回答「危險在哪裡？」；UCPR 回答「政府還能不能把它拉回來？」因此：規範轉換是風險診斷（risk diagnosis），UCPR 是制度回應能力（institutional response capacity）。這個分工使本文不與 030 之既有論述重複：030 已經指出生成結構與裁量配置可能影響 UCPR，本文則進一步指出，即使暫不考慮生成與裁量兩層，單是技術選擇本身的規範強度，也可能因價值、理由、例外、責任四項條件的組合而顯著不同——這是一條獨立於生成分散、裁量轉移之外，同樣可能推高或壓低權威外部化風險的路徑。</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柒章指出的結構——價值條件是門檻，理由、例外、責任是安全閥——與 032 對 UCPR 三種能力的「構成性能力」定性，呈現出一組有意思的結構對稱：兩者都主張，某一組成部分的狀態不能被其他部分簡單替代或加總；差別在於 UCPR 是「任一項長期缺失即整體喪失」，而規範轉換的安全閥是「任一項仍具功能即可暫緩」。這個差異本身也提示了兩個構念的功能分工：規範轉換的安全閥回答的是「這個技術選擇本身有沒有機會被攔下來」，UCPR 回答的是「公共機關有沒有能力把它攔下來」——縱使一項技術選擇已經進入型態三（實質規範轉換），只要公共機關本身仍保有充分的 UCPR，仍有可能透過事中介入或事後補救重新掌握權威；反之，即使一項技術選擇仍停留在型態二（行政規範風險），若公共機關的 UCPR 本身已經薄弱，也可能無法及時利用理由、例外、責任任一項尚存的安全閥。033 所稱「形式再介入權限」與「實質再介入能力」的落差，正好說明：安全閥寫在紙上，不等於安全閥還能啟動。兩個構念因此須合併觀察，而非擇一而論。</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與裁量場的分工同樣需要守住。例外條件看的是規則有沒有留下偏離空間，這是制度設計層次的問題；人類覆核節點看的是這個空間有沒有被實際使用，這是組織行為層次的問題。把覆核率低直接寫成「已經發生規範轉換」，會把結構問題與組織行為問題混在一起——一項技術選擇即使例外條件在制度設計上評為「低」風險（規則確實留有偏離空間），若覆核者因案件量過大、誘因扭曲或專業訓練不足而從未實際行使推翻權，這是裁量場人類覆核節點的失能，不必然代表柒章所稱的例外條件本身已經惡化為「高」風險；反之亦然。伍章所列之觀察指標（實質推翻率、覆核者能否取得完整資料等），正是為了讓這兩層問題在編碼時被分開記錄，而不是混為一談。</w:t>
      </w:r>
    </w:p>
    <w:p>
      <w:pPr>
        <w:pStyle w:val="Heading1"/>
        <w:spacing w:after="200" w:before="360" w:line="360"/>
      </w:pPr>
      <w:r>
        <w:rPr>
          <w:rFonts w:ascii="Noto Sans CJK TC" w:cs="Noto Sans CJK TC" w:eastAsia="Noto Sans CJK TC" w:hAnsi="Noto Sans CJK TC"/>
          <w:b/>
          <w:bCs/>
          <w:i w:val="false"/>
          <w:iCs w:val="false"/>
          <w:color w:val="1A365D"/>
          <w:sz w:val="32"/>
          <w:szCs w:val="32"/>
        </w:rPr>
        <w:t xml:space="preserve">拾、理論命題與優先驗證順序</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綜合前述分析，本文提出六項理論命題，作為後續個案研究、跨案例比較與法律文本審計的檢驗起點，而非本文已經驗證的結論。每項命題均附上可能反證與建議觀察點，以下六項命題是檢驗起點，不是本文已經驗證的結論：</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600"/>
        <w:gridCol w:w="2500"/>
        <w:gridCol w:w="3000"/>
        <w:gridCol w:w="2900"/>
      </w:tblGrid>
      <w:tr>
        <w:trPr>
          <w:cantSplit/>
          <w:tblHeader/>
        </w:trPr>
        <w:tc>
          <w:tcPr>
            <w:tcW w:type="dxa" w:w="600"/>
            <w:shd w:fill="1A365D"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bCs/>
                <w:i w:val="false"/>
                <w:iCs w:val="false"/>
                <w:color w:val="FFFFFF"/>
                <w:sz w:val="18"/>
                <w:szCs w:val="18"/>
              </w:rPr>
              <w:t xml:space="preserve">命題</w:t>
            </w:r>
          </w:p>
        </w:tc>
        <w:tc>
          <w:tcPr>
            <w:tcW w:type="dxa" w:w="2500"/>
            <w:shd w:fill="1A365D"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bCs/>
                <w:i w:val="false"/>
                <w:iCs w:val="false"/>
                <w:color w:val="FFFFFF"/>
                <w:sz w:val="18"/>
                <w:szCs w:val="18"/>
              </w:rPr>
              <w:t xml:space="preserve">表述</w:t>
            </w:r>
          </w:p>
        </w:tc>
        <w:tc>
          <w:tcPr>
            <w:tcW w:type="dxa" w:w="3000"/>
            <w:shd w:fill="1A365D"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bCs/>
                <w:i w:val="false"/>
                <w:iCs w:val="false"/>
                <w:color w:val="FFFFFF"/>
                <w:sz w:val="18"/>
                <w:szCs w:val="18"/>
              </w:rPr>
              <w:t xml:space="preserve">可能反證</w:t>
            </w:r>
          </w:p>
        </w:tc>
        <w:tc>
          <w:tcPr>
            <w:tcW w:type="dxa" w:w="2900"/>
            <w:shd w:fill="1A365D"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bCs/>
                <w:i w:val="false"/>
                <w:iCs w:val="false"/>
                <w:color w:val="FFFFFF"/>
                <w:sz w:val="18"/>
                <w:szCs w:val="18"/>
              </w:rPr>
              <w:t xml:space="preserve">建議觀察點</w:t>
            </w:r>
          </w:p>
        </w:tc>
      </w:tr>
      <w:tr>
        <w:trPr>
          <w:cantSplit/>
        </w:trPr>
        <w:tc>
          <w:tcPr>
            <w:tcW w:type="dxa" w:w="6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一</w:t>
            </w:r>
          </w:p>
        </w:tc>
        <w:tc>
          <w:tcPr>
            <w:tcW w:type="dxa" w:w="25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技術選擇涉及的公共價值越高，其規範性越高。</w:t>
            </w:r>
          </w:p>
        </w:tc>
        <w:tc>
          <w:tcPr>
            <w:tcW w:type="dxa" w:w="30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雖涉較高公共價值，但屬高度技術共識、幾無爭議空間之事項（如統一度量衡標準），規範性未必隨之提高。</w:t>
            </w:r>
          </w:p>
        </w:tc>
        <w:tc>
          <w:tcPr>
            <w:tcW w:type="dxa" w:w="29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比較「高價值且具爭議」與「高價值但已有共識標準」兩類參數。</w:t>
            </w:r>
          </w:p>
        </w:tc>
      </w:tr>
      <w:tr>
        <w:trPr>
          <w:cantSplit/>
        </w:trPr>
        <w:tc>
          <w:tcPr>
            <w:tcW w:type="dxa" w:w="6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二</w:t>
            </w:r>
          </w:p>
        </w:tc>
        <w:tc>
          <w:tcPr>
            <w:tcW w:type="dxa" w:w="25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技術選擇越難被行政人員理解與推翻，其規範轉換風險越高。</w:t>
            </w:r>
          </w:p>
        </w:tc>
        <w:tc>
          <w:tcPr>
            <w:tcW w:type="dxa" w:w="30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人員雖不完全理解模型內部邏輯，但仍具備充分外部稽核報告與獨立驗證機制可資參照，理解難度提高未必直接推升規範轉換風險。</w:t>
            </w:r>
          </w:p>
        </w:tc>
        <w:tc>
          <w:tcPr>
            <w:tcW w:type="dxa" w:w="29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同時測量理解程度、推翻率，以及是否存在獨立驗證報告。</w:t>
            </w:r>
          </w:p>
        </w:tc>
      </w:tr>
      <w:tr>
        <w:trPr>
          <w:cantSplit/>
        </w:trPr>
        <w:tc>
          <w:tcPr>
            <w:tcW w:type="dxa" w:w="6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三</w:t>
            </w:r>
          </w:p>
        </w:tc>
        <w:tc>
          <w:tcPr>
            <w:tcW w:type="dxa" w:w="25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當例外與救濟能力下降時，技術選擇更可能產生實質規範效果。</w:t>
            </w:r>
          </w:p>
        </w:tc>
        <w:tc>
          <w:tcPr>
            <w:tcW w:type="dxa" w:w="30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若價值條件本身偏低，即使例外與救濟能力下降，該選擇仍可能停留於技術選擇，不產生實質規範效果。</w:t>
            </w:r>
          </w:p>
        </w:tc>
        <w:tc>
          <w:tcPr>
            <w:tcW w:type="dxa" w:w="29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先控制價值門檻，再比較例外難度不同的系統。</w:t>
            </w:r>
          </w:p>
        </w:tc>
      </w:tr>
      <w:tr>
        <w:trPr>
          <w:cantSplit/>
        </w:trPr>
        <w:tc>
          <w:tcPr>
            <w:tcW w:type="dxa" w:w="6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四</w:t>
            </w:r>
          </w:p>
        </w:tc>
        <w:tc>
          <w:tcPr>
            <w:tcW w:type="dxa" w:w="25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當責任無法明確配置時，規範轉換更容易導向公共權威外部化。</w:t>
            </w:r>
          </w:p>
        </w:tc>
        <w:tc>
          <w:tcPr>
            <w:tcW w:type="dxa" w:w="30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機關雖無法明確配置個別責任，但整體仍保有強制停止、重新採購或終止系統之集體決策能力，權威外部化的風險可能被部分抵銷。</w:t>
            </w:r>
          </w:p>
        </w:tc>
        <w:tc>
          <w:tcPr>
            <w:tcW w:type="dxa" w:w="29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區分「個案責任真空」與「系統層級仍可停用」兩種狀態。</w:t>
            </w:r>
          </w:p>
        </w:tc>
      </w:tr>
      <w:tr>
        <w:trPr>
          <w:cantSplit/>
        </w:trPr>
        <w:tc>
          <w:tcPr>
            <w:tcW w:type="dxa" w:w="6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五</w:t>
            </w:r>
          </w:p>
        </w:tc>
        <w:tc>
          <w:tcPr>
            <w:tcW w:type="dxa" w:w="25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即使發生規範轉換，只要 UCPR 足夠，公共權威仍可能重新介入。</w:t>
            </w:r>
          </w:p>
        </w:tc>
        <w:tc>
          <w:tcPr>
            <w:tcW w:type="dxa" w:w="30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UCPR 三種能力名目上具備，但因時間壓力、資源不足或組織誘因扭曲而從未被實際行使，規範轉換仍可能在事實上導向權威外部化，即使 UCPR 形式上「足夠」。</w:t>
            </w:r>
          </w:p>
        </w:tc>
        <w:tc>
          <w:tcPr>
            <w:tcW w:type="dxa" w:w="2900"/>
            <w:shd w:fill="FFFFFF"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同時記錄型態判定與 UCPR 是否曾被實際啟動，而不只看條文權限。</w:t>
            </w:r>
          </w:p>
        </w:tc>
      </w:tr>
      <w:tr>
        <w:trPr>
          <w:cantSplit/>
        </w:trPr>
        <w:tc>
          <w:tcPr>
            <w:tcW w:type="dxa" w:w="6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六</w:t>
            </w:r>
          </w:p>
        </w:tc>
        <w:tc>
          <w:tcPr>
            <w:tcW w:type="dxa" w:w="25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安全閥若僅為名目存在而從未被實際行使（安全閥空轉），其防止規範轉換的效果等同於未提供該安全閥。</w:t>
            </w:r>
          </w:p>
        </w:tc>
        <w:tc>
          <w:tcPr>
            <w:tcW w:type="dxa" w:w="30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即使安全閥於特定觀察期間內從未被行使，只要其行使條件與程序仍屬明確、可即時啟動，仍可能在真正需要時發揮嚇阻與糾正效果，空轉未必等同於無效；此外，低使用率也可能反映該安全閥範圍內個案本身即少有爭議，而非安全閥本身失能。</w:t>
            </w:r>
          </w:p>
        </w:tc>
        <w:tc>
          <w:tcPr>
            <w:tcW w:type="dxa" w:w="2900"/>
            <w:shd w:fill="F7FAFC" w:color="auto" w:val="clear"/>
            <w:tcMar>
              <w:top w:type="dxa" w:w="60"/>
              <w:left w:type="dxa" w:w="100"/>
              <w:bottom w:type="dxa" w:w="60"/>
              <w:right w:type="dxa" w:w="100"/>
            </w:tcMar>
            <w:vAlign w:val="center"/>
          </w:tcPr>
          <w:p>
            <w:pPr>
              <w:spacing w:after="0" w:before="0" w:line="260"/>
            </w:pPr>
            <w:r>
              <w:rPr>
                <w:rFonts w:ascii="Noto Sans CJK TC" w:cs="Noto Sans CJK TC" w:eastAsia="Noto Sans CJK TC" w:hAnsi="Noto Sans CJK TC"/>
                <w:b w:val="false"/>
                <w:bCs w:val="false"/>
                <w:i w:val="false"/>
                <w:iCs w:val="false"/>
                <w:color w:val="1A202C"/>
                <w:sz w:val="18"/>
                <w:szCs w:val="18"/>
              </w:rPr>
              <w:t xml:space="preserve">於一段觀察期間內，追蹤安全閥（理由說明、個案例外、責任追究）之實際啟動次數與處理結果，並與其名目授權範圍相比較，同時排除「低爭議」此一替代解釋，以判斷是否存在系統性空轉。</w:t>
            </w:r>
          </w:p>
        </w:tc>
      </w:tr>
    </w:tbl>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命題六是柒-二節「安全閥空轉」概念與命題五之延伸整合：命題五問的是 UCPR 是否曾被實際啟動，命題六問的是本文柒、參至陸章所稱之三項安全閥本身是否曾被實際啟動——兩者問的是結構上平行、但構念不同的問題（UCPR 屬 032 構念，安全閥屬本文構念），本文將其並列為兩項命題，而非合併為一項，以維持玖章所強調之構念分工。</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命題五實質上是柒章與玖章論證的濃縮版本，也是本文與 030 整體因果鏈最直接的交會點：它預測規範轉換與 UCPR 之間存在一種可能的抵銷關係，而這個預測目前完全停留在理論層次，尚未經過任何資料檢驗。</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優先驗證順序建議如下，但不預作最終排定：第一階段用多個案流程資料先檢驗命題二、三（理解／推翻／例外），這是資料相對容易取得、且與 031 個案研究方法直接銜接的層次；第二階段用臺灣、歐盟、加拿大文本審計檢驗命題四，以及安全閥是否被法制明文要求，034 已完成之三制度比較可作為此一階段之直接材料；第三階段用長期組織追蹤同時檢驗命題五與命題六，觀察 UCPR 與理由、例外、責任三項安全閥是否隨模型更新、資料漂移與供應商更替而空轉——命題五問 UCPR 是否空轉，命題六問安全閥本身是否空轉，兩者資料需求相近，適合併入同一階段之長期追蹤設計，但編碼時仍應分開記錄，不得互相取代。命題一作為門檻命題，應在每一階段編碼時先處理，而不是單獨做成最後一篇文章。這份三階段設計，與 033 就其二十七題後續研究問題所排出之暫定優先順序，精神一致但顆粒度不同：033 排定的是跨五個研究群之整體研究議程優先順序，本節排定的則是本文自身六項命題之驗證順序，兩者可交互參照，不宜逕行等同。</w:t>
      </w:r>
    </w:p>
    <w:p>
      <w:pPr>
        <w:pStyle w:val="Heading1"/>
        <w:spacing w:after="200" w:before="360" w:line="360"/>
      </w:pPr>
      <w:r>
        <w:rPr>
          <w:rFonts w:ascii="Noto Sans CJK TC" w:cs="Noto Sans CJK TC" w:eastAsia="Noto Sans CJK TC" w:hAnsi="Noto Sans CJK TC"/>
          <w:b/>
          <w:bCs/>
          <w:i w:val="false"/>
          <w:iCs w:val="false"/>
          <w:color w:val="1A365D"/>
          <w:sz w:val="32"/>
          <w:szCs w:val="32"/>
        </w:rPr>
        <w:t xml:space="preserve">拾壹、結論</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技術不是因為「用了 AI」就變成規範。而是當技術選擇開始分配價值、需要公共理由、排除例外、造成責任配置問題時，才開始發生規範轉換。本文的任務，是把這句從 029 一路延續至 033 的直覺性判斷，轉化為具體可操作的判準：價值條件作為門檻，理由、例外、責任三項條件作為一組安全閥，唯有三者同時失效，才構成本文所稱的實質規範轉換；三型態之間的組合邏輯，收攏為捌章的規範轉換強度矩陣與四條邊界規則，並延伸為六項附有觀察指標的可檢驗理論命題，以及可直接使用的五步編碼程序。</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本文必須誠實重申其限制：全文自始至終未蒐集任何案例或法律文本資料，捌章的判準表、強度矩陣與編碼步驟、拾章的六項命題，均屬理論推導之產物；低／中／高三級指標之間的判定邊界，以及安全閥「名目存在但從未行使」的空轉情形，仍有待後續個案工作累積更多判斷案例後逐步細緻化；柒章之邊界規則本身也坦承尚未窮盡處理所有交界情形。本文的角色是把一個反覆被指出、卻始終未被處理的理論缺口，第一次系統性地往下推演一層，而不是宣稱已經完成規範轉換判準的最終定案。</w:t>
      </w:r>
    </w:p>
    <w:p>
      <w:pPr>
        <w:spacing w:after="180" w:before="0" w:line="340"/>
        <w:jc w:val="both"/>
      </w:pPr>
      <w:r>
        <w:rPr>
          <w:rFonts w:ascii="Noto Serif CJK TC" w:cs="Noto Serif CJK TC" w:eastAsia="Noto Serif CJK TC" w:hAnsi="Noto Serif CJK TC"/>
          <w:b w:val="false"/>
          <w:bCs w:val="false"/>
          <w:i w:val="false"/>
          <w:iCs w:val="false"/>
          <w:color w:val="1A202C"/>
          <w:sz w:val="22"/>
          <w:szCs w:val="22"/>
        </w:rPr>
        <w:t xml:space="preserve">這個定位同時也劃出了本文對系列後續研究的具體貢獻：031 若要進行跨案例比較，可直接援用捌章的判準表與五步編碼程序逐案編碼，觀察電子圍籬個案及後續個案中，價值、理由、例外、責任四項條件各自落在低、中、高的哪一級，藉此檢驗三型態的分類是否符合經驗材料；034 已完成之臺灣、歐盟、加拿大三制度法律文本審計，可與本文捌章之審查問題交互參照，檢驗各國法制是否明文要求高價值技術選擇具備相應的說理義務、例外機制與責任配置；032 與 033 對 GDA 模型整體因果鏈與研究議程的論述，亦可將本文的規範轉換強度矩陣與編碼工具，作為既有討論中「規範轉換如何操作化」問題的具體解答。GDA 的任務不是宣稱 AI 行政必然失去公共性，而是指出公共性究竟在價值分配、理由、例外或責任的哪一個節點開始流失。</w:t>
      </w:r>
    </w:p>
    <w:p>
      <w:pPr>
        <w:pBdr>
          <w:left w:val="single" w:color="2C5282" w:sz="12" w:space="8"/>
        </w:pBdr>
        <w:spacing w:after="180" w:before="100" w:line="340"/>
        <w:ind w:left="400"/>
      </w:pPr>
      <w:r>
        <w:rPr>
          <w:rFonts w:ascii="Noto Serif CJK TC" w:cs="Noto Serif CJK TC" w:eastAsia="Noto Serif CJK TC" w:hAnsi="Noto Serif CJK TC"/>
          <w:b w:val="false"/>
          <w:bCs w:val="false"/>
          <w:i/>
          <w:iCs/>
          <w:color w:val="2C5282"/>
          <w:sz w:val="22"/>
          <w:szCs w:val="22"/>
        </w:rPr>
        <w:t xml:space="preserve">技術選擇不是因為使用了演算法才具有規範性，而是因為它分配了價值、規避了理由、排除了例外、模糊了責任。規範轉換判準要問的，正是這四件事是否同時發生；而在同時發生之前，還要先問：那三道安全閥，是真的還在，還是只剩下形式。</w:t>
      </w:r>
    </w:p>
    <w:p>
      <w:pPr>
        <w:pStyle w:val="Heading1"/>
        <w:spacing w:after="200" w:before="360" w:line="360"/>
      </w:pPr>
      <w:r>
        <w:rPr>
          <w:rFonts w:ascii="Noto Sans CJK TC" w:cs="Noto Sans CJK TC" w:eastAsia="Noto Sans CJK TC" w:hAnsi="Noto Sans CJK TC"/>
          <w:b/>
          <w:bCs/>
          <w:i w:val="false"/>
          <w:iCs w:val="false"/>
          <w:color w:val="1A365D"/>
          <w:sz w:val="32"/>
          <w:szCs w:val="32"/>
        </w:rPr>
        <w:t xml:space="preserve">參考文獻</w:t>
      </w:r>
    </w:p>
    <w:p>
      <w:pPr>
        <w:spacing w:after="180" w:before="0" w:line="340"/>
        <w:jc w:val="both"/>
      </w:pPr>
      <w:r>
        <w:rPr>
          <w:rFonts w:ascii="Noto Serif CJK TC" w:cs="Noto Serif CJK TC" w:eastAsia="Noto Serif CJK TC" w:hAnsi="Noto Serif CJK TC"/>
          <w:b w:val="false"/>
          <w:bCs w:val="false"/>
          <w:i w:val="false"/>
          <w:iCs w:val="false"/>
          <w:color w:val="1A202C"/>
          <w:sz w:val="20"/>
          <w:szCs w:val="20"/>
        </w:rPr>
        <w:t xml:space="preserve">盧建旭（作者前作，未出版工作稿，未公開發表）。027〈誰在行政行動〉、028〈裁量何在〉、029〈不可外包的行政〉（規範轉換四條件與 nondelegation doctrine、Wesentlichkeitstheorie 等比較法背景之原始出處）、030〈人工智慧時代公共行政之「生成—裁量—權威」理論架構〉（即本文所稱 GDA 模型之整合工作稿）、031〈電子圍籬作為分散式行政行動：以030模型初步檢視台灣COVID-19智慧監控系統之文件個案研究〉、032〈人工智慧時代公共行政理論的再定位：從數位治理到「生成—裁量—權威」〉、033〈人工智慧時代公共行政研究議程：從「生成—裁量—權威」模型出發〉、034〈最終再介入能力的制度化：臺灣、歐盟與加拿大人工智慧治理規範之比較分析〉。</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oto Serif CJK TC" w:cs="Noto Serif CJK TC" w:eastAsia="Noto Serif CJK TC" w:hAnsi="Noto Serif CJK T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896bd51d17e36fdf593e30c5752611a793c1b32.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2026-08-29T12:47:12.846Z</dcterms:created>
  <dcterms:modified xsi:type="dcterms:W3CDTF">2026-08-29T12:47:12.846Z</dcterms:modified>
</cp:coreProperties>
</file>

<file path=docProps/custom.xml><?xml version="1.0" encoding="utf-8"?>
<Properties xmlns="http://schemas.openxmlformats.org/officeDocument/2006/custom-properties" xmlns:vt="http://schemas.openxmlformats.org/officeDocument/2006/docPropsVTypes"/>
</file>