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129A" w:rsidRDefault="0079129A">
      <w:pPr>
        <w:spacing w:after="60"/>
        <w:jc w:val="center"/>
        <w:rPr>
          <w:rFonts w:ascii="新細明體" w:eastAsia="新細明體" w:hAnsi="新細明體" w:cs="新細明體"/>
          <w:b/>
          <w:bCs/>
          <w:color w:val="1A365D"/>
          <w:sz w:val="34"/>
          <w:szCs w:val="34"/>
        </w:rPr>
      </w:pPr>
      <w:r>
        <w:rPr>
          <w:rFonts w:asciiTheme="minorEastAsia" w:hAnsiTheme="minorEastAsia" w:cs="Noto Sans CJK TC" w:hint="eastAsia"/>
          <w:b/>
          <w:bCs/>
          <w:color w:val="1A365D"/>
          <w:sz w:val="34"/>
          <w:szCs w:val="34"/>
        </w:rPr>
        <w:t>034</w:t>
      </w:r>
      <w:r>
        <w:rPr>
          <w:rFonts w:ascii="Noto Sans CJK TC" w:eastAsia="Noto Sans CJK TC" w:hAnsi="Noto Sans CJK TC" w:cs="Noto Sans CJK TC"/>
          <w:b/>
          <w:bCs/>
          <w:color w:val="1A365D"/>
          <w:sz w:val="34"/>
          <w:szCs w:val="34"/>
        </w:rPr>
        <w:t xml:space="preserve"> </w:t>
      </w:r>
      <w:r>
        <w:rPr>
          <w:rFonts w:asciiTheme="minorEastAsia" w:hAnsiTheme="minorEastAsia" w:cs="Noto Sans CJK TC" w:hint="eastAsia"/>
          <w:b/>
          <w:bCs/>
          <w:color w:val="1A365D"/>
          <w:sz w:val="34"/>
          <w:szCs w:val="34"/>
        </w:rPr>
        <w:t>A</w:t>
      </w:r>
      <w:r>
        <w:rPr>
          <w:rFonts w:ascii="Noto Sans CJK TC" w:eastAsia="Noto Sans CJK TC" w:hAnsi="Noto Sans CJK TC" w:cs="Noto Sans CJK TC"/>
          <w:b/>
          <w:bCs/>
          <w:color w:val="1A365D"/>
          <w:sz w:val="34"/>
          <w:szCs w:val="34"/>
        </w:rPr>
        <w:t>I</w:t>
      </w:r>
      <w:r>
        <w:rPr>
          <w:rFonts w:ascii="新細明體" w:eastAsia="新細明體" w:hAnsi="新細明體" w:cs="新細明體" w:hint="eastAsia"/>
          <w:b/>
          <w:bCs/>
          <w:color w:val="1A365D"/>
          <w:sz w:val="34"/>
          <w:szCs w:val="34"/>
        </w:rPr>
        <w:t>治理系列工作論文</w:t>
      </w:r>
    </w:p>
    <w:p w:rsidR="0079129A" w:rsidRDefault="0079129A">
      <w:pPr>
        <w:spacing w:after="60"/>
        <w:jc w:val="center"/>
        <w:rPr>
          <w:rFonts w:ascii="新細明體" w:eastAsia="新細明體" w:hAnsi="新細明體" w:cs="新細明體" w:hint="eastAsia"/>
          <w:b/>
          <w:bCs/>
          <w:color w:val="1A365D"/>
          <w:sz w:val="34"/>
          <w:szCs w:val="34"/>
        </w:rPr>
      </w:pPr>
    </w:p>
    <w:p w:rsidR="00FF05A2" w:rsidRDefault="00EE6916">
      <w:pPr>
        <w:spacing w:after="60"/>
        <w:jc w:val="center"/>
      </w:pPr>
      <w:bookmarkStart w:id="0" w:name="_GoBack"/>
      <w:r>
        <w:rPr>
          <w:rFonts w:ascii="Noto Sans CJK TC" w:eastAsia="Noto Sans CJK TC" w:hAnsi="Noto Sans CJK TC" w:cs="Noto Sans CJK TC"/>
          <w:b/>
          <w:bCs/>
          <w:color w:val="1A365D"/>
          <w:sz w:val="34"/>
          <w:szCs w:val="34"/>
        </w:rPr>
        <w:t>最終再介入能力的制度化</w:t>
      </w:r>
    </w:p>
    <w:p w:rsidR="00FF05A2" w:rsidRDefault="00EE6916">
      <w:pPr>
        <w:spacing w:after="300"/>
        <w:jc w:val="center"/>
      </w:pPr>
      <w:r>
        <w:rPr>
          <w:rFonts w:ascii="Noto Sans CJK TC" w:eastAsia="Noto Sans CJK TC" w:hAnsi="Noto Sans CJK TC" w:cs="Noto Sans CJK TC"/>
          <w:b/>
          <w:bCs/>
          <w:color w:val="2C5282"/>
          <w:sz w:val="26"/>
          <w:szCs w:val="26"/>
        </w:rPr>
        <w:t>臺灣、歐盟與加拿大人工智慧治理規範之比較分析</w:t>
      </w:r>
    </w:p>
    <w:bookmarkEnd w:id="0"/>
    <w:p w:rsidR="00FF05A2" w:rsidRDefault="00EE6916">
      <w:pPr>
        <w:spacing w:after="20"/>
        <w:jc w:val="center"/>
      </w:pPr>
      <w:r>
        <w:rPr>
          <w:rFonts w:ascii="Times New Roman" w:eastAsia="Times New Roman" w:hAnsi="Times New Roman" w:cs="Times New Roman"/>
          <w:i/>
          <w:iCs/>
          <w:color w:val="4A5568"/>
        </w:rPr>
        <w:t>Institutionalizing the Ultimate Capacity for Public Reintervention</w:t>
      </w:r>
    </w:p>
    <w:p w:rsidR="00FF05A2" w:rsidRDefault="00EE6916">
      <w:pPr>
        <w:spacing w:after="300"/>
        <w:jc w:val="center"/>
        <w:rPr>
          <w:rFonts w:ascii="Times New Roman" w:eastAsia="Times New Roman" w:hAnsi="Times New Roman" w:cs="Times New Roman"/>
          <w:i/>
          <w:iCs/>
          <w:color w:val="4A5568"/>
        </w:rPr>
      </w:pPr>
      <w:r>
        <w:rPr>
          <w:rFonts w:ascii="Times New Roman" w:eastAsia="Times New Roman" w:hAnsi="Times New Roman" w:cs="Times New Roman"/>
          <w:i/>
          <w:iCs/>
          <w:color w:val="4A5568"/>
        </w:rPr>
        <w:t>A Comparative Analysis of AI Governance in Taiwan, the European Union, and Canada</w:t>
      </w:r>
    </w:p>
    <w:p w:rsidR="0079129A" w:rsidRDefault="0079129A">
      <w:pPr>
        <w:spacing w:after="300"/>
        <w:jc w:val="center"/>
        <w:rPr>
          <w:rFonts w:hint="eastAsia"/>
        </w:rPr>
      </w:pPr>
      <w:r>
        <w:rPr>
          <w:rFonts w:hint="eastAsia"/>
        </w:rPr>
        <w:t>盧建旭</w:t>
      </w:r>
      <w:r>
        <w:rPr>
          <w:rFonts w:hint="eastAsia"/>
        </w:rPr>
        <w:t xml:space="preserve"> Lancelot</w:t>
      </w:r>
      <w:r>
        <w:t xml:space="preserve"> </w:t>
      </w:r>
      <w:r>
        <w:rPr>
          <w:rFonts w:hint="eastAsia"/>
        </w:rPr>
        <w:t>Lu</w:t>
      </w:r>
    </w:p>
    <w:p w:rsidR="00FF05A2" w:rsidRDefault="00EE6916">
      <w:pPr>
        <w:pBdr>
          <w:left w:val="single" w:sz="18" w:space="10" w:color="1A365D"/>
        </w:pBdr>
        <w:spacing w:after="140"/>
        <w:ind w:left="200"/>
      </w:pPr>
      <w:r>
        <w:rPr>
          <w:rFonts w:ascii="Noto Sans CJK TC" w:eastAsia="Noto Sans CJK TC" w:hAnsi="Noto Sans CJK TC" w:cs="Noto Sans CJK TC"/>
          <w:b/>
          <w:bCs/>
          <w:color w:val="1A365D"/>
        </w:rPr>
        <w:t>文章定位</w:t>
      </w:r>
    </w:p>
    <w:p w:rsidR="00FF05A2" w:rsidRDefault="00EE6916">
      <w:pPr>
        <w:pBdr>
          <w:left w:val="single" w:sz="18" w:space="10" w:color="1A365D"/>
        </w:pBdr>
        <w:spacing w:before="60" w:after="300" w:line="320" w:lineRule="auto"/>
        <w:ind w:left="200"/>
        <w:jc w:val="both"/>
      </w:pPr>
      <w:r>
        <w:rPr>
          <w:rFonts w:eastAsia="Noto Serif CJK TC"/>
          <w:color w:val="2D3748"/>
          <w:sz w:val="21"/>
          <w:szCs w:val="21"/>
        </w:rPr>
        <w:t>本文（編號</w:t>
      </w:r>
      <w:r>
        <w:rPr>
          <w:rFonts w:eastAsia="Noto Serif CJK TC"/>
          <w:color w:val="2D3748"/>
          <w:sz w:val="21"/>
          <w:szCs w:val="21"/>
        </w:rPr>
        <w:t xml:space="preserve"> 034</w:t>
      </w:r>
      <w:r>
        <w:rPr>
          <w:rFonts w:eastAsia="Noto Serif CJK TC"/>
          <w:color w:val="2D3748"/>
          <w:sz w:val="21"/>
          <w:szCs w:val="21"/>
        </w:rPr>
        <w:t>）是作者「</w:t>
      </w:r>
      <w:r>
        <w:rPr>
          <w:rFonts w:eastAsia="Noto Serif CJK TC"/>
          <w:color w:val="2D3748"/>
          <w:sz w:val="21"/>
          <w:szCs w:val="21"/>
        </w:rPr>
        <w:t>030</w:t>
      </w:r>
      <w:r>
        <w:rPr>
          <w:rFonts w:eastAsia="Noto Serif CJK TC"/>
          <w:color w:val="2D3748"/>
          <w:sz w:val="21"/>
          <w:szCs w:val="21"/>
        </w:rPr>
        <w:t>～</w:t>
      </w:r>
      <w:r>
        <w:rPr>
          <w:rFonts w:eastAsia="Noto Serif CJK TC"/>
          <w:color w:val="2D3748"/>
          <w:sz w:val="21"/>
          <w:szCs w:val="21"/>
        </w:rPr>
        <w:t>035</w:t>
      </w:r>
      <w:r>
        <w:rPr>
          <w:rFonts w:eastAsia="Noto Serif CJK TC"/>
          <w:color w:val="2D3748"/>
          <w:sz w:val="21"/>
          <w:szCs w:val="21"/>
        </w:rPr>
        <w:t>系列」之一，性質為比較法學與政策文本分析，將</w:t>
      </w:r>
      <w:r>
        <w:rPr>
          <w:rFonts w:eastAsia="Noto Serif CJK TC"/>
          <w:color w:val="2D3748"/>
          <w:sz w:val="21"/>
          <w:szCs w:val="21"/>
        </w:rPr>
        <w:t xml:space="preserve"> GDA </w:t>
      </w:r>
      <w:r>
        <w:rPr>
          <w:rFonts w:eastAsia="Noto Serif CJK TC"/>
          <w:color w:val="2D3748"/>
          <w:sz w:val="21"/>
          <w:szCs w:val="21"/>
        </w:rPr>
        <w:t>模型（生成</w:t>
      </w:r>
      <w:proofErr w:type="gramStart"/>
      <w:r>
        <w:rPr>
          <w:rFonts w:eastAsia="Noto Serif CJK TC"/>
          <w:color w:val="2D3748"/>
          <w:sz w:val="21"/>
          <w:szCs w:val="21"/>
        </w:rPr>
        <w:t>—</w:t>
      </w:r>
      <w:proofErr w:type="gramEnd"/>
      <w:r>
        <w:rPr>
          <w:rFonts w:eastAsia="Noto Serif CJK TC"/>
          <w:color w:val="2D3748"/>
          <w:sz w:val="21"/>
          <w:szCs w:val="21"/>
        </w:rPr>
        <w:t>裁量</w:t>
      </w:r>
      <w:r>
        <w:rPr>
          <w:rFonts w:eastAsia="Noto Serif CJK TC"/>
          <w:color w:val="2D3748"/>
          <w:sz w:val="21"/>
          <w:szCs w:val="21"/>
        </w:rPr>
        <w:t>—</w:t>
      </w:r>
      <w:r>
        <w:rPr>
          <w:rFonts w:eastAsia="Noto Serif CJK TC"/>
          <w:color w:val="2D3748"/>
          <w:sz w:val="21"/>
          <w:szCs w:val="21"/>
        </w:rPr>
        <w:t>權威模型，首次提出於作者前作、工作稿編號</w:t>
      </w:r>
      <w:r>
        <w:rPr>
          <w:rFonts w:eastAsia="Noto Serif CJK TC"/>
          <w:color w:val="2D3748"/>
          <w:sz w:val="21"/>
          <w:szCs w:val="21"/>
        </w:rPr>
        <w:t xml:space="preserve"> 030</w:t>
      </w:r>
      <w:r>
        <w:rPr>
          <w:rFonts w:eastAsia="Noto Serif CJK TC"/>
          <w:color w:val="2D3748"/>
          <w:sz w:val="21"/>
          <w:szCs w:val="21"/>
        </w:rPr>
        <w:t>）中的</w:t>
      </w:r>
      <w:r>
        <w:rPr>
          <w:rFonts w:eastAsia="Noto Serif CJK TC"/>
          <w:color w:val="2D3748"/>
          <w:sz w:val="21"/>
          <w:szCs w:val="21"/>
        </w:rPr>
        <w:t xml:space="preserve"> UCPR</w:t>
      </w:r>
      <w:r>
        <w:rPr>
          <w:rFonts w:eastAsia="Noto Serif CJK TC"/>
          <w:color w:val="2D3748"/>
          <w:sz w:val="21"/>
          <w:szCs w:val="21"/>
        </w:rPr>
        <w:t>（最終再介入能力）</w:t>
      </w:r>
      <w:proofErr w:type="gramStart"/>
      <w:r>
        <w:rPr>
          <w:rFonts w:eastAsia="Noto Serif CJK TC"/>
          <w:color w:val="2D3748"/>
          <w:sz w:val="21"/>
          <w:szCs w:val="21"/>
        </w:rPr>
        <w:t>構</w:t>
      </w:r>
      <w:proofErr w:type="gramEnd"/>
      <w:r>
        <w:rPr>
          <w:rFonts w:eastAsia="Noto Serif CJK TC"/>
          <w:color w:val="2D3748"/>
          <w:sz w:val="21"/>
          <w:szCs w:val="21"/>
        </w:rPr>
        <w:t>念，應用於臺灣、歐盟、加拿大</w:t>
      </w:r>
      <w:proofErr w:type="gramStart"/>
      <w:r>
        <w:rPr>
          <w:rFonts w:eastAsia="Noto Serif CJK TC"/>
          <w:color w:val="2D3748"/>
          <w:sz w:val="21"/>
          <w:szCs w:val="21"/>
        </w:rPr>
        <w:t>三個法域現</w:t>
      </w:r>
      <w:proofErr w:type="gramEnd"/>
      <w:r>
        <w:rPr>
          <w:rFonts w:eastAsia="Noto Serif CJK TC"/>
          <w:color w:val="2D3748"/>
          <w:sz w:val="21"/>
          <w:szCs w:val="21"/>
        </w:rPr>
        <w:t>行有效的人工智慧治理法律文本，逐條審計三</w:t>
      </w:r>
      <w:proofErr w:type="gramStart"/>
      <w:r>
        <w:rPr>
          <w:rFonts w:eastAsia="Noto Serif CJK TC"/>
          <w:color w:val="2D3748"/>
          <w:sz w:val="21"/>
          <w:szCs w:val="21"/>
        </w:rPr>
        <w:t>法域是</w:t>
      </w:r>
      <w:proofErr w:type="gramEnd"/>
      <w:r>
        <w:rPr>
          <w:rFonts w:eastAsia="Noto Serif CJK TC"/>
          <w:color w:val="2D3748"/>
          <w:sz w:val="21"/>
          <w:szCs w:val="21"/>
        </w:rPr>
        <w:t>否、以及以何種強度規定認知、決策、</w:t>
      </w:r>
      <w:proofErr w:type="gramStart"/>
      <w:r>
        <w:rPr>
          <w:rFonts w:eastAsia="Noto Serif CJK TC"/>
          <w:color w:val="2D3748"/>
          <w:sz w:val="21"/>
          <w:szCs w:val="21"/>
        </w:rPr>
        <w:t>課責三</w:t>
      </w:r>
      <w:proofErr w:type="gramEnd"/>
      <w:r>
        <w:rPr>
          <w:rFonts w:eastAsia="Noto Serif CJK TC"/>
          <w:color w:val="2D3748"/>
          <w:sz w:val="21"/>
          <w:szCs w:val="21"/>
        </w:rPr>
        <w:t>種再介入能力，藉此回應</w:t>
      </w:r>
      <w:r>
        <w:rPr>
          <w:rFonts w:eastAsia="Noto Serif CJK TC"/>
          <w:color w:val="2D3748"/>
          <w:sz w:val="21"/>
          <w:szCs w:val="21"/>
        </w:rPr>
        <w:t xml:space="preserve"> 032 </w:t>
      </w:r>
      <w:r>
        <w:rPr>
          <w:rFonts w:eastAsia="Noto Serif CJK TC"/>
          <w:color w:val="2D3748"/>
          <w:sz w:val="21"/>
          <w:szCs w:val="21"/>
        </w:rPr>
        <w:t>命題</w:t>
      </w:r>
      <w:r>
        <w:rPr>
          <w:rFonts w:eastAsia="Noto Serif CJK TC"/>
          <w:color w:val="2D3748"/>
          <w:sz w:val="21"/>
          <w:szCs w:val="21"/>
        </w:rPr>
        <w:t xml:space="preserve"> P3</w:t>
      </w:r>
      <w:r>
        <w:rPr>
          <w:rFonts w:eastAsia="Noto Serif CJK TC"/>
          <w:color w:val="2D3748"/>
          <w:sz w:val="21"/>
          <w:szCs w:val="21"/>
        </w:rPr>
        <w:t>（再介入能力命題）與</w:t>
      </w:r>
      <w:r>
        <w:rPr>
          <w:rFonts w:eastAsia="Noto Serif CJK TC"/>
          <w:color w:val="2D3748"/>
          <w:sz w:val="21"/>
          <w:szCs w:val="21"/>
        </w:rPr>
        <w:t xml:space="preserve"> P4</w:t>
      </w:r>
      <w:r>
        <w:rPr>
          <w:rFonts w:eastAsia="Noto Serif CJK TC"/>
          <w:color w:val="2D3748"/>
          <w:sz w:val="21"/>
          <w:szCs w:val="21"/>
        </w:rPr>
        <w:t>（外包風險命題）之驗證需求。本文於研究計畫大綱階段原規劃比較「臺灣、歐盟、加拿大三部人工智慧專法」，惟研究過程中發現此一前</w:t>
      </w:r>
      <w:r>
        <w:rPr>
          <w:rFonts w:eastAsia="Noto Serif CJK TC"/>
          <w:color w:val="2D3748"/>
          <w:sz w:val="21"/>
          <w:szCs w:val="21"/>
        </w:rPr>
        <w:t>提須修正：臺灣人工智慧基本法已於民國</w:t>
      </w:r>
      <w:r>
        <w:rPr>
          <w:rFonts w:eastAsia="Noto Serif CJK TC"/>
          <w:color w:val="2D3748"/>
          <w:sz w:val="21"/>
          <w:szCs w:val="21"/>
        </w:rPr>
        <w:t>115</w:t>
      </w:r>
      <w:r>
        <w:rPr>
          <w:rFonts w:eastAsia="Noto Serif CJK TC"/>
          <w:color w:val="2D3748"/>
          <w:sz w:val="21"/>
          <w:szCs w:val="21"/>
        </w:rPr>
        <w:t>年（</w:t>
      </w:r>
      <w:r>
        <w:rPr>
          <w:rFonts w:eastAsia="Noto Serif CJK TC"/>
          <w:color w:val="2D3748"/>
          <w:sz w:val="21"/>
          <w:szCs w:val="21"/>
        </w:rPr>
        <w:t>2026</w:t>
      </w:r>
      <w:r>
        <w:rPr>
          <w:rFonts w:eastAsia="Noto Serif CJK TC"/>
          <w:color w:val="2D3748"/>
          <w:sz w:val="21"/>
          <w:szCs w:val="21"/>
        </w:rPr>
        <w:t>年）</w:t>
      </w:r>
      <w:r>
        <w:rPr>
          <w:rFonts w:eastAsia="Noto Serif CJK TC"/>
          <w:color w:val="2D3748"/>
          <w:sz w:val="21"/>
          <w:szCs w:val="21"/>
        </w:rPr>
        <w:t>1</w:t>
      </w:r>
      <w:r>
        <w:rPr>
          <w:rFonts w:eastAsia="Noto Serif CJK TC"/>
          <w:color w:val="2D3748"/>
          <w:sz w:val="21"/>
          <w:szCs w:val="21"/>
        </w:rPr>
        <w:t>月</w:t>
      </w:r>
      <w:r>
        <w:rPr>
          <w:rFonts w:eastAsia="Noto Serif CJK TC"/>
          <w:color w:val="2D3748"/>
          <w:sz w:val="21"/>
          <w:szCs w:val="21"/>
        </w:rPr>
        <w:t>14</w:t>
      </w:r>
      <w:r>
        <w:rPr>
          <w:rFonts w:eastAsia="Noto Serif CJK TC"/>
          <w:color w:val="2D3748"/>
          <w:sz w:val="21"/>
          <w:szCs w:val="21"/>
        </w:rPr>
        <w:t>日公布施行，但施行未久，多數關鍵子法尚未訂定；歐盟已有直接生效之《人工智慧法》（</w:t>
      </w:r>
      <w:r>
        <w:rPr>
          <w:rFonts w:eastAsia="Noto Serif CJK TC"/>
          <w:color w:val="2D3748"/>
          <w:sz w:val="21"/>
          <w:szCs w:val="21"/>
        </w:rPr>
        <w:t>Regulation (EU) 2024/1689</w:t>
      </w:r>
      <w:r>
        <w:rPr>
          <w:rFonts w:eastAsia="Noto Serif CJK TC"/>
          <w:color w:val="2D3748"/>
          <w:sz w:val="21"/>
          <w:szCs w:val="21"/>
        </w:rPr>
        <w:t>）；加拿大則從未完成國會立法</w:t>
      </w:r>
      <w:proofErr w:type="gramStart"/>
      <w:r>
        <w:rPr>
          <w:rFonts w:eastAsia="Noto Serif CJK TC"/>
          <w:color w:val="2D3748"/>
          <w:sz w:val="21"/>
          <w:szCs w:val="21"/>
        </w:rPr>
        <w:t>—</w:t>
      </w:r>
      <w:proofErr w:type="gramEnd"/>
      <w:r>
        <w:rPr>
          <w:rFonts w:eastAsia="Noto Serif CJK TC"/>
          <w:color w:val="2D3748"/>
          <w:sz w:val="21"/>
          <w:szCs w:val="21"/>
        </w:rPr>
        <w:t>—</w:t>
      </w:r>
      <w:r>
        <w:rPr>
          <w:rFonts w:eastAsia="Noto Serif CJK TC"/>
          <w:color w:val="2D3748"/>
          <w:sz w:val="21"/>
          <w:szCs w:val="21"/>
        </w:rPr>
        <w:t>其《人工智慧與資料法》（</w:t>
      </w:r>
      <w:r>
        <w:rPr>
          <w:rFonts w:eastAsia="Noto Serif CJK TC"/>
          <w:color w:val="2D3748"/>
          <w:sz w:val="21"/>
          <w:szCs w:val="21"/>
        </w:rPr>
        <w:t>Artificial Intelligence and Data Act, AIDA</w:t>
      </w:r>
      <w:r>
        <w:rPr>
          <w:rFonts w:eastAsia="Noto Serif CJK TC"/>
          <w:color w:val="2D3748"/>
          <w:sz w:val="21"/>
          <w:szCs w:val="21"/>
        </w:rPr>
        <w:t>，原為</w:t>
      </w:r>
      <w:r>
        <w:rPr>
          <w:rFonts w:eastAsia="Noto Serif CJK TC"/>
          <w:color w:val="2D3748"/>
          <w:sz w:val="21"/>
          <w:szCs w:val="21"/>
        </w:rPr>
        <w:t xml:space="preserve"> Bill C-27 </w:t>
      </w:r>
      <w:r>
        <w:rPr>
          <w:rFonts w:eastAsia="Noto Serif CJK TC"/>
          <w:color w:val="2D3748"/>
          <w:sz w:val="21"/>
          <w:szCs w:val="21"/>
        </w:rPr>
        <w:t>之第三部）已於</w:t>
      </w:r>
      <w:r>
        <w:rPr>
          <w:rFonts w:eastAsia="Noto Serif CJK TC"/>
          <w:color w:val="2D3748"/>
          <w:sz w:val="21"/>
          <w:szCs w:val="21"/>
        </w:rPr>
        <w:t>2025</w:t>
      </w:r>
      <w:r>
        <w:rPr>
          <w:rFonts w:eastAsia="Noto Serif CJK TC"/>
          <w:color w:val="2D3748"/>
          <w:sz w:val="21"/>
          <w:szCs w:val="21"/>
        </w:rPr>
        <w:t>年</w:t>
      </w:r>
      <w:r>
        <w:rPr>
          <w:rFonts w:eastAsia="Noto Serif CJK TC"/>
          <w:color w:val="2D3748"/>
          <w:sz w:val="21"/>
          <w:szCs w:val="21"/>
        </w:rPr>
        <w:t>1</w:t>
      </w:r>
      <w:r>
        <w:rPr>
          <w:rFonts w:eastAsia="Noto Serif CJK TC"/>
          <w:color w:val="2D3748"/>
          <w:sz w:val="21"/>
          <w:szCs w:val="21"/>
        </w:rPr>
        <w:t>月國會休會（</w:t>
      </w:r>
      <w:r>
        <w:rPr>
          <w:rFonts w:eastAsia="Noto Serif CJK TC"/>
          <w:color w:val="2D3748"/>
          <w:sz w:val="21"/>
          <w:szCs w:val="21"/>
        </w:rPr>
        <w:t>prorogation</w:t>
      </w:r>
      <w:r>
        <w:rPr>
          <w:rFonts w:eastAsia="Noto Serif CJK TC"/>
          <w:color w:val="2D3748"/>
          <w:sz w:val="21"/>
          <w:szCs w:val="21"/>
        </w:rPr>
        <w:t>）後失效，未再復活，聯邦政府對自身人工智慧使用之規範，現行仍僅依財政部（</w:t>
      </w:r>
      <w:r>
        <w:rPr>
          <w:rFonts w:eastAsia="Noto Serif CJK TC"/>
          <w:color w:val="2D3748"/>
          <w:sz w:val="21"/>
          <w:szCs w:val="21"/>
        </w:rPr>
        <w:t>Treasury</w:t>
      </w:r>
      <w:r>
        <w:rPr>
          <w:rFonts w:eastAsia="Noto Serif CJK TC"/>
          <w:color w:val="2D3748"/>
          <w:sz w:val="21"/>
          <w:szCs w:val="21"/>
        </w:rPr>
        <w:t xml:space="preserve"> Board</w:t>
      </w:r>
      <w:r>
        <w:rPr>
          <w:rFonts w:eastAsia="Noto Serif CJK TC"/>
          <w:color w:val="2D3748"/>
          <w:sz w:val="21"/>
          <w:szCs w:val="21"/>
        </w:rPr>
        <w:t>）之「自動化決策指令」（</w:t>
      </w:r>
      <w:r>
        <w:rPr>
          <w:rFonts w:eastAsia="Noto Serif CJK TC"/>
          <w:color w:val="2D3748"/>
          <w:sz w:val="21"/>
          <w:szCs w:val="21"/>
        </w:rPr>
        <w:t>Directive on Automated Decision-Making</w:t>
      </w:r>
      <w:r>
        <w:rPr>
          <w:rFonts w:eastAsia="Noto Serif CJK TC"/>
          <w:color w:val="2D3748"/>
          <w:sz w:val="21"/>
          <w:szCs w:val="21"/>
        </w:rPr>
        <w:t>）此一非經國會立法之內部政策工具運作。本文因此不再比較「三部人工智慧專法」，而是比較三份法律位階互異的治理文本</w:t>
      </w:r>
      <w:proofErr w:type="gramStart"/>
      <w:r>
        <w:rPr>
          <w:rFonts w:eastAsia="Noto Serif CJK TC"/>
          <w:color w:val="2D3748"/>
          <w:sz w:val="21"/>
          <w:szCs w:val="21"/>
        </w:rPr>
        <w:t>—</w:t>
      </w:r>
      <w:proofErr w:type="gramEnd"/>
      <w:r>
        <w:rPr>
          <w:rFonts w:eastAsia="Noto Serif CJK TC"/>
          <w:color w:val="2D3748"/>
          <w:sz w:val="21"/>
          <w:szCs w:val="21"/>
        </w:rPr>
        <w:t>—</w:t>
      </w:r>
      <w:r>
        <w:rPr>
          <w:rFonts w:eastAsia="Noto Serif CJK TC"/>
          <w:color w:val="2D3748"/>
          <w:sz w:val="21"/>
          <w:szCs w:val="21"/>
        </w:rPr>
        <w:t>一部框架性基本法、一部直接生效之歐盟規章、一份僅拘束聯邦機關自身之政策指令，並將「法律位階」新增為第四個比較軸，作為</w:t>
      </w:r>
      <w:r>
        <w:rPr>
          <w:rFonts w:eastAsia="Noto Serif CJK TC"/>
          <w:color w:val="2D3748"/>
          <w:sz w:val="21"/>
          <w:szCs w:val="21"/>
        </w:rPr>
        <w:t xml:space="preserve"> 032 </w:t>
      </w:r>
      <w:r>
        <w:rPr>
          <w:rFonts w:eastAsia="Noto Serif CJK TC"/>
          <w:color w:val="2D3748"/>
          <w:sz w:val="21"/>
          <w:szCs w:val="21"/>
        </w:rPr>
        <w:t>既有</w:t>
      </w:r>
      <w:r>
        <w:rPr>
          <w:rFonts w:eastAsia="Noto Serif CJK TC"/>
          <w:color w:val="2D3748"/>
          <w:sz w:val="21"/>
          <w:szCs w:val="21"/>
        </w:rPr>
        <w:t xml:space="preserve"> UCPR </w:t>
      </w:r>
      <w:r>
        <w:rPr>
          <w:rFonts w:eastAsia="Noto Serif CJK TC"/>
          <w:color w:val="2D3748"/>
          <w:sz w:val="21"/>
          <w:szCs w:val="21"/>
        </w:rPr>
        <w:t>三種能力（認知、決策、課責）之外的必要延伸；此一新增僅適用於本文之</w:t>
      </w:r>
      <w:proofErr w:type="gramStart"/>
      <w:r>
        <w:rPr>
          <w:rFonts w:eastAsia="Noto Serif CJK TC"/>
          <w:color w:val="2D3748"/>
          <w:sz w:val="21"/>
          <w:szCs w:val="21"/>
        </w:rPr>
        <w:t>跨法域文</w:t>
      </w:r>
      <w:proofErr w:type="gramEnd"/>
      <w:r>
        <w:rPr>
          <w:rFonts w:eastAsia="Noto Serif CJK TC"/>
          <w:color w:val="2D3748"/>
          <w:sz w:val="21"/>
          <w:szCs w:val="21"/>
        </w:rPr>
        <w:t>本比較方法，並非對</w:t>
      </w:r>
      <w:r>
        <w:rPr>
          <w:rFonts w:eastAsia="Noto Serif CJK TC"/>
          <w:color w:val="2D3748"/>
          <w:sz w:val="21"/>
          <w:szCs w:val="21"/>
        </w:rPr>
        <w:t xml:space="preserve"> 032 UCPR </w:t>
      </w:r>
      <w:proofErr w:type="gramStart"/>
      <w:r>
        <w:rPr>
          <w:rFonts w:eastAsia="Noto Serif CJK TC"/>
          <w:color w:val="2D3748"/>
          <w:sz w:val="21"/>
          <w:szCs w:val="21"/>
        </w:rPr>
        <w:t>構念本</w:t>
      </w:r>
      <w:proofErr w:type="gramEnd"/>
      <w:r>
        <w:rPr>
          <w:rFonts w:eastAsia="Noto Serif CJK TC"/>
          <w:color w:val="2D3748"/>
          <w:sz w:val="21"/>
          <w:szCs w:val="21"/>
        </w:rPr>
        <w:t>身之修改。本文與系列其他四</w:t>
      </w:r>
      <w:r>
        <w:rPr>
          <w:rFonts w:eastAsia="Noto Serif CJK TC"/>
          <w:color w:val="2D3748"/>
          <w:sz w:val="21"/>
          <w:szCs w:val="21"/>
        </w:rPr>
        <w:t>篇之邊界為：</w:t>
      </w:r>
      <w:r>
        <w:rPr>
          <w:rFonts w:eastAsia="Noto Serif CJK TC"/>
          <w:color w:val="2D3748"/>
          <w:sz w:val="21"/>
          <w:szCs w:val="21"/>
        </w:rPr>
        <w:t xml:space="preserve">031 </w:t>
      </w:r>
      <w:r>
        <w:rPr>
          <w:rFonts w:eastAsia="Noto Serif CJK TC"/>
          <w:color w:val="2D3748"/>
          <w:sz w:val="21"/>
          <w:szCs w:val="21"/>
        </w:rPr>
        <w:t>是單一個案之文件研究，</w:t>
      </w:r>
      <w:r>
        <w:rPr>
          <w:rFonts w:eastAsia="Noto Serif CJK TC"/>
          <w:color w:val="2D3748"/>
          <w:sz w:val="21"/>
          <w:szCs w:val="21"/>
        </w:rPr>
        <w:t xml:space="preserve">032 </w:t>
      </w:r>
      <w:r>
        <w:rPr>
          <w:rFonts w:eastAsia="Noto Serif CJK TC"/>
          <w:color w:val="2D3748"/>
          <w:sz w:val="21"/>
          <w:szCs w:val="21"/>
        </w:rPr>
        <w:t>是理論定位，</w:t>
      </w:r>
      <w:r>
        <w:rPr>
          <w:rFonts w:eastAsia="Noto Serif CJK TC"/>
          <w:color w:val="2D3748"/>
          <w:sz w:val="21"/>
          <w:szCs w:val="21"/>
        </w:rPr>
        <w:t xml:space="preserve">033 </w:t>
      </w:r>
      <w:r>
        <w:rPr>
          <w:rFonts w:eastAsia="Noto Serif CJK TC"/>
          <w:color w:val="2D3748"/>
          <w:sz w:val="21"/>
          <w:szCs w:val="21"/>
        </w:rPr>
        <w:t>是研究議程盤點，</w:t>
      </w:r>
      <w:r>
        <w:rPr>
          <w:rFonts w:eastAsia="Noto Serif CJK TC"/>
          <w:color w:val="2D3748"/>
          <w:sz w:val="21"/>
          <w:szCs w:val="21"/>
        </w:rPr>
        <w:t xml:space="preserve">035 </w:t>
      </w:r>
      <w:r>
        <w:rPr>
          <w:rFonts w:eastAsia="Noto Serif CJK TC"/>
          <w:color w:val="2D3748"/>
          <w:sz w:val="21"/>
          <w:szCs w:val="21"/>
        </w:rPr>
        <w:t>是規範轉換判</w:t>
      </w:r>
      <w:proofErr w:type="gramStart"/>
      <w:r>
        <w:rPr>
          <w:rFonts w:eastAsia="Noto Serif CJK TC"/>
          <w:color w:val="2D3748"/>
          <w:sz w:val="21"/>
          <w:szCs w:val="21"/>
        </w:rPr>
        <w:t>準</w:t>
      </w:r>
      <w:proofErr w:type="gramEnd"/>
      <w:r>
        <w:rPr>
          <w:rFonts w:eastAsia="Noto Serif CJK TC"/>
          <w:color w:val="2D3748"/>
          <w:sz w:val="21"/>
          <w:szCs w:val="21"/>
        </w:rPr>
        <w:t>之純理論演繹，</w:t>
      </w:r>
      <w:proofErr w:type="gramStart"/>
      <w:r>
        <w:rPr>
          <w:rFonts w:eastAsia="Noto Serif CJK TC"/>
          <w:color w:val="2D3748"/>
          <w:sz w:val="21"/>
          <w:szCs w:val="21"/>
        </w:rPr>
        <w:t>均不涉</w:t>
      </w:r>
      <w:proofErr w:type="gramEnd"/>
      <w:r>
        <w:rPr>
          <w:rFonts w:eastAsia="Noto Serif CJK TC"/>
          <w:color w:val="2D3748"/>
          <w:sz w:val="21"/>
          <w:szCs w:val="21"/>
        </w:rPr>
        <w:t>及真實法律文本之逐條比較；本文則是系列中唯一直接面對</w:t>
      </w:r>
      <w:proofErr w:type="gramStart"/>
      <w:r>
        <w:rPr>
          <w:rFonts w:eastAsia="Noto Serif CJK TC"/>
          <w:color w:val="2D3748"/>
          <w:sz w:val="21"/>
          <w:szCs w:val="21"/>
        </w:rPr>
        <w:t>三個法域現行</w:t>
      </w:r>
      <w:proofErr w:type="gramEnd"/>
      <w:r>
        <w:rPr>
          <w:rFonts w:eastAsia="Noto Serif CJK TC"/>
          <w:color w:val="2D3748"/>
          <w:sz w:val="21"/>
          <w:szCs w:val="21"/>
        </w:rPr>
        <w:t>法律文本的比較法學研究。</w:t>
      </w:r>
    </w:p>
    <w:p w:rsidR="00FF05A2" w:rsidRDefault="00EE6916">
      <w:pPr>
        <w:pStyle w:val="2"/>
        <w:spacing w:before="280" w:after="140" w:line="340" w:lineRule="auto"/>
      </w:pPr>
      <w:r>
        <w:rPr>
          <w:rFonts w:ascii="Noto Sans CJK TC" w:eastAsia="Noto Sans CJK TC" w:hAnsi="Noto Sans CJK TC" w:cs="Noto Sans CJK TC"/>
          <w:b/>
          <w:bCs/>
          <w:color w:val="1A365D"/>
          <w:sz w:val="27"/>
          <w:szCs w:val="27"/>
        </w:rPr>
        <w:t>摘要</w:t>
      </w:r>
    </w:p>
    <w:p w:rsidR="00FF05A2" w:rsidRDefault="00EE6916">
      <w:pPr>
        <w:spacing w:after="180" w:line="340" w:lineRule="auto"/>
        <w:jc w:val="both"/>
      </w:pPr>
      <w:r>
        <w:rPr>
          <w:rFonts w:eastAsia="Noto Serif CJK TC"/>
          <w:color w:val="1A202C"/>
        </w:rPr>
        <w:t>研究目的：</w:t>
      </w:r>
      <w:r>
        <w:rPr>
          <w:rFonts w:eastAsia="Noto Serif CJK TC"/>
          <w:color w:val="1A202C"/>
        </w:rPr>
        <w:t xml:space="preserve">032 </w:t>
      </w:r>
      <w:r>
        <w:rPr>
          <w:rFonts w:eastAsia="Noto Serif CJK TC"/>
          <w:color w:val="1A202C"/>
        </w:rPr>
        <w:t>提出</w:t>
      </w:r>
      <w:r>
        <w:rPr>
          <w:rFonts w:eastAsia="Noto Serif CJK TC"/>
          <w:color w:val="1A202C"/>
        </w:rPr>
        <w:t xml:space="preserve"> UCPR</w:t>
      </w:r>
      <w:r>
        <w:rPr>
          <w:rFonts w:eastAsia="Noto Serif CJK TC"/>
          <w:color w:val="1A202C"/>
        </w:rPr>
        <w:t>（最終再介入能力）作為公共機關保有認知、決策、</w:t>
      </w:r>
      <w:proofErr w:type="gramStart"/>
      <w:r>
        <w:rPr>
          <w:rFonts w:eastAsia="Noto Serif CJK TC"/>
          <w:color w:val="1A202C"/>
        </w:rPr>
        <w:t>課責三種</w:t>
      </w:r>
      <w:proofErr w:type="gramEnd"/>
      <w:r>
        <w:rPr>
          <w:rFonts w:eastAsia="Noto Serif CJK TC"/>
          <w:color w:val="1A202C"/>
        </w:rPr>
        <w:t>再介入能力</w:t>
      </w:r>
      <w:proofErr w:type="gramStart"/>
      <w:r>
        <w:rPr>
          <w:rFonts w:eastAsia="Noto Serif CJK TC"/>
          <w:color w:val="1A202C"/>
        </w:rPr>
        <w:t>的構</w:t>
      </w:r>
      <w:proofErr w:type="gramEnd"/>
      <w:r>
        <w:rPr>
          <w:rFonts w:eastAsia="Noto Serif CJK TC"/>
          <w:color w:val="1A202C"/>
        </w:rPr>
        <w:t>念，並主張其命題</w:t>
      </w:r>
      <w:r>
        <w:rPr>
          <w:rFonts w:eastAsia="Noto Serif CJK TC"/>
          <w:color w:val="1A202C"/>
        </w:rPr>
        <w:t xml:space="preserve"> P3</w:t>
      </w:r>
      <w:r>
        <w:rPr>
          <w:rFonts w:eastAsia="Noto Serif CJK TC"/>
          <w:color w:val="1A202C"/>
        </w:rPr>
        <w:t>（再介入能力命題）、</w:t>
      </w:r>
      <w:r>
        <w:rPr>
          <w:rFonts w:eastAsia="Noto Serif CJK TC"/>
          <w:color w:val="1A202C"/>
        </w:rPr>
        <w:t>P4</w:t>
      </w:r>
      <w:r>
        <w:rPr>
          <w:rFonts w:eastAsia="Noto Serif CJK TC"/>
          <w:color w:val="1A202C"/>
        </w:rPr>
        <w:t>（外包風險命題）尚待法律文本層次之驗證。本文之目的，即在以臺灣、歐盟、加拿大</w:t>
      </w:r>
      <w:proofErr w:type="gramStart"/>
      <w:r>
        <w:rPr>
          <w:rFonts w:eastAsia="Noto Serif CJK TC"/>
          <w:color w:val="1A202C"/>
        </w:rPr>
        <w:t>三個法域現行</w:t>
      </w:r>
      <w:proofErr w:type="gramEnd"/>
      <w:r>
        <w:rPr>
          <w:rFonts w:eastAsia="Noto Serif CJK TC"/>
          <w:color w:val="1A202C"/>
        </w:rPr>
        <w:t>有效之人工智慧治理法律文本為對象，逐條審計其</w:t>
      </w:r>
      <w:r>
        <w:rPr>
          <w:rFonts w:eastAsia="Noto Serif CJK TC"/>
          <w:color w:val="1A202C"/>
        </w:rPr>
        <w:t xml:space="preserve"> UCPR</w:t>
      </w:r>
      <w:r>
        <w:rPr>
          <w:rFonts w:eastAsia="Noto Serif CJK TC"/>
          <w:color w:val="1A202C"/>
        </w:rPr>
        <w:t xml:space="preserve"> </w:t>
      </w:r>
      <w:r>
        <w:rPr>
          <w:rFonts w:eastAsia="Noto Serif CJK TC"/>
          <w:color w:val="1A202C"/>
        </w:rPr>
        <w:t>三種能力之制度化程度，藉此初步檢驗</w:t>
      </w:r>
      <w:r>
        <w:rPr>
          <w:rFonts w:eastAsia="Noto Serif CJK TC"/>
          <w:color w:val="1A202C"/>
        </w:rPr>
        <w:t xml:space="preserve"> P3</w:t>
      </w:r>
      <w:r>
        <w:rPr>
          <w:rFonts w:eastAsia="Noto Serif CJK TC"/>
          <w:color w:val="1A202C"/>
        </w:rPr>
        <w:t>、</w:t>
      </w:r>
      <w:r>
        <w:rPr>
          <w:rFonts w:eastAsia="Noto Serif CJK TC"/>
          <w:color w:val="1A202C"/>
        </w:rPr>
        <w:t>P4</w:t>
      </w:r>
      <w:r>
        <w:rPr>
          <w:rFonts w:eastAsia="Noto Serif CJK TC"/>
          <w:color w:val="1A202C"/>
        </w:rPr>
        <w:t>，並辨識臺灣人工智慧基本法相對於其餘兩制度之具體制度缺口。</w:t>
      </w:r>
    </w:p>
    <w:p w:rsidR="00FF05A2" w:rsidRDefault="00EE6916">
      <w:pPr>
        <w:spacing w:after="180" w:line="340" w:lineRule="auto"/>
        <w:jc w:val="both"/>
      </w:pPr>
      <w:r>
        <w:rPr>
          <w:rFonts w:eastAsia="Noto Serif CJK TC"/>
          <w:color w:val="1A202C"/>
        </w:rPr>
        <w:lastRenderedPageBreak/>
        <w:t>方法：本文採取比較法學與政策文本分析法，以中立、逐條之方式審計三份現行文本（臺灣人工智慧基本法、歐盟人工智慧法、加拿大自動化決策指令），</w:t>
      </w:r>
      <w:proofErr w:type="gramStart"/>
      <w:r>
        <w:rPr>
          <w:rFonts w:eastAsia="Noto Serif CJK TC"/>
          <w:color w:val="1A202C"/>
        </w:rPr>
        <w:t>不</w:t>
      </w:r>
      <w:proofErr w:type="gramEnd"/>
      <w:r>
        <w:rPr>
          <w:rFonts w:eastAsia="Noto Serif CJK TC"/>
          <w:color w:val="1A202C"/>
        </w:rPr>
        <w:t>預設任一</w:t>
      </w:r>
      <w:proofErr w:type="gramStart"/>
      <w:r>
        <w:rPr>
          <w:rFonts w:eastAsia="Noto Serif CJK TC"/>
          <w:color w:val="1A202C"/>
        </w:rPr>
        <w:t>法域制</w:t>
      </w:r>
      <w:proofErr w:type="gramEnd"/>
      <w:r>
        <w:rPr>
          <w:rFonts w:eastAsia="Noto Serif CJK TC"/>
          <w:color w:val="1A202C"/>
        </w:rPr>
        <w:t>度不足；並區分「形式再介入權限」與「實質再介入能力」，檢視法條所賦予之權限是否具備可觀察的落實條件。</w:t>
      </w:r>
    </w:p>
    <w:p w:rsidR="00FF05A2" w:rsidRDefault="00EE6916">
      <w:pPr>
        <w:spacing w:after="180" w:line="340" w:lineRule="auto"/>
        <w:jc w:val="both"/>
      </w:pPr>
      <w:r>
        <w:rPr>
          <w:rFonts w:eastAsia="Noto Serif CJK TC"/>
          <w:color w:val="1A202C"/>
        </w:rPr>
        <w:t>主要內容：本文發現，三</w:t>
      </w:r>
      <w:proofErr w:type="gramStart"/>
      <w:r>
        <w:rPr>
          <w:rFonts w:eastAsia="Noto Serif CJK TC"/>
          <w:color w:val="1A202C"/>
        </w:rPr>
        <w:t>法域在</w:t>
      </w:r>
      <w:proofErr w:type="gramEnd"/>
      <w:r>
        <w:rPr>
          <w:rFonts w:eastAsia="Noto Serif CJK TC"/>
          <w:color w:val="1A202C"/>
        </w:rPr>
        <w:t xml:space="preserve"> UCPR </w:t>
      </w:r>
      <w:r>
        <w:rPr>
          <w:rFonts w:eastAsia="Noto Serif CJK TC"/>
          <w:color w:val="1A202C"/>
        </w:rPr>
        <w:t>三種能力上的制度化程度呈現不同型態：歐盟人工智慧法在決策能力（第</w:t>
      </w:r>
      <w:r>
        <w:rPr>
          <w:rFonts w:eastAsia="Noto Serif CJK TC"/>
          <w:color w:val="1A202C"/>
        </w:rPr>
        <w:t>14</w:t>
      </w:r>
      <w:r>
        <w:rPr>
          <w:rFonts w:eastAsia="Noto Serif CJK TC"/>
          <w:color w:val="1A202C"/>
        </w:rPr>
        <w:t>條人類監督、否決與停止機制）與執行機制（第</w:t>
      </w:r>
      <w:r>
        <w:rPr>
          <w:rFonts w:eastAsia="Noto Serif CJK TC"/>
          <w:color w:val="1A202C"/>
        </w:rPr>
        <w:t>99</w:t>
      </w:r>
      <w:r>
        <w:rPr>
          <w:rFonts w:eastAsia="Noto Serif CJK TC"/>
          <w:color w:val="1A202C"/>
        </w:rPr>
        <w:t>條高額罰鍰）上規定最為具體，但對「公部門」之裁罰規則保留予會員國自定；加拿大自動化決策指令對認知能力（強制公開之演算法影響評估）規定明確，但僅第三、四衝擊等級要求人工決定點，第一、二等級容許全自動化，且未創設獨立於既有一般行政救濟之外的新救濟權；臺灣人工智慧基本法多數關鍵條文（風險分類、政府使用人工智慧之風險評估、高風險救濟機制）仍委由子法訂定，本文</w:t>
      </w:r>
      <w:proofErr w:type="gramStart"/>
      <w:r>
        <w:rPr>
          <w:rFonts w:eastAsia="Noto Serif CJK TC"/>
          <w:color w:val="1A202C"/>
        </w:rPr>
        <w:t>完稿時子法</w:t>
      </w:r>
      <w:proofErr w:type="gramEnd"/>
      <w:r>
        <w:rPr>
          <w:rFonts w:eastAsia="Noto Serif CJK TC"/>
          <w:color w:val="1A202C"/>
        </w:rPr>
        <w:t>多尚未發布，且現行文本全文二十條未見對民間供應商採購契約之拘束性規定、亦</w:t>
      </w:r>
      <w:proofErr w:type="gramStart"/>
      <w:r>
        <w:rPr>
          <w:rFonts w:eastAsia="Noto Serif CJK TC"/>
          <w:color w:val="1A202C"/>
        </w:rPr>
        <w:t>未見具體</w:t>
      </w:r>
      <w:proofErr w:type="gramEnd"/>
      <w:r>
        <w:rPr>
          <w:rFonts w:eastAsia="Noto Serif CJK TC"/>
          <w:color w:val="1A202C"/>
        </w:rPr>
        <w:t>裁罰規定。本文據此提出七項臺灣制度缺口，並區分其中屬「暫時性」（待</w:t>
      </w:r>
      <w:r>
        <w:rPr>
          <w:rFonts w:eastAsia="Noto Serif CJK TC"/>
          <w:color w:val="1A202C"/>
        </w:rPr>
        <w:t>子法填補）與「結構性」（現行文本設計未處理、須修法始能填補）者。</w:t>
      </w:r>
    </w:p>
    <w:p w:rsidR="00FF05A2" w:rsidRDefault="00EE6916">
      <w:pPr>
        <w:spacing w:after="180" w:line="340" w:lineRule="auto"/>
        <w:jc w:val="both"/>
      </w:pPr>
      <w:r>
        <w:rPr>
          <w:rFonts w:eastAsia="Noto Serif CJK TC"/>
          <w:color w:val="1A202C"/>
        </w:rPr>
        <w:t>貢獻與限制：本文的貢獻在於首次將</w:t>
      </w:r>
      <w:r>
        <w:rPr>
          <w:rFonts w:eastAsia="Noto Serif CJK TC"/>
          <w:color w:val="1A202C"/>
        </w:rPr>
        <w:t xml:space="preserve"> UCPR </w:t>
      </w:r>
      <w:proofErr w:type="gramStart"/>
      <w:r>
        <w:rPr>
          <w:rFonts w:eastAsia="Noto Serif CJK TC"/>
          <w:color w:val="1A202C"/>
        </w:rPr>
        <w:t>構念實際</w:t>
      </w:r>
      <w:proofErr w:type="gramEnd"/>
      <w:r>
        <w:rPr>
          <w:rFonts w:eastAsia="Noto Serif CJK TC"/>
          <w:color w:val="1A202C"/>
        </w:rPr>
        <w:t>應用於</w:t>
      </w:r>
      <w:proofErr w:type="gramStart"/>
      <w:r>
        <w:rPr>
          <w:rFonts w:eastAsia="Noto Serif CJK TC"/>
          <w:color w:val="1A202C"/>
        </w:rPr>
        <w:t>三個法域</w:t>
      </w:r>
      <w:proofErr w:type="gramEnd"/>
      <w:r>
        <w:rPr>
          <w:rFonts w:eastAsia="Noto Serif CJK TC"/>
          <w:color w:val="1A202C"/>
        </w:rPr>
        <w:t>之現行法律文本，為</w:t>
      </w:r>
      <w:r>
        <w:rPr>
          <w:rFonts w:eastAsia="Noto Serif CJK TC"/>
          <w:color w:val="1A202C"/>
        </w:rPr>
        <w:t xml:space="preserve"> 032 </w:t>
      </w:r>
      <w:r>
        <w:rPr>
          <w:rFonts w:eastAsia="Noto Serif CJK TC"/>
          <w:color w:val="1A202C"/>
        </w:rPr>
        <w:t>之</w:t>
      </w:r>
      <w:r>
        <w:rPr>
          <w:rFonts w:eastAsia="Noto Serif CJK TC"/>
          <w:color w:val="1A202C"/>
        </w:rPr>
        <w:t xml:space="preserve"> P3</w:t>
      </w:r>
      <w:r>
        <w:rPr>
          <w:rFonts w:eastAsia="Noto Serif CJK TC"/>
          <w:color w:val="1A202C"/>
        </w:rPr>
        <w:t>、</w:t>
      </w:r>
      <w:r>
        <w:rPr>
          <w:rFonts w:eastAsia="Noto Serif CJK TC"/>
          <w:color w:val="1A202C"/>
        </w:rPr>
        <w:t xml:space="preserve">P4 </w:t>
      </w:r>
      <w:r>
        <w:rPr>
          <w:rFonts w:eastAsia="Noto Serif CJK TC"/>
          <w:color w:val="1A202C"/>
        </w:rPr>
        <w:t>命題提供初步的文本層次佐證，並將「有權限</w:t>
      </w:r>
      <w:r>
        <w:rPr>
          <w:rFonts w:eastAsia="Noto Serif CJK TC"/>
          <w:color w:val="1A202C"/>
        </w:rPr>
        <w:t>≠</w:t>
      </w:r>
      <w:r>
        <w:rPr>
          <w:rFonts w:eastAsia="Noto Serif CJK TC"/>
          <w:color w:val="1A202C"/>
        </w:rPr>
        <w:t>有能力」這項分析裝置具體化為可操作的文本審計問題。其限制在於：本文僅審計法律文本本身，未涉及實際執行資料，文本規定與實際行使之間可能存在落差，此一落差須留待後續實證研究（如</w:t>
      </w:r>
      <w:r>
        <w:rPr>
          <w:rFonts w:eastAsia="Noto Serif CJK TC"/>
          <w:color w:val="1A202C"/>
        </w:rPr>
        <w:t xml:space="preserve"> 031 </w:t>
      </w:r>
      <w:r>
        <w:rPr>
          <w:rFonts w:eastAsia="Noto Serif CJK TC"/>
          <w:color w:val="1A202C"/>
        </w:rPr>
        <w:t>之個案研究方法）加以檢驗；歐盟人工智慧法之高風險義務生效期程於本文完稿前經</w:t>
      </w:r>
      <w:r>
        <w:rPr>
          <w:rFonts w:eastAsia="Noto Serif CJK TC"/>
          <w:color w:val="1A202C"/>
        </w:rPr>
        <w:t xml:space="preserve"> Digital Omnibus </w:t>
      </w:r>
      <w:r>
        <w:rPr>
          <w:rFonts w:eastAsia="Noto Serif CJK TC"/>
          <w:color w:val="1A202C"/>
        </w:rPr>
        <w:t>修正</w:t>
      </w:r>
      <w:r>
        <w:rPr>
          <w:rFonts w:eastAsia="Noto Serif CJK TC"/>
          <w:color w:val="1A202C"/>
        </w:rPr>
        <w:t>延後，相關規定仍可能持續變動，本文之比較結果應以完稿時（</w:t>
      </w:r>
      <w:r>
        <w:rPr>
          <w:rFonts w:eastAsia="Noto Serif CJK TC"/>
          <w:color w:val="1A202C"/>
        </w:rPr>
        <w:t>2026</w:t>
      </w:r>
      <w:r>
        <w:rPr>
          <w:rFonts w:eastAsia="Noto Serif CJK TC"/>
          <w:color w:val="1A202C"/>
        </w:rPr>
        <w:t>年</w:t>
      </w:r>
      <w:r>
        <w:rPr>
          <w:rFonts w:eastAsia="Noto Serif CJK TC"/>
          <w:color w:val="1A202C"/>
        </w:rPr>
        <w:t>8</w:t>
      </w:r>
      <w:r>
        <w:rPr>
          <w:rFonts w:eastAsia="Noto Serif CJK TC"/>
          <w:color w:val="1A202C"/>
        </w:rPr>
        <w:t>月）之文本狀態為</w:t>
      </w:r>
      <w:proofErr w:type="gramStart"/>
      <w:r>
        <w:rPr>
          <w:rFonts w:eastAsia="Noto Serif CJK TC"/>
          <w:color w:val="1A202C"/>
        </w:rPr>
        <w:t>準</w:t>
      </w:r>
      <w:proofErr w:type="gramEnd"/>
      <w:r>
        <w:rPr>
          <w:rFonts w:eastAsia="Noto Serif CJK TC"/>
          <w:color w:val="1A202C"/>
        </w:rPr>
        <w:t>。</w:t>
      </w:r>
    </w:p>
    <w:p w:rsidR="00FF05A2" w:rsidRDefault="00EE6916">
      <w:pPr>
        <w:spacing w:after="180" w:line="340" w:lineRule="auto"/>
        <w:jc w:val="both"/>
      </w:pPr>
      <w:r>
        <w:rPr>
          <w:rFonts w:eastAsia="Noto Serif CJK TC"/>
          <w:color w:val="1A202C"/>
        </w:rPr>
        <w:t>關鍵詞：最終再介入能力、生成</w:t>
      </w:r>
      <w:proofErr w:type="gramStart"/>
      <w:r>
        <w:rPr>
          <w:rFonts w:eastAsia="Noto Serif CJK TC"/>
          <w:color w:val="1A202C"/>
        </w:rPr>
        <w:t>—</w:t>
      </w:r>
      <w:proofErr w:type="gramEnd"/>
      <w:r>
        <w:rPr>
          <w:rFonts w:eastAsia="Noto Serif CJK TC"/>
          <w:color w:val="1A202C"/>
        </w:rPr>
        <w:t>裁量</w:t>
      </w:r>
      <w:r>
        <w:rPr>
          <w:rFonts w:eastAsia="Noto Serif CJK TC"/>
          <w:color w:val="1A202C"/>
        </w:rPr>
        <w:t>—</w:t>
      </w:r>
      <w:r>
        <w:rPr>
          <w:rFonts w:eastAsia="Noto Serif CJK TC"/>
          <w:color w:val="1A202C"/>
        </w:rPr>
        <w:t>權威模型、人工智慧基本法、歐盟人工智慧法、自動化決策指令、比較行政法</w:t>
      </w:r>
    </w:p>
    <w:p w:rsidR="00FF05A2" w:rsidRDefault="00EE6916">
      <w:pPr>
        <w:pStyle w:val="2"/>
        <w:spacing w:before="280" w:after="140" w:line="340" w:lineRule="auto"/>
      </w:pPr>
      <w:r>
        <w:rPr>
          <w:rFonts w:ascii="Noto Sans CJK TC" w:eastAsia="Noto Sans CJK TC" w:hAnsi="Noto Sans CJK TC" w:cs="Noto Sans CJK TC"/>
          <w:b/>
          <w:bCs/>
          <w:color w:val="1A365D"/>
          <w:sz w:val="27"/>
          <w:szCs w:val="27"/>
        </w:rPr>
        <w:t>Abstract</w:t>
      </w:r>
    </w:p>
    <w:p w:rsidR="00FF05A2" w:rsidRDefault="00EE6916">
      <w:pPr>
        <w:spacing w:after="180" w:line="340" w:lineRule="auto"/>
        <w:jc w:val="both"/>
      </w:pPr>
      <w:r>
        <w:rPr>
          <w:rFonts w:eastAsia="Noto Serif CJK TC"/>
          <w:color w:val="1A202C"/>
        </w:rPr>
        <w:t>The GDA model’s UCPR (Ultimate Capacity for Public Reintervention) construct holds that public authorities must retain cognitive, decisional, and acc</w:t>
      </w:r>
      <w:r>
        <w:rPr>
          <w:rFonts w:eastAsia="Noto Serif CJK TC"/>
          <w:color w:val="1A202C"/>
        </w:rPr>
        <w:t>ountability capacities, with propositions P3 and P4 awaiting validation at the level of legal text. This paper audits the current, legally binding AI-governance texts of Taiwan, the European Union, and Canada against the three UCPR capacities through compa</w:t>
      </w:r>
      <w:r>
        <w:rPr>
          <w:rFonts w:eastAsia="Noto Serif CJK TC"/>
          <w:color w:val="1A202C"/>
        </w:rPr>
        <w:t>rative legal and policy-document analysis, distinguishing formal reintervention authority from substantive reintervention capacity. It finds that the EU AI Act specifies decisional capacity (Article 14 human oversight, override, and stop mechanisms) and en</w:t>
      </w:r>
      <w:r>
        <w:rPr>
          <w:rFonts w:eastAsia="Noto Serif CJK TC"/>
          <w:color w:val="1A202C"/>
        </w:rPr>
        <w:t>forcement (Article 99 fines) most concretely, while leaving fines against public authorities to Member States’ discretion; Canada’s Directive on Automated Decision-Making mandates public algorithmic impact assessments but requires human decision points onl</w:t>
      </w:r>
      <w:r>
        <w:rPr>
          <w:rFonts w:eastAsia="Noto Serif CJK TC"/>
          <w:color w:val="1A202C"/>
        </w:rPr>
        <w:t xml:space="preserve">y at impact Levels III-IV, permitting full automation at Levels I-II, and creates no recourse right independent of existing </w:t>
      </w:r>
      <w:r>
        <w:rPr>
          <w:rFonts w:eastAsia="Noto Serif CJK TC"/>
          <w:color w:val="1A202C"/>
        </w:rPr>
        <w:lastRenderedPageBreak/>
        <w:t xml:space="preserve">administrative channels; and Taiwan’s AI Basic Act defers most operative provisions to subordinate legislation not yet published as </w:t>
      </w:r>
      <w:r>
        <w:rPr>
          <w:rFonts w:eastAsia="Noto Serif CJK TC"/>
          <w:color w:val="1A202C"/>
        </w:rPr>
        <w:t xml:space="preserve">of this writing, with its twenty articles silent on procurement obligations for private AI suppliers and on concrete penalties. Seven institutional gaps in Taiwan’s current regime are identified and sorted into temporary (awaiting subordinate legislation) </w:t>
      </w:r>
      <w:r>
        <w:rPr>
          <w:rFonts w:eastAsia="Noto Serif CJK TC"/>
          <w:color w:val="1A202C"/>
        </w:rPr>
        <w:t>and structural (requiring legislative amendment) categories. This paper’s contribution is the first text-level application of UCPR across jurisdictions; its limitation is that it audits legal text alone, not enforcement practice, and that the EU’s high-ris</w:t>
      </w:r>
      <w:r>
        <w:rPr>
          <w:rFonts w:eastAsia="Noto Serif CJK TC"/>
          <w:color w:val="1A202C"/>
        </w:rPr>
        <w:t>k timeline was itself amended by a Digital Omnibus shortly before completion, so its comparisons reflect the state of the texts as of August 2026.</w:t>
      </w:r>
    </w:p>
    <w:p w:rsidR="00FF05A2" w:rsidRDefault="00EE6916">
      <w:pPr>
        <w:pStyle w:val="1"/>
        <w:spacing w:before="360" w:after="200" w:line="360" w:lineRule="auto"/>
      </w:pPr>
      <w:r>
        <w:rPr>
          <w:rFonts w:ascii="Noto Sans CJK TC" w:eastAsia="Noto Sans CJK TC" w:hAnsi="Noto Sans CJK TC" w:cs="Noto Sans CJK TC"/>
          <w:b/>
          <w:bCs/>
          <w:color w:val="1A365D"/>
        </w:rPr>
        <w:t>壹、緒論：從理論命題到法律文本</w:t>
      </w:r>
    </w:p>
    <w:p w:rsidR="00FF05A2" w:rsidRDefault="00EE6916">
      <w:pPr>
        <w:spacing w:after="180" w:line="340" w:lineRule="auto"/>
        <w:jc w:val="both"/>
      </w:pPr>
      <w:r>
        <w:rPr>
          <w:rFonts w:eastAsia="Noto Serif CJK TC"/>
          <w:color w:val="1A202C"/>
        </w:rPr>
        <w:t xml:space="preserve">032 </w:t>
      </w:r>
      <w:r>
        <w:rPr>
          <w:rFonts w:eastAsia="Noto Serif CJK TC"/>
          <w:color w:val="1A202C"/>
        </w:rPr>
        <w:t>在提出</w:t>
      </w:r>
      <w:r>
        <w:rPr>
          <w:rFonts w:eastAsia="Noto Serif CJK TC"/>
          <w:color w:val="1A202C"/>
        </w:rPr>
        <w:t xml:space="preserve"> UCPR </w:t>
      </w:r>
      <w:r>
        <w:rPr>
          <w:rFonts w:eastAsia="Noto Serif CJK TC"/>
          <w:color w:val="1A202C"/>
        </w:rPr>
        <w:t>三種能力的同時，也坦承這</w:t>
      </w:r>
      <w:proofErr w:type="gramStart"/>
      <w:r>
        <w:rPr>
          <w:rFonts w:eastAsia="Noto Serif CJK TC"/>
          <w:color w:val="1A202C"/>
        </w:rPr>
        <w:t>組構念</w:t>
      </w:r>
      <w:proofErr w:type="gramEnd"/>
      <w:r>
        <w:rPr>
          <w:rFonts w:eastAsia="Noto Serif CJK TC"/>
          <w:color w:val="1A202C"/>
        </w:rPr>
        <w:t>「目前主要以概念性語言表述」，其中</w:t>
      </w:r>
      <w:r>
        <w:rPr>
          <w:rFonts w:eastAsia="Noto Serif CJK TC"/>
          <w:color w:val="1A202C"/>
        </w:rPr>
        <w:t xml:space="preserve"> P3</w:t>
      </w:r>
      <w:r>
        <w:rPr>
          <w:rFonts w:eastAsia="Noto Serif CJK TC"/>
          <w:color w:val="1A202C"/>
        </w:rPr>
        <w:t>（再介入能力命題）主張「缺乏事中暫停、修改或否決權的機關，即使具備事後申訴與救濟程序，仍不具備充分的</w:t>
      </w:r>
      <w:r>
        <w:rPr>
          <w:rFonts w:eastAsia="Noto Serif CJK TC"/>
          <w:color w:val="1A202C"/>
        </w:rPr>
        <w:t xml:space="preserve"> UCPR</w:t>
      </w:r>
      <w:r>
        <w:rPr>
          <w:rFonts w:eastAsia="Noto Serif CJK TC"/>
          <w:color w:val="1A202C"/>
        </w:rPr>
        <w:t>」，</w:t>
      </w:r>
      <w:r>
        <w:rPr>
          <w:rFonts w:eastAsia="Noto Serif CJK TC"/>
          <w:color w:val="1A202C"/>
        </w:rPr>
        <w:t>P4</w:t>
      </w:r>
      <w:r>
        <w:rPr>
          <w:rFonts w:eastAsia="Noto Serif CJK TC"/>
          <w:color w:val="1A202C"/>
        </w:rPr>
        <w:t>（外包風險命題）主張「當私人供應商掌握模型更新、資料管線或技術文件的控制權時，公共機關的認知與決策能力較容易脫鉤」。這兩條命題有一個共同的弱點：它們目前僅是理論推論，尚未在任何法律文本上被逐條檢驗過。本文要問的問題很直接：如果把</w:t>
      </w:r>
      <w:r>
        <w:rPr>
          <w:rFonts w:eastAsia="Noto Serif CJK TC"/>
          <w:color w:val="1A202C"/>
        </w:rPr>
        <w:t xml:space="preserve"> UCPR </w:t>
      </w:r>
      <w:r>
        <w:rPr>
          <w:rFonts w:eastAsia="Noto Serif CJK TC"/>
          <w:color w:val="1A202C"/>
        </w:rPr>
        <w:t>三種能力當作一把量尺，去逐條丈量臺灣、歐盟、加拿大現行有效</w:t>
      </w:r>
      <w:r>
        <w:rPr>
          <w:rFonts w:eastAsia="Noto Serif CJK TC"/>
          <w:color w:val="1A202C"/>
        </w:rPr>
        <w:t>的人工智慧治理法律文本，量出來的結果會是什麼？</w:t>
      </w:r>
    </w:p>
    <w:p w:rsidR="00FF05A2" w:rsidRDefault="00EE6916">
      <w:pPr>
        <w:spacing w:after="180" w:line="340" w:lineRule="auto"/>
        <w:jc w:val="both"/>
      </w:pPr>
      <w:r>
        <w:rPr>
          <w:rFonts w:eastAsia="Noto Serif CJK TC"/>
          <w:color w:val="1A202C"/>
        </w:rPr>
        <w:t>本文的研究前提在寫作過程中曾經歷一次重要修正，此處先行說明，以利讀者理解本文章節安排的邏輯。本文原規劃比較「臺灣、歐盟、加拿大三部人工智慧專法」，但查證現行法律狀態後發現：加拿大從未完成聯邦人工智慧專法之立法，其草案</w:t>
      </w:r>
      <w:r>
        <w:rPr>
          <w:rFonts w:eastAsia="Noto Serif CJK TC"/>
          <w:color w:val="1A202C"/>
        </w:rPr>
        <w:t xml:space="preserve"> AIDA </w:t>
      </w:r>
      <w:r>
        <w:rPr>
          <w:rFonts w:eastAsia="Noto Serif CJK TC"/>
          <w:color w:val="1A202C"/>
        </w:rPr>
        <w:t>已於國會休會後失效；臺灣人工智慧基本法雖已公布施行，但屬框架性基本法，多數操作性規定委由子法訂定，本文</w:t>
      </w:r>
      <w:proofErr w:type="gramStart"/>
      <w:r>
        <w:rPr>
          <w:rFonts w:eastAsia="Noto Serif CJK TC"/>
          <w:color w:val="1A202C"/>
        </w:rPr>
        <w:t>完稿時子法</w:t>
      </w:r>
      <w:proofErr w:type="gramEnd"/>
      <w:r>
        <w:rPr>
          <w:rFonts w:eastAsia="Noto Serif CJK TC"/>
          <w:color w:val="1A202C"/>
        </w:rPr>
        <w:t>多尚未發布。</w:t>
      </w:r>
      <w:proofErr w:type="gramStart"/>
      <w:r>
        <w:rPr>
          <w:rFonts w:eastAsia="Noto Serif CJK TC"/>
          <w:color w:val="1A202C"/>
        </w:rPr>
        <w:t>三個法域現行</w:t>
      </w:r>
      <w:proofErr w:type="gramEnd"/>
      <w:r>
        <w:rPr>
          <w:rFonts w:eastAsia="Noto Serif CJK TC"/>
          <w:color w:val="1A202C"/>
        </w:rPr>
        <w:t>實際拘束政府使用人工智慧的文本，法律位階彼此互異：一部框架性基本法（臺灣）、一部直接生效之歐盟規章（</w:t>
      </w:r>
      <w:r>
        <w:rPr>
          <w:rFonts w:eastAsia="Noto Serif CJK TC"/>
          <w:color w:val="1A202C"/>
        </w:rPr>
        <w:t>歐盟）、一份非經國會立法之政策指令（加拿大）。本文的比較對象，因此不是三部「同類型」的專法，而是三種「不同位階」的治理文本</w:t>
      </w:r>
      <w:proofErr w:type="gramStart"/>
      <w:r>
        <w:rPr>
          <w:rFonts w:eastAsia="Noto Serif CJK TC"/>
          <w:color w:val="1A202C"/>
        </w:rPr>
        <w:t>—</w:t>
      </w:r>
      <w:proofErr w:type="gramEnd"/>
      <w:r>
        <w:rPr>
          <w:rFonts w:eastAsia="Noto Serif CJK TC"/>
          <w:color w:val="1A202C"/>
        </w:rPr>
        <w:t>—</w:t>
      </w:r>
      <w:r>
        <w:rPr>
          <w:rFonts w:eastAsia="Noto Serif CJK TC"/>
          <w:color w:val="1A202C"/>
        </w:rPr>
        <w:t>這個修正本身即是本文的一項發現，而非單純的研究限制，詳</w:t>
      </w:r>
      <w:proofErr w:type="gramStart"/>
      <w:r>
        <w:rPr>
          <w:rFonts w:eastAsia="Noto Serif CJK TC"/>
          <w:color w:val="1A202C"/>
        </w:rPr>
        <w:t>見肆</w:t>
      </w:r>
      <w:proofErr w:type="gramEnd"/>
      <w:r>
        <w:rPr>
          <w:rFonts w:eastAsia="Noto Serif CJK TC"/>
          <w:color w:val="1A202C"/>
        </w:rPr>
        <w:t>、伍兩章之說明。</w:t>
      </w:r>
    </w:p>
    <w:p w:rsidR="00FF05A2" w:rsidRDefault="00EE6916">
      <w:pPr>
        <w:pStyle w:val="2"/>
        <w:spacing w:before="280" w:after="140" w:line="340" w:lineRule="auto"/>
      </w:pPr>
      <w:r>
        <w:rPr>
          <w:rFonts w:ascii="Noto Sans CJK TC" w:eastAsia="Noto Sans CJK TC" w:hAnsi="Noto Sans CJK TC" w:cs="Noto Sans CJK TC"/>
          <w:b/>
          <w:bCs/>
          <w:color w:val="1A365D"/>
          <w:sz w:val="27"/>
          <w:szCs w:val="27"/>
        </w:rPr>
        <w:t>一、核心研究問題</w:t>
      </w:r>
    </w:p>
    <w:p w:rsidR="00FF05A2" w:rsidRDefault="00EE6916">
      <w:pPr>
        <w:spacing w:after="180" w:line="340" w:lineRule="auto"/>
        <w:jc w:val="both"/>
      </w:pPr>
      <w:r>
        <w:rPr>
          <w:rFonts w:eastAsia="Noto Serif CJK TC"/>
          <w:color w:val="1A202C"/>
        </w:rPr>
        <w:t>本文將整體提問收斂為以下五項核心研究問題：</w:t>
      </w:r>
    </w:p>
    <w:p w:rsidR="00FF05A2" w:rsidRDefault="00EE6916">
      <w:pPr>
        <w:pStyle w:val="a4"/>
        <w:numPr>
          <w:ilvl w:val="0"/>
          <w:numId w:val="1"/>
        </w:numPr>
        <w:spacing w:after="100" w:line="320" w:lineRule="auto"/>
        <w:ind w:left="400"/>
      </w:pPr>
      <w:r>
        <w:rPr>
          <w:rFonts w:eastAsia="Noto Serif CJK TC"/>
          <w:color w:val="1A202C"/>
        </w:rPr>
        <w:t>RQ1</w:t>
      </w:r>
      <w:r>
        <w:rPr>
          <w:rFonts w:eastAsia="Noto Serif CJK TC"/>
          <w:color w:val="1A202C"/>
        </w:rPr>
        <w:t xml:space="preserve">　</w:t>
      </w:r>
      <w:proofErr w:type="gramStart"/>
      <w:r>
        <w:rPr>
          <w:rFonts w:eastAsia="Noto Serif CJK TC"/>
          <w:color w:val="1A202C"/>
        </w:rPr>
        <w:t>三個法域現行</w:t>
      </w:r>
      <w:proofErr w:type="gramEnd"/>
      <w:r>
        <w:rPr>
          <w:rFonts w:eastAsia="Noto Serif CJK TC"/>
          <w:color w:val="1A202C"/>
        </w:rPr>
        <w:t>的人工智慧治理法律文本，在</w:t>
      </w:r>
      <w:r>
        <w:rPr>
          <w:rFonts w:eastAsia="Noto Serif CJK TC"/>
          <w:color w:val="1A202C"/>
        </w:rPr>
        <w:t xml:space="preserve"> UCPR </w:t>
      </w:r>
      <w:r>
        <w:rPr>
          <w:rFonts w:eastAsia="Noto Serif CJK TC"/>
          <w:color w:val="1A202C"/>
        </w:rPr>
        <w:t>認知、決策、</w:t>
      </w:r>
      <w:proofErr w:type="gramStart"/>
      <w:r>
        <w:rPr>
          <w:rFonts w:eastAsia="Noto Serif CJK TC"/>
          <w:color w:val="1A202C"/>
        </w:rPr>
        <w:t>課責三</w:t>
      </w:r>
      <w:proofErr w:type="gramEnd"/>
      <w:r>
        <w:rPr>
          <w:rFonts w:eastAsia="Noto Serif CJK TC"/>
          <w:color w:val="1A202C"/>
        </w:rPr>
        <w:t>種能力上，各自提供了何種強度的機制？</w:t>
      </w:r>
    </w:p>
    <w:p w:rsidR="00FF05A2" w:rsidRDefault="00EE6916">
      <w:pPr>
        <w:pStyle w:val="a4"/>
        <w:numPr>
          <w:ilvl w:val="0"/>
          <w:numId w:val="1"/>
        </w:numPr>
        <w:spacing w:after="100" w:line="320" w:lineRule="auto"/>
        <w:ind w:left="400"/>
      </w:pPr>
      <w:r>
        <w:rPr>
          <w:rFonts w:eastAsia="Noto Serif CJK TC"/>
          <w:color w:val="1A202C"/>
        </w:rPr>
        <w:t>RQ2</w:t>
      </w:r>
      <w:r>
        <w:rPr>
          <w:rFonts w:eastAsia="Noto Serif CJK TC"/>
          <w:color w:val="1A202C"/>
        </w:rPr>
        <w:t xml:space="preserve">　法律位階的差異（框架性基本法、直接生效之規章、非國會立法之政策指令）如何影響</w:t>
      </w:r>
      <w:r>
        <w:rPr>
          <w:rFonts w:eastAsia="Noto Serif CJK TC"/>
          <w:color w:val="1A202C"/>
        </w:rPr>
        <w:t xml:space="preserve"> UCPR </w:t>
      </w:r>
      <w:r>
        <w:rPr>
          <w:rFonts w:eastAsia="Noto Serif CJK TC"/>
          <w:color w:val="1A202C"/>
        </w:rPr>
        <w:t>三種能力的制度穩定性與可執行性？</w:t>
      </w:r>
    </w:p>
    <w:p w:rsidR="00FF05A2" w:rsidRDefault="00EE6916">
      <w:pPr>
        <w:pStyle w:val="a4"/>
        <w:numPr>
          <w:ilvl w:val="0"/>
          <w:numId w:val="1"/>
        </w:numPr>
        <w:spacing w:after="100" w:line="320" w:lineRule="auto"/>
        <w:ind w:left="400"/>
      </w:pPr>
      <w:r>
        <w:rPr>
          <w:rFonts w:eastAsia="Noto Serif CJK TC"/>
          <w:color w:val="1A202C"/>
        </w:rPr>
        <w:lastRenderedPageBreak/>
        <w:t>RQ3</w:t>
      </w:r>
      <w:r>
        <w:rPr>
          <w:rFonts w:eastAsia="Noto Serif CJK TC"/>
          <w:color w:val="1A202C"/>
        </w:rPr>
        <w:t xml:space="preserve">　「形式再介入權限」與「實質再介入能力」之間是否存在系統性落差？何種文本特徵可用以辨識此一落差？</w:t>
      </w:r>
    </w:p>
    <w:p w:rsidR="00FF05A2" w:rsidRDefault="00EE6916">
      <w:pPr>
        <w:pStyle w:val="a4"/>
        <w:numPr>
          <w:ilvl w:val="0"/>
          <w:numId w:val="1"/>
        </w:numPr>
        <w:spacing w:after="100" w:line="320" w:lineRule="auto"/>
        <w:ind w:left="400"/>
      </w:pPr>
      <w:r>
        <w:rPr>
          <w:rFonts w:eastAsia="Noto Serif CJK TC"/>
          <w:color w:val="1A202C"/>
        </w:rPr>
        <w:t>RQ4</w:t>
      </w:r>
      <w:r>
        <w:rPr>
          <w:rFonts w:eastAsia="Noto Serif CJK TC"/>
          <w:color w:val="1A202C"/>
        </w:rPr>
        <w:t xml:space="preserve">　臺灣人工智慧基本法現行文本，相對於歐盟與加拿大之現行機制，存在哪些具體的制度缺口？</w:t>
      </w:r>
    </w:p>
    <w:p w:rsidR="00FF05A2" w:rsidRDefault="00EE6916">
      <w:pPr>
        <w:pStyle w:val="a4"/>
        <w:numPr>
          <w:ilvl w:val="0"/>
          <w:numId w:val="1"/>
        </w:numPr>
        <w:spacing w:after="100" w:line="320" w:lineRule="auto"/>
        <w:ind w:left="400"/>
      </w:pPr>
      <w:r>
        <w:rPr>
          <w:rFonts w:eastAsia="Noto Serif CJK TC"/>
          <w:color w:val="1A202C"/>
        </w:rPr>
        <w:t>RQ5</w:t>
      </w:r>
      <w:r>
        <w:rPr>
          <w:rFonts w:eastAsia="Noto Serif CJK TC"/>
          <w:color w:val="1A202C"/>
        </w:rPr>
        <w:t xml:space="preserve">　這些缺口中，哪些屬於本文完稿</w:t>
      </w:r>
      <w:proofErr w:type="gramStart"/>
      <w:r>
        <w:rPr>
          <w:rFonts w:eastAsia="Noto Serif CJK TC"/>
          <w:color w:val="1A202C"/>
        </w:rPr>
        <w:t>時尚待子法</w:t>
      </w:r>
      <w:proofErr w:type="gramEnd"/>
      <w:r>
        <w:rPr>
          <w:rFonts w:eastAsia="Noto Serif CJK TC"/>
          <w:color w:val="1A202C"/>
        </w:rPr>
        <w:t>填補、因而具有時效性的「暫時性缺口」，哪些屬於現行文本設計本身即未處理、須</w:t>
      </w:r>
      <w:proofErr w:type="gramStart"/>
      <w:r>
        <w:rPr>
          <w:rFonts w:eastAsia="Noto Serif CJK TC"/>
          <w:color w:val="1A202C"/>
        </w:rPr>
        <w:t>修法始</w:t>
      </w:r>
      <w:proofErr w:type="gramEnd"/>
      <w:r>
        <w:rPr>
          <w:rFonts w:eastAsia="Noto Serif CJK TC"/>
          <w:color w:val="1A202C"/>
        </w:rPr>
        <w:t>能填補的「結構性缺口」？</w:t>
      </w:r>
    </w:p>
    <w:p w:rsidR="00FF05A2" w:rsidRDefault="00EE6916">
      <w:pPr>
        <w:pStyle w:val="2"/>
        <w:spacing w:before="280" w:after="140" w:line="340" w:lineRule="auto"/>
      </w:pPr>
      <w:r>
        <w:rPr>
          <w:rFonts w:ascii="Noto Sans CJK TC" w:eastAsia="Noto Sans CJK TC" w:hAnsi="Noto Sans CJK TC" w:cs="Noto Sans CJK TC"/>
          <w:b/>
          <w:bCs/>
          <w:color w:val="1A365D"/>
          <w:sz w:val="27"/>
          <w:szCs w:val="27"/>
        </w:rPr>
        <w:t>二、本文之研究方法：比較法學與政策文本分析法</w:t>
      </w:r>
    </w:p>
    <w:p w:rsidR="00FF05A2" w:rsidRDefault="00EE6916">
      <w:pPr>
        <w:spacing w:after="180" w:line="340" w:lineRule="auto"/>
        <w:jc w:val="both"/>
      </w:pPr>
      <w:r>
        <w:rPr>
          <w:rFonts w:eastAsia="Noto Serif CJK TC"/>
          <w:color w:val="1A202C"/>
        </w:rPr>
        <w:t>本文採取比較法學與政策文本分析法，具體步驟有五。</w:t>
      </w:r>
      <w:proofErr w:type="gramStart"/>
      <w:r>
        <w:rPr>
          <w:rFonts w:eastAsia="Noto Serif CJK TC"/>
          <w:color w:val="1A202C"/>
        </w:rPr>
        <w:t>其一，</w:t>
      </w:r>
      <w:proofErr w:type="gramEnd"/>
      <w:r>
        <w:rPr>
          <w:rFonts w:eastAsia="Noto Serif CJK TC"/>
          <w:color w:val="1A202C"/>
        </w:rPr>
        <w:t>將</w:t>
      </w:r>
      <w:r>
        <w:rPr>
          <w:rFonts w:eastAsia="Noto Serif CJK TC"/>
          <w:color w:val="1A202C"/>
        </w:rPr>
        <w:t xml:space="preserve"> 032 </w:t>
      </w:r>
      <w:r>
        <w:rPr>
          <w:rFonts w:eastAsia="Noto Serif CJK TC"/>
          <w:color w:val="1A202C"/>
        </w:rPr>
        <w:t>對</w:t>
      </w:r>
      <w:r>
        <w:rPr>
          <w:rFonts w:eastAsia="Noto Serif CJK TC"/>
          <w:color w:val="1A202C"/>
        </w:rPr>
        <w:t xml:space="preserve"> UCPR </w:t>
      </w:r>
      <w:r>
        <w:rPr>
          <w:rFonts w:eastAsia="Noto Serif CJK TC"/>
          <w:color w:val="1A202C"/>
        </w:rPr>
        <w:t>認知、決策、</w:t>
      </w:r>
      <w:proofErr w:type="gramStart"/>
      <w:r>
        <w:rPr>
          <w:rFonts w:eastAsia="Noto Serif CJK TC"/>
          <w:color w:val="1A202C"/>
        </w:rPr>
        <w:t>課責三</w:t>
      </w:r>
      <w:proofErr w:type="gramEnd"/>
      <w:r>
        <w:rPr>
          <w:rFonts w:eastAsia="Noto Serif CJK TC"/>
          <w:color w:val="1A202C"/>
        </w:rPr>
        <w:t>種能力的定義，逐一轉</w:t>
      </w:r>
      <w:r>
        <w:rPr>
          <w:rFonts w:eastAsia="Noto Serif CJK TC"/>
          <w:color w:val="1A202C"/>
        </w:rPr>
        <w:t>譯為可對照法條的具體審計問題，並新增「法律位階」作為第四個比較軸（詳見貳章）。</w:t>
      </w:r>
      <w:proofErr w:type="gramStart"/>
      <w:r>
        <w:rPr>
          <w:rFonts w:eastAsia="Noto Serif CJK TC"/>
          <w:color w:val="1A202C"/>
        </w:rPr>
        <w:t>其二，</w:t>
      </w:r>
      <w:proofErr w:type="gramEnd"/>
      <w:r>
        <w:rPr>
          <w:rFonts w:eastAsia="Noto Serif CJK TC"/>
          <w:color w:val="1A202C"/>
        </w:rPr>
        <w:t>蒐集三</w:t>
      </w:r>
      <w:proofErr w:type="gramStart"/>
      <w:r>
        <w:rPr>
          <w:rFonts w:eastAsia="Noto Serif CJK TC"/>
          <w:color w:val="1A202C"/>
        </w:rPr>
        <w:t>法域現</w:t>
      </w:r>
      <w:proofErr w:type="gramEnd"/>
      <w:r>
        <w:rPr>
          <w:rFonts w:eastAsia="Noto Serif CJK TC"/>
          <w:color w:val="1A202C"/>
        </w:rPr>
        <w:t>行有效之官方法律文本</w:t>
      </w:r>
      <w:r>
        <w:rPr>
          <w:rFonts w:eastAsia="Noto Serif CJK TC"/>
          <w:color w:val="1A202C"/>
        </w:rPr>
        <w:t>——</w:t>
      </w:r>
      <w:r>
        <w:rPr>
          <w:rFonts w:eastAsia="Noto Serif CJK TC"/>
          <w:color w:val="1A202C"/>
        </w:rPr>
        <w:t>臺灣人工智慧基本法之總統府公布全文、歐盟人工智慧法之官方規章文本、加拿大財政部自動化決策指令之官方政策文本</w:t>
      </w:r>
      <w:r>
        <w:rPr>
          <w:rFonts w:eastAsia="Noto Serif CJK TC"/>
          <w:color w:val="1A202C"/>
        </w:rPr>
        <w:t>——</w:t>
      </w:r>
      <w:r>
        <w:rPr>
          <w:rFonts w:eastAsia="Noto Serif CJK TC"/>
          <w:color w:val="1A202C"/>
        </w:rPr>
        <w:t>而非草案版本或二手摘要，並記錄其法律位階、公布／生效日期與最近修正。其</w:t>
      </w:r>
      <w:proofErr w:type="gramStart"/>
      <w:r>
        <w:rPr>
          <w:rFonts w:eastAsia="Noto Serif CJK TC"/>
          <w:color w:val="1A202C"/>
        </w:rPr>
        <w:t>三</w:t>
      </w:r>
      <w:proofErr w:type="gramEnd"/>
      <w:r>
        <w:rPr>
          <w:rFonts w:eastAsia="Noto Serif CJK TC"/>
          <w:color w:val="1A202C"/>
        </w:rPr>
        <w:t>，逐條進行中立性文本審計：先以綠、黃、紅三級標記各</w:t>
      </w:r>
      <w:proofErr w:type="gramStart"/>
      <w:r>
        <w:rPr>
          <w:rFonts w:eastAsia="Noto Serif CJK TC"/>
          <w:color w:val="1A202C"/>
        </w:rPr>
        <w:t>法域於</w:t>
      </w:r>
      <w:proofErr w:type="gramEnd"/>
      <w:r>
        <w:rPr>
          <w:rFonts w:eastAsia="Noto Serif CJK TC"/>
          <w:color w:val="1A202C"/>
        </w:rPr>
        <w:t>各項能力之機制強度（綠＝條文已明定具體機制；黃＝原則性宣示或程序性要求，機制細節待補；紅＝現行文</w:t>
      </w:r>
      <w:proofErr w:type="gramStart"/>
      <w:r>
        <w:rPr>
          <w:rFonts w:eastAsia="Noto Serif CJK TC"/>
          <w:color w:val="1A202C"/>
        </w:rPr>
        <w:t>本未</w:t>
      </w:r>
      <w:proofErr w:type="gramEnd"/>
      <w:r>
        <w:rPr>
          <w:rFonts w:eastAsia="Noto Serif CJK TC"/>
          <w:color w:val="1A202C"/>
        </w:rPr>
        <w:t>見對應機制），並附</w:t>
      </w:r>
      <w:proofErr w:type="gramStart"/>
      <w:r>
        <w:rPr>
          <w:rFonts w:eastAsia="Noto Serif CJK TC"/>
          <w:color w:val="1A202C"/>
        </w:rPr>
        <w:t>具體條號依</w:t>
      </w:r>
      <w:proofErr w:type="gramEnd"/>
      <w:r>
        <w:rPr>
          <w:rFonts w:eastAsia="Noto Serif CJK TC"/>
          <w:color w:val="1A202C"/>
        </w:rPr>
        <w:t>據，不預設任一</w:t>
      </w:r>
      <w:proofErr w:type="gramStart"/>
      <w:r>
        <w:rPr>
          <w:rFonts w:eastAsia="Noto Serif CJK TC"/>
          <w:color w:val="1A202C"/>
        </w:rPr>
        <w:t>法域制</w:t>
      </w:r>
      <w:proofErr w:type="gramEnd"/>
      <w:r>
        <w:rPr>
          <w:rFonts w:eastAsia="Noto Serif CJK TC"/>
          <w:color w:val="1A202C"/>
        </w:rPr>
        <w:t>度不足</w:t>
      </w:r>
      <w:r>
        <w:rPr>
          <w:rFonts w:eastAsia="Noto Serif CJK TC"/>
          <w:color w:val="1A202C"/>
        </w:rPr>
        <w:t>。其四，區分「形式再介入權限」與「實質再介入能力」，檢視法條所賦予之權限是否具備可觀察的落實條件（如專責人力、期限、罰則、獨立於既有救濟之外的新救濟權），以此作為</w:t>
      </w:r>
      <w:proofErr w:type="gramStart"/>
      <w:r>
        <w:rPr>
          <w:rFonts w:eastAsia="Noto Serif CJK TC"/>
          <w:color w:val="1A202C"/>
        </w:rPr>
        <w:t>柒</w:t>
      </w:r>
      <w:proofErr w:type="gramEnd"/>
      <w:r>
        <w:rPr>
          <w:rFonts w:eastAsia="Noto Serif CJK TC"/>
          <w:color w:val="1A202C"/>
        </w:rPr>
        <w:t>章分析的基礎。其五，綜合三</w:t>
      </w:r>
      <w:proofErr w:type="gramStart"/>
      <w:r>
        <w:rPr>
          <w:rFonts w:eastAsia="Noto Serif CJK TC"/>
          <w:color w:val="1A202C"/>
        </w:rPr>
        <w:t>法域之</w:t>
      </w:r>
      <w:proofErr w:type="gramEnd"/>
      <w:r>
        <w:rPr>
          <w:rFonts w:eastAsia="Noto Serif CJK TC"/>
          <w:color w:val="1A202C"/>
        </w:rPr>
        <w:t>比較結果，區分臺灣制度中「暫時性缺口」（本文完稿時尚待子法或後續立法填補）與「結構性缺口」（現行文本設計本身未處理，須修法始能填補），並據此提出政策建議。</w:t>
      </w:r>
    </w:p>
    <w:p w:rsidR="00FF05A2" w:rsidRDefault="00EE6916">
      <w:pPr>
        <w:pStyle w:val="2"/>
        <w:spacing w:before="280" w:after="140" w:line="340" w:lineRule="auto"/>
      </w:pPr>
      <w:r>
        <w:rPr>
          <w:rFonts w:ascii="Noto Sans CJK TC" w:eastAsia="Noto Sans CJK TC" w:hAnsi="Noto Sans CJK TC" w:cs="Noto Sans CJK TC"/>
          <w:b/>
          <w:bCs/>
          <w:color w:val="1A365D"/>
          <w:sz w:val="27"/>
          <w:szCs w:val="27"/>
        </w:rPr>
        <w:t>三、與系列其他文章的邊界</w:t>
      </w:r>
    </w:p>
    <w:p w:rsidR="00FF05A2" w:rsidRDefault="00EE6916">
      <w:pPr>
        <w:spacing w:after="180" w:line="340" w:lineRule="auto"/>
        <w:jc w:val="both"/>
      </w:pPr>
      <w:r>
        <w:rPr>
          <w:rFonts w:eastAsia="Noto Serif CJK TC"/>
          <w:color w:val="1A202C"/>
        </w:rPr>
        <w:t>本文與</w:t>
      </w:r>
      <w:r>
        <w:rPr>
          <w:rFonts w:eastAsia="Noto Serif CJK TC"/>
          <w:color w:val="1A202C"/>
        </w:rPr>
        <w:t xml:space="preserve"> 031 </w:t>
      </w:r>
      <w:r>
        <w:rPr>
          <w:rFonts w:eastAsia="Noto Serif CJK TC"/>
          <w:color w:val="1A202C"/>
        </w:rPr>
        <w:t>的邊界在於：</w:t>
      </w:r>
      <w:r>
        <w:rPr>
          <w:rFonts w:eastAsia="Noto Serif CJK TC"/>
          <w:color w:val="1A202C"/>
        </w:rPr>
        <w:t xml:space="preserve">031 </w:t>
      </w:r>
      <w:r>
        <w:rPr>
          <w:rFonts w:eastAsia="Noto Serif CJK TC"/>
          <w:color w:val="1A202C"/>
        </w:rPr>
        <w:t>是單一個案（電子圍籬）之文件研究，本文則是跨三</w:t>
      </w:r>
      <w:proofErr w:type="gramStart"/>
      <w:r>
        <w:rPr>
          <w:rFonts w:eastAsia="Noto Serif CJK TC"/>
          <w:color w:val="1A202C"/>
        </w:rPr>
        <w:t>法域之</w:t>
      </w:r>
      <w:proofErr w:type="gramEnd"/>
      <w:r>
        <w:rPr>
          <w:rFonts w:eastAsia="Noto Serif CJK TC"/>
          <w:color w:val="1A202C"/>
        </w:rPr>
        <w:t>法律文本比較，兩者互補而非重疊</w:t>
      </w:r>
      <w:r>
        <w:rPr>
          <w:rFonts w:eastAsia="Noto Serif CJK TC"/>
          <w:color w:val="1A202C"/>
        </w:rPr>
        <w:t xml:space="preserve">——031 </w:t>
      </w:r>
      <w:r>
        <w:rPr>
          <w:rFonts w:eastAsia="Noto Serif CJK TC"/>
          <w:color w:val="1A202C"/>
        </w:rPr>
        <w:t>檢視</w:t>
      </w:r>
      <w:r>
        <w:rPr>
          <w:rFonts w:eastAsia="Noto Serif CJK TC"/>
          <w:color w:val="1A202C"/>
        </w:rPr>
        <w:t>「一個系統如何實際運作」，本文檢視「法律文本賦予政府何種權限」，二者之間的落差正是柒章「形式再介入與實質再介入」所要處理的問題。本文與</w:t>
      </w:r>
      <w:r>
        <w:rPr>
          <w:rFonts w:eastAsia="Noto Serif CJK TC"/>
          <w:color w:val="1A202C"/>
        </w:rPr>
        <w:t xml:space="preserve"> 032</w:t>
      </w:r>
      <w:r>
        <w:rPr>
          <w:rFonts w:eastAsia="Noto Serif CJK TC"/>
          <w:color w:val="1A202C"/>
        </w:rPr>
        <w:t>、</w:t>
      </w:r>
      <w:r>
        <w:rPr>
          <w:rFonts w:eastAsia="Noto Serif CJK TC"/>
          <w:color w:val="1A202C"/>
        </w:rPr>
        <w:t>033</w:t>
      </w:r>
      <w:r>
        <w:rPr>
          <w:rFonts w:eastAsia="Noto Serif CJK TC"/>
          <w:color w:val="1A202C"/>
        </w:rPr>
        <w:t>、</w:t>
      </w:r>
      <w:r>
        <w:rPr>
          <w:rFonts w:eastAsia="Noto Serif CJK TC"/>
          <w:color w:val="1A202C"/>
        </w:rPr>
        <w:t xml:space="preserve">035 </w:t>
      </w:r>
      <w:r>
        <w:rPr>
          <w:rFonts w:eastAsia="Noto Serif CJK TC"/>
          <w:color w:val="1A202C"/>
        </w:rPr>
        <w:t>的邊界則在於：</w:t>
      </w:r>
      <w:r>
        <w:rPr>
          <w:rFonts w:eastAsia="Noto Serif CJK TC"/>
          <w:color w:val="1A202C"/>
        </w:rPr>
        <w:t xml:space="preserve">032 </w:t>
      </w:r>
      <w:r>
        <w:rPr>
          <w:rFonts w:eastAsia="Noto Serif CJK TC"/>
          <w:color w:val="1A202C"/>
        </w:rPr>
        <w:t>是</w:t>
      </w:r>
      <w:r>
        <w:rPr>
          <w:rFonts w:eastAsia="Noto Serif CJK TC"/>
          <w:color w:val="1A202C"/>
        </w:rPr>
        <w:t xml:space="preserve"> GDA </w:t>
      </w:r>
      <w:r>
        <w:rPr>
          <w:rFonts w:eastAsia="Noto Serif CJK TC"/>
          <w:color w:val="1A202C"/>
        </w:rPr>
        <w:t>模型與國際理論之橫向對話，</w:t>
      </w:r>
      <w:r>
        <w:rPr>
          <w:rFonts w:eastAsia="Noto Serif CJK TC"/>
          <w:color w:val="1A202C"/>
        </w:rPr>
        <w:t xml:space="preserve">033 </w:t>
      </w:r>
      <w:r>
        <w:rPr>
          <w:rFonts w:eastAsia="Noto Serif CJK TC"/>
          <w:color w:val="1A202C"/>
        </w:rPr>
        <w:t>是對</w:t>
      </w:r>
      <w:r>
        <w:rPr>
          <w:rFonts w:eastAsia="Noto Serif CJK TC"/>
          <w:color w:val="1A202C"/>
        </w:rPr>
        <w:t xml:space="preserve"> GDA </w:t>
      </w:r>
      <w:r>
        <w:rPr>
          <w:rFonts w:eastAsia="Noto Serif CJK TC"/>
          <w:color w:val="1A202C"/>
        </w:rPr>
        <w:t>模型自身之縱向盤點，</w:t>
      </w:r>
      <w:r>
        <w:rPr>
          <w:rFonts w:eastAsia="Noto Serif CJK TC"/>
          <w:color w:val="1A202C"/>
        </w:rPr>
        <w:t xml:space="preserve">035 </w:t>
      </w:r>
      <w:r>
        <w:rPr>
          <w:rFonts w:eastAsia="Noto Serif CJK TC"/>
          <w:color w:val="1A202C"/>
        </w:rPr>
        <w:t>是規範轉換判</w:t>
      </w:r>
      <w:proofErr w:type="gramStart"/>
      <w:r>
        <w:rPr>
          <w:rFonts w:eastAsia="Noto Serif CJK TC"/>
          <w:color w:val="1A202C"/>
        </w:rPr>
        <w:t>準</w:t>
      </w:r>
      <w:proofErr w:type="gramEnd"/>
      <w:r>
        <w:rPr>
          <w:rFonts w:eastAsia="Noto Serif CJK TC"/>
          <w:color w:val="1A202C"/>
        </w:rPr>
        <w:t>之純理論演繹，三</w:t>
      </w:r>
      <w:proofErr w:type="gramStart"/>
      <w:r>
        <w:rPr>
          <w:rFonts w:eastAsia="Noto Serif CJK TC"/>
          <w:color w:val="1A202C"/>
        </w:rPr>
        <w:t>者均不涉</w:t>
      </w:r>
      <w:proofErr w:type="gramEnd"/>
      <w:r>
        <w:rPr>
          <w:rFonts w:eastAsia="Noto Serif CJK TC"/>
          <w:color w:val="1A202C"/>
        </w:rPr>
        <w:t>及真實法律文本之逐條比較；本文是系列中唯一直接面對</w:t>
      </w:r>
      <w:proofErr w:type="gramStart"/>
      <w:r>
        <w:rPr>
          <w:rFonts w:eastAsia="Noto Serif CJK TC"/>
          <w:color w:val="1A202C"/>
        </w:rPr>
        <w:t>三個法域現行</w:t>
      </w:r>
      <w:proofErr w:type="gramEnd"/>
      <w:r>
        <w:rPr>
          <w:rFonts w:eastAsia="Noto Serif CJK TC"/>
          <w:color w:val="1A202C"/>
        </w:rPr>
        <w:t>法律文本的比較法學研究，其發現可回饋</w:t>
      </w:r>
      <w:r>
        <w:rPr>
          <w:rFonts w:eastAsia="Noto Serif CJK TC"/>
          <w:color w:val="1A202C"/>
        </w:rPr>
        <w:t xml:space="preserve"> 032 </w:t>
      </w:r>
      <w:r>
        <w:rPr>
          <w:rFonts w:eastAsia="Noto Serif CJK TC"/>
          <w:color w:val="1A202C"/>
        </w:rPr>
        <w:t>之</w:t>
      </w:r>
      <w:r>
        <w:rPr>
          <w:rFonts w:eastAsia="Noto Serif CJK TC"/>
          <w:color w:val="1A202C"/>
        </w:rPr>
        <w:t xml:space="preserve"> P3</w:t>
      </w:r>
      <w:r>
        <w:rPr>
          <w:rFonts w:eastAsia="Noto Serif CJK TC"/>
          <w:color w:val="1A202C"/>
        </w:rPr>
        <w:t>、</w:t>
      </w:r>
      <w:r>
        <w:rPr>
          <w:rFonts w:eastAsia="Noto Serif CJK TC"/>
          <w:color w:val="1A202C"/>
        </w:rPr>
        <w:t xml:space="preserve">P4 </w:t>
      </w:r>
      <w:r>
        <w:rPr>
          <w:rFonts w:eastAsia="Noto Serif CJK TC"/>
          <w:color w:val="1A202C"/>
        </w:rPr>
        <w:t>命題，並為</w:t>
      </w:r>
      <w:r>
        <w:rPr>
          <w:rFonts w:eastAsia="Noto Serif CJK TC"/>
          <w:color w:val="1A202C"/>
        </w:rPr>
        <w:t xml:space="preserve"> 033 </w:t>
      </w:r>
      <w:r>
        <w:rPr>
          <w:rFonts w:eastAsia="Noto Serif CJK TC"/>
          <w:color w:val="1A202C"/>
        </w:rPr>
        <w:t>所列之「法律文本審計」研究策略提供第一個實作案例。</w:t>
      </w:r>
    </w:p>
    <w:p w:rsidR="00FF05A2" w:rsidRDefault="00EE6916">
      <w:pPr>
        <w:pStyle w:val="1"/>
        <w:spacing w:before="360" w:after="200" w:line="360" w:lineRule="auto"/>
      </w:pPr>
      <w:r>
        <w:rPr>
          <w:rFonts w:ascii="Noto Sans CJK TC" w:eastAsia="Noto Sans CJK TC" w:hAnsi="Noto Sans CJK TC" w:cs="Noto Sans CJK TC"/>
          <w:b/>
          <w:bCs/>
          <w:color w:val="1A365D"/>
        </w:rPr>
        <w:t>貳、分析</w:t>
      </w:r>
      <w:r>
        <w:rPr>
          <w:rFonts w:ascii="Noto Sans CJK TC" w:eastAsia="Noto Sans CJK TC" w:hAnsi="Noto Sans CJK TC" w:cs="Noto Sans CJK TC"/>
          <w:b/>
          <w:bCs/>
          <w:color w:val="1A365D"/>
        </w:rPr>
        <w:t>架構：</w:t>
      </w:r>
      <w:r>
        <w:rPr>
          <w:rFonts w:ascii="Noto Sans CJK TC" w:eastAsia="Noto Sans CJK TC" w:hAnsi="Noto Sans CJK TC" w:cs="Noto Sans CJK TC"/>
          <w:b/>
          <w:bCs/>
          <w:color w:val="1A365D"/>
        </w:rPr>
        <w:t>UCPR</w:t>
      </w:r>
      <w:r>
        <w:rPr>
          <w:rFonts w:ascii="Noto Sans CJK TC" w:eastAsia="Noto Sans CJK TC" w:hAnsi="Noto Sans CJK TC" w:cs="Noto Sans CJK TC"/>
          <w:b/>
          <w:bCs/>
          <w:color w:val="1A365D"/>
        </w:rPr>
        <w:t>作為文本審計量尺</w:t>
      </w:r>
    </w:p>
    <w:p w:rsidR="00FF05A2" w:rsidRDefault="00EE6916">
      <w:pPr>
        <w:spacing w:after="180" w:line="340" w:lineRule="auto"/>
        <w:jc w:val="both"/>
      </w:pPr>
      <w:r>
        <w:rPr>
          <w:rFonts w:eastAsia="Noto Serif CJK TC"/>
          <w:color w:val="1A202C"/>
        </w:rPr>
        <w:t xml:space="preserve">032 </w:t>
      </w:r>
      <w:r>
        <w:rPr>
          <w:rFonts w:eastAsia="Noto Serif CJK TC"/>
          <w:color w:val="1A202C"/>
        </w:rPr>
        <w:t>已經定義：公共權威必須保有三種能力</w:t>
      </w:r>
      <w:proofErr w:type="gramStart"/>
      <w:r>
        <w:rPr>
          <w:rFonts w:eastAsia="Noto Serif CJK TC"/>
          <w:color w:val="1A202C"/>
        </w:rPr>
        <w:t>—</w:t>
      </w:r>
      <w:proofErr w:type="gramEnd"/>
      <w:r>
        <w:rPr>
          <w:rFonts w:eastAsia="Noto Serif CJK TC"/>
          <w:color w:val="1A202C"/>
        </w:rPr>
        <w:t>—</w:t>
      </w:r>
      <w:r>
        <w:rPr>
          <w:rFonts w:eastAsia="Noto Serif CJK TC"/>
          <w:color w:val="1A202C"/>
        </w:rPr>
        <w:t>認知能力（政府是否知道系統在做什麼）、決策能力（政府是否能修改、覆核、否決、暫停、停止系統決策）、</w:t>
      </w:r>
      <w:proofErr w:type="gramStart"/>
      <w:r>
        <w:rPr>
          <w:rFonts w:eastAsia="Noto Serif CJK TC"/>
          <w:color w:val="1A202C"/>
        </w:rPr>
        <w:t>課責能</w:t>
      </w:r>
      <w:proofErr w:type="gramEnd"/>
      <w:r>
        <w:rPr>
          <w:rFonts w:eastAsia="Noto Serif CJK TC"/>
          <w:color w:val="1A202C"/>
        </w:rPr>
        <w:t>力（政府是否能說明</w:t>
      </w:r>
      <w:r>
        <w:rPr>
          <w:rFonts w:eastAsia="Noto Serif CJK TC"/>
          <w:color w:val="1A202C"/>
        </w:rPr>
        <w:lastRenderedPageBreak/>
        <w:t>理由、承認錯誤、提供救濟、承擔責任），且這三種能力並非可以彼此加總或替代的量表分項，而是一組「構成性能力」：任一項長期缺失，都可能使公共權威喪失實質的再介入能力。本文的任務，是把這三</w:t>
      </w:r>
      <w:proofErr w:type="gramStart"/>
      <w:r>
        <w:rPr>
          <w:rFonts w:eastAsia="Noto Serif CJK TC"/>
          <w:color w:val="1A202C"/>
        </w:rPr>
        <w:t>個</w:t>
      </w:r>
      <w:proofErr w:type="gramEnd"/>
      <w:r>
        <w:rPr>
          <w:rFonts w:eastAsia="Noto Serif CJK TC"/>
          <w:color w:val="1A202C"/>
        </w:rPr>
        <w:t>定義各自轉譯為一組可對照法條逐一審視的具體問題。</w:t>
      </w:r>
    </w:p>
    <w:p w:rsidR="00FF05A2" w:rsidRDefault="00EE6916">
      <w:pPr>
        <w:pStyle w:val="2"/>
        <w:spacing w:before="280" w:after="140" w:line="340" w:lineRule="auto"/>
      </w:pPr>
      <w:r>
        <w:rPr>
          <w:rFonts w:ascii="Noto Sans CJK TC" w:eastAsia="Noto Sans CJK TC" w:hAnsi="Noto Sans CJK TC" w:cs="Noto Sans CJK TC"/>
          <w:b/>
          <w:bCs/>
          <w:color w:val="1A365D"/>
          <w:sz w:val="27"/>
          <w:szCs w:val="27"/>
        </w:rPr>
        <w:t>一、認知能力：法律文本是否要求政府知道系統在做什麼？</w:t>
      </w:r>
    </w:p>
    <w:p w:rsidR="00FF05A2" w:rsidRDefault="00EE6916">
      <w:pPr>
        <w:spacing w:after="180" w:line="340" w:lineRule="auto"/>
        <w:jc w:val="both"/>
      </w:pPr>
      <w:r>
        <w:rPr>
          <w:rFonts w:eastAsia="Noto Serif CJK TC"/>
          <w:color w:val="1A202C"/>
        </w:rPr>
        <w:t>文本審計問題：法律文本是</w:t>
      </w:r>
      <w:r>
        <w:rPr>
          <w:rFonts w:eastAsia="Noto Serif CJK TC"/>
          <w:color w:val="1A202C"/>
        </w:rPr>
        <w:t>否要求政府或系統部署者說明、記錄、揭露系統邏輯、技術文件與風險評估？是否明定揭露之對象、時點與更新頻率？此一能力若僅停留在「應揭露」之原則性宣示，而未明定揭露之具體內容、對象與時點，則機關即使名義上「應該」知道系統在做什麼，實際上仍可能無從查核。</w:t>
      </w:r>
    </w:p>
    <w:p w:rsidR="00FF05A2" w:rsidRDefault="00EE6916">
      <w:pPr>
        <w:pStyle w:val="2"/>
        <w:spacing w:before="280" w:after="140" w:line="340" w:lineRule="auto"/>
      </w:pPr>
      <w:r>
        <w:rPr>
          <w:rFonts w:ascii="Noto Sans CJK TC" w:eastAsia="Noto Sans CJK TC" w:hAnsi="Noto Sans CJK TC" w:cs="Noto Sans CJK TC"/>
          <w:b/>
          <w:bCs/>
          <w:color w:val="1A365D"/>
          <w:sz w:val="27"/>
          <w:szCs w:val="27"/>
        </w:rPr>
        <w:t>二、決策能力：法律文本是否賦予政府修改、否決或停止系統的權限？</w:t>
      </w:r>
    </w:p>
    <w:p w:rsidR="00FF05A2" w:rsidRDefault="00EE6916">
      <w:pPr>
        <w:spacing w:after="180" w:line="340" w:lineRule="auto"/>
        <w:jc w:val="both"/>
      </w:pPr>
      <w:r>
        <w:rPr>
          <w:rFonts w:eastAsia="Noto Serif CJK TC"/>
          <w:color w:val="1A202C"/>
        </w:rPr>
        <w:t>文本審計問題：法律文本是否明文賦予暫停、否決、覆核或停止系統運作之權限？是否明定由</w:t>
      </w:r>
      <w:proofErr w:type="gramStart"/>
      <w:r>
        <w:rPr>
          <w:rFonts w:eastAsia="Noto Serif CJK TC"/>
          <w:color w:val="1A202C"/>
        </w:rPr>
        <w:t>何人、</w:t>
      </w:r>
      <w:proofErr w:type="gramEnd"/>
      <w:r>
        <w:rPr>
          <w:rFonts w:eastAsia="Noto Serif CJK TC"/>
          <w:color w:val="1A202C"/>
        </w:rPr>
        <w:t>於何種條件下、依何種程序行使該權限？這是本文審計中</w:t>
      </w:r>
      <w:proofErr w:type="gramStart"/>
      <w:r>
        <w:rPr>
          <w:rFonts w:eastAsia="Noto Serif CJK TC"/>
          <w:color w:val="1A202C"/>
        </w:rPr>
        <w:t>最</w:t>
      </w:r>
      <w:proofErr w:type="gramEnd"/>
      <w:r>
        <w:rPr>
          <w:rFonts w:eastAsia="Noto Serif CJK TC"/>
          <w:color w:val="1A202C"/>
        </w:rPr>
        <w:t>關鍵的一項問題，因為它直接對應</w:t>
      </w:r>
      <w:r>
        <w:rPr>
          <w:rFonts w:eastAsia="Noto Serif CJK TC"/>
          <w:color w:val="1A202C"/>
        </w:rPr>
        <w:t xml:space="preserve"> 032 </w:t>
      </w:r>
      <w:r>
        <w:rPr>
          <w:rFonts w:eastAsia="Noto Serif CJK TC"/>
          <w:color w:val="1A202C"/>
        </w:rPr>
        <w:t>之</w:t>
      </w:r>
      <w:r>
        <w:rPr>
          <w:rFonts w:eastAsia="Noto Serif CJK TC"/>
          <w:color w:val="1A202C"/>
        </w:rPr>
        <w:t xml:space="preserve"> P3 </w:t>
      </w:r>
      <w:r>
        <w:rPr>
          <w:rFonts w:eastAsia="Noto Serif CJK TC"/>
          <w:color w:val="1A202C"/>
        </w:rPr>
        <w:t>命題</w:t>
      </w:r>
      <w:r>
        <w:rPr>
          <w:rFonts w:eastAsia="Noto Serif CJK TC"/>
          <w:color w:val="1A202C"/>
        </w:rPr>
        <w:t>——</w:t>
      </w:r>
      <w:r>
        <w:rPr>
          <w:rFonts w:eastAsia="Noto Serif CJK TC"/>
          <w:color w:val="1A202C"/>
        </w:rPr>
        <w:t>僅</w:t>
      </w:r>
      <w:r>
        <w:rPr>
          <w:rFonts w:eastAsia="Noto Serif CJK TC"/>
          <w:color w:val="1A202C"/>
        </w:rPr>
        <w:t>有事後申訴救濟，而無事中暫停、修改或否決權者，不構成充分的</w:t>
      </w:r>
      <w:r>
        <w:rPr>
          <w:rFonts w:eastAsia="Noto Serif CJK TC"/>
          <w:color w:val="1A202C"/>
        </w:rPr>
        <w:t xml:space="preserve"> UCPR</w:t>
      </w:r>
      <w:r>
        <w:rPr>
          <w:rFonts w:eastAsia="Noto Serif CJK TC"/>
          <w:color w:val="1A202C"/>
        </w:rPr>
        <w:t>。</w:t>
      </w:r>
    </w:p>
    <w:p w:rsidR="00FF05A2" w:rsidRDefault="00EE6916">
      <w:pPr>
        <w:pStyle w:val="2"/>
        <w:spacing w:before="280" w:after="140" w:line="340" w:lineRule="auto"/>
      </w:pPr>
      <w:r>
        <w:rPr>
          <w:rFonts w:ascii="Noto Sans CJK TC" w:eastAsia="Noto Sans CJK TC" w:hAnsi="Noto Sans CJK TC" w:cs="Noto Sans CJK TC"/>
          <w:b/>
          <w:bCs/>
          <w:color w:val="1A365D"/>
          <w:sz w:val="27"/>
          <w:szCs w:val="27"/>
        </w:rPr>
        <w:t>三、</w:t>
      </w:r>
      <w:proofErr w:type="gramStart"/>
      <w:r>
        <w:rPr>
          <w:rFonts w:ascii="Noto Sans CJK TC" w:eastAsia="Noto Sans CJK TC" w:hAnsi="Noto Sans CJK TC" w:cs="Noto Sans CJK TC"/>
          <w:b/>
          <w:bCs/>
          <w:color w:val="1A365D"/>
          <w:sz w:val="27"/>
          <w:szCs w:val="27"/>
        </w:rPr>
        <w:t>課責能力</w:t>
      </w:r>
      <w:proofErr w:type="gramEnd"/>
      <w:r>
        <w:rPr>
          <w:rFonts w:ascii="Noto Sans CJK TC" w:eastAsia="Noto Sans CJK TC" w:hAnsi="Noto Sans CJK TC" w:cs="Noto Sans CJK TC"/>
          <w:b/>
          <w:bCs/>
          <w:color w:val="1A365D"/>
          <w:sz w:val="27"/>
          <w:szCs w:val="27"/>
        </w:rPr>
        <w:t>：法律文本是否建立說明、</w:t>
      </w:r>
      <w:proofErr w:type="gramStart"/>
      <w:r>
        <w:rPr>
          <w:rFonts w:ascii="Noto Sans CJK TC" w:eastAsia="Noto Sans CJK TC" w:hAnsi="Noto Sans CJK TC" w:cs="Noto Sans CJK TC"/>
          <w:b/>
          <w:bCs/>
          <w:color w:val="1A365D"/>
          <w:sz w:val="27"/>
          <w:szCs w:val="27"/>
        </w:rPr>
        <w:t>補救與究責</w:t>
      </w:r>
      <w:proofErr w:type="gramEnd"/>
      <w:r>
        <w:rPr>
          <w:rFonts w:ascii="Noto Sans CJK TC" w:eastAsia="Noto Sans CJK TC" w:hAnsi="Noto Sans CJK TC" w:cs="Noto Sans CJK TC"/>
          <w:b/>
          <w:bCs/>
          <w:color w:val="1A365D"/>
          <w:sz w:val="27"/>
          <w:szCs w:val="27"/>
        </w:rPr>
        <w:t>的機制？</w:t>
      </w:r>
    </w:p>
    <w:p w:rsidR="00FF05A2" w:rsidRDefault="00EE6916">
      <w:pPr>
        <w:spacing w:after="180" w:line="340" w:lineRule="auto"/>
        <w:jc w:val="both"/>
      </w:pPr>
      <w:r>
        <w:rPr>
          <w:rFonts w:eastAsia="Noto Serif CJK TC"/>
          <w:color w:val="1A202C"/>
        </w:rPr>
        <w:t>文本審計問題：法律文本是否明文建立救濟、賠償或責任歸屬機制？該機制是否獨立於既有一般行政救濟（訴願、行政訴訟）之外而提供額外保障，抑或僅是重申既有一般救濟管道仍然可用？是否明定違反義務之裁罰？裁罰是否對政府機關本身同樣適用？</w:t>
      </w:r>
    </w:p>
    <w:p w:rsidR="00FF05A2" w:rsidRDefault="00EE6916">
      <w:pPr>
        <w:pStyle w:val="2"/>
        <w:spacing w:before="280" w:after="140" w:line="340" w:lineRule="auto"/>
      </w:pPr>
      <w:r>
        <w:rPr>
          <w:rFonts w:ascii="Noto Sans CJK TC" w:eastAsia="Noto Sans CJK TC" w:hAnsi="Noto Sans CJK TC" w:cs="Noto Sans CJK TC"/>
          <w:b/>
          <w:bCs/>
          <w:color w:val="1A365D"/>
          <w:sz w:val="27"/>
          <w:szCs w:val="27"/>
        </w:rPr>
        <w:t>四、新增比較軸：法律位階</w:t>
      </w:r>
    </w:p>
    <w:p w:rsidR="00FF05A2" w:rsidRDefault="00EE6916">
      <w:pPr>
        <w:spacing w:after="180" w:line="340" w:lineRule="auto"/>
        <w:jc w:val="both"/>
      </w:pPr>
      <w:r>
        <w:rPr>
          <w:rFonts w:eastAsia="Noto Serif CJK TC"/>
          <w:color w:val="1A202C"/>
        </w:rPr>
        <w:t>三種</w:t>
      </w:r>
      <w:r>
        <w:rPr>
          <w:rFonts w:eastAsia="Noto Serif CJK TC"/>
          <w:color w:val="1A202C"/>
        </w:rPr>
        <w:t xml:space="preserve"> UCPR </w:t>
      </w:r>
      <w:r>
        <w:rPr>
          <w:rFonts w:eastAsia="Noto Serif CJK TC"/>
          <w:color w:val="1A202C"/>
        </w:rPr>
        <w:t>能力回答「機關名義上擁有什麼權限」，但沒有回答一個同樣重要的問題：這個權限本身能撐</w:t>
      </w:r>
      <w:proofErr w:type="gramStart"/>
      <w:r>
        <w:rPr>
          <w:rFonts w:eastAsia="Noto Serif CJK TC"/>
          <w:color w:val="1A202C"/>
        </w:rPr>
        <w:t>多久、</w:t>
      </w:r>
      <w:proofErr w:type="gramEnd"/>
      <w:r>
        <w:rPr>
          <w:rFonts w:eastAsia="Noto Serif CJK TC"/>
          <w:color w:val="1A202C"/>
        </w:rPr>
        <w:t>能被誰單方改變。本文在比較</w:t>
      </w:r>
      <w:proofErr w:type="gramStart"/>
      <w:r>
        <w:rPr>
          <w:rFonts w:eastAsia="Noto Serif CJK TC"/>
          <w:color w:val="1A202C"/>
        </w:rPr>
        <w:t>三</w:t>
      </w:r>
      <w:r>
        <w:rPr>
          <w:rFonts w:eastAsia="Noto Serif CJK TC"/>
          <w:color w:val="1A202C"/>
        </w:rPr>
        <w:t>個法域的</w:t>
      </w:r>
      <w:proofErr w:type="gramEnd"/>
      <w:r>
        <w:rPr>
          <w:rFonts w:eastAsia="Noto Serif CJK TC"/>
          <w:color w:val="1A202C"/>
        </w:rPr>
        <w:t>過程中發現，這個問題無法被既有三種能力涵蓋，因此新增「法律位階」作為第四個比較軸，並在此明確說明：這是本文為進行</w:t>
      </w:r>
      <w:proofErr w:type="gramStart"/>
      <w:r>
        <w:rPr>
          <w:rFonts w:eastAsia="Noto Serif CJK TC"/>
          <w:color w:val="1A202C"/>
        </w:rPr>
        <w:t>跨法域</w:t>
      </w:r>
      <w:proofErr w:type="gramEnd"/>
      <w:r>
        <w:rPr>
          <w:rFonts w:eastAsia="Noto Serif CJK TC"/>
          <w:color w:val="1A202C"/>
        </w:rPr>
        <w:t>文本比較方法而新增的分析軸，並非對</w:t>
      </w:r>
      <w:r>
        <w:rPr>
          <w:rFonts w:eastAsia="Noto Serif CJK TC"/>
          <w:color w:val="1A202C"/>
        </w:rPr>
        <w:t xml:space="preserve"> 032 UCPR </w:t>
      </w:r>
      <w:proofErr w:type="gramStart"/>
      <w:r>
        <w:rPr>
          <w:rFonts w:eastAsia="Noto Serif CJK TC"/>
          <w:color w:val="1A202C"/>
        </w:rPr>
        <w:t>構念本</w:t>
      </w:r>
      <w:proofErr w:type="gramEnd"/>
      <w:r>
        <w:rPr>
          <w:rFonts w:eastAsia="Noto Serif CJK TC"/>
          <w:color w:val="1A202C"/>
        </w:rPr>
        <w:t>身的修改</w:t>
      </w:r>
      <w:r>
        <w:rPr>
          <w:rFonts w:eastAsia="Noto Serif CJK TC"/>
          <w:color w:val="1A202C"/>
        </w:rPr>
        <w:t xml:space="preserve">——UCPR </w:t>
      </w:r>
      <w:r>
        <w:rPr>
          <w:rFonts w:eastAsia="Noto Serif CJK TC"/>
          <w:color w:val="1A202C"/>
        </w:rPr>
        <w:t>仍是認知、決策、</w:t>
      </w:r>
      <w:proofErr w:type="gramStart"/>
      <w:r>
        <w:rPr>
          <w:rFonts w:eastAsia="Noto Serif CJK TC"/>
          <w:color w:val="1A202C"/>
        </w:rPr>
        <w:t>課責三</w:t>
      </w:r>
      <w:proofErr w:type="gramEnd"/>
      <w:r>
        <w:rPr>
          <w:rFonts w:eastAsia="Noto Serif CJK TC"/>
          <w:color w:val="1A202C"/>
        </w:rPr>
        <w:t>種能力構成的構成性能力集合，法律位階是丈量這三種能力「制度耐久性」的另一把尺，不是第四種能力。一項決策否決權若僅規定於機關內部得自行修改之政策指令，其耐久性與規定於直接生效之超國家規章或需經國會</w:t>
      </w:r>
      <w:proofErr w:type="gramStart"/>
      <w:r>
        <w:rPr>
          <w:rFonts w:eastAsia="Noto Serif CJK TC"/>
          <w:color w:val="1A202C"/>
        </w:rPr>
        <w:t>修法始能</w:t>
      </w:r>
      <w:proofErr w:type="gramEnd"/>
      <w:r>
        <w:rPr>
          <w:rFonts w:eastAsia="Noto Serif CJK TC"/>
          <w:color w:val="1A202C"/>
        </w:rPr>
        <w:t>變動之法律，顯然不同：前者可由發布該指令的機關自行修正甚至廢止，後者則須經過修法</w:t>
      </w:r>
      <w:r>
        <w:rPr>
          <w:rFonts w:eastAsia="Noto Serif CJK TC"/>
          <w:color w:val="1A202C"/>
        </w:rPr>
        <w:t>或修約的政治程序。</w:t>
      </w:r>
      <w:proofErr w:type="gramStart"/>
      <w:r>
        <w:rPr>
          <w:rFonts w:eastAsia="Noto Serif CJK TC"/>
          <w:color w:val="1A202C"/>
        </w:rPr>
        <w:t>伍章對</w:t>
      </w:r>
      <w:proofErr w:type="gramEnd"/>
      <w:r>
        <w:rPr>
          <w:rFonts w:eastAsia="Noto Serif CJK TC"/>
          <w:color w:val="1A202C"/>
        </w:rPr>
        <w:t>加拿大自動化決策指令的分析，將具體呈現這一點如何構成一種獨立於機制內容之外的結構性脆弱。</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3200"/>
        <w:gridCol w:w="4200"/>
      </w:tblGrid>
      <w:tr w:rsidR="00FF05A2">
        <w:tblPrEx>
          <w:tblCellMar>
            <w:top w:w="0" w:type="dxa"/>
            <w:bottom w:w="0" w:type="dxa"/>
          </w:tblCellMar>
        </w:tblPrEx>
        <w:trPr>
          <w:tblHeader/>
        </w:trPr>
        <w:tc>
          <w:tcPr>
            <w:tcW w:w="1600" w:type="dxa"/>
            <w:shd w:val="clear" w:color="auto" w:fill="1A365D"/>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b/>
                <w:bCs/>
                <w:color w:val="FFFFFF"/>
                <w:sz w:val="18"/>
                <w:szCs w:val="18"/>
              </w:rPr>
              <w:t>UCPR</w:t>
            </w:r>
            <w:proofErr w:type="gramStart"/>
            <w:r>
              <w:rPr>
                <w:rFonts w:ascii="Noto Sans CJK TC" w:eastAsia="Noto Sans CJK TC" w:hAnsi="Noto Sans CJK TC" w:cs="Noto Sans CJK TC"/>
                <w:b/>
                <w:bCs/>
                <w:color w:val="FFFFFF"/>
                <w:sz w:val="18"/>
                <w:szCs w:val="18"/>
              </w:rPr>
              <w:t>構念</w:t>
            </w:r>
            <w:proofErr w:type="gramEnd"/>
          </w:p>
        </w:tc>
        <w:tc>
          <w:tcPr>
            <w:tcW w:w="3200" w:type="dxa"/>
            <w:shd w:val="clear" w:color="auto" w:fill="1A365D"/>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b/>
                <w:bCs/>
                <w:color w:val="FFFFFF"/>
                <w:sz w:val="18"/>
                <w:szCs w:val="18"/>
              </w:rPr>
              <w:t>032</w:t>
            </w:r>
            <w:r>
              <w:rPr>
                <w:rFonts w:ascii="Noto Sans CJK TC" w:eastAsia="Noto Sans CJK TC" w:hAnsi="Noto Sans CJK TC" w:cs="Noto Sans CJK TC"/>
                <w:b/>
                <w:bCs/>
                <w:color w:val="FFFFFF"/>
                <w:sz w:val="18"/>
                <w:szCs w:val="18"/>
              </w:rPr>
              <w:t>原始定義（機關能力）</w:t>
            </w:r>
          </w:p>
        </w:tc>
        <w:tc>
          <w:tcPr>
            <w:tcW w:w="4200" w:type="dxa"/>
            <w:shd w:val="clear" w:color="auto" w:fill="1A365D"/>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b/>
                <w:bCs/>
                <w:color w:val="FFFFFF"/>
                <w:sz w:val="18"/>
                <w:szCs w:val="18"/>
              </w:rPr>
              <w:t>034</w:t>
            </w:r>
            <w:r>
              <w:rPr>
                <w:rFonts w:ascii="Noto Sans CJK TC" w:eastAsia="Noto Sans CJK TC" w:hAnsi="Noto Sans CJK TC" w:cs="Noto Sans CJK TC"/>
                <w:b/>
                <w:bCs/>
                <w:color w:val="FFFFFF"/>
                <w:sz w:val="18"/>
                <w:szCs w:val="18"/>
              </w:rPr>
              <w:t>文本審計轉譯問題</w:t>
            </w:r>
          </w:p>
        </w:tc>
      </w:tr>
      <w:tr w:rsidR="00FF05A2">
        <w:tblPrEx>
          <w:tblCellMar>
            <w:top w:w="0" w:type="dxa"/>
            <w:bottom w:w="0" w:type="dxa"/>
          </w:tblCellMar>
        </w:tblPrEx>
        <w:tc>
          <w:tcPr>
            <w:tcW w:w="16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認知能力</w:t>
            </w:r>
          </w:p>
        </w:tc>
        <w:tc>
          <w:tcPr>
            <w:tcW w:w="32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機關是否知道系統在做什麼</w:t>
            </w:r>
          </w:p>
        </w:tc>
        <w:tc>
          <w:tcPr>
            <w:tcW w:w="42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法律文本是否要求政府／部署者說明、記錄、揭露</w:t>
            </w:r>
            <w:r>
              <w:rPr>
                <w:rFonts w:ascii="Noto Sans CJK TC" w:eastAsia="Noto Sans CJK TC" w:hAnsi="Noto Sans CJK TC" w:cs="Noto Sans CJK TC"/>
                <w:color w:val="1A202C"/>
                <w:sz w:val="18"/>
                <w:szCs w:val="18"/>
              </w:rPr>
              <w:lastRenderedPageBreak/>
              <w:t>系統邏輯與風險評估？揭露之對象、時點與更新頻率是否明定？</w:t>
            </w:r>
          </w:p>
        </w:tc>
      </w:tr>
      <w:tr w:rsidR="00FF05A2">
        <w:tblPrEx>
          <w:tblCellMar>
            <w:top w:w="0" w:type="dxa"/>
            <w:bottom w:w="0" w:type="dxa"/>
          </w:tblCellMar>
        </w:tblPrEx>
        <w:tc>
          <w:tcPr>
            <w:tcW w:w="1600" w:type="dxa"/>
            <w:shd w:val="clear" w:color="auto" w:fill="F7FAFC"/>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lastRenderedPageBreak/>
              <w:t>決策能力</w:t>
            </w:r>
          </w:p>
        </w:tc>
        <w:tc>
          <w:tcPr>
            <w:tcW w:w="3200" w:type="dxa"/>
            <w:shd w:val="clear" w:color="auto" w:fill="F7FAFC"/>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機關是否能修改、覆核、否決、暫停、停止系統決策</w:t>
            </w:r>
          </w:p>
        </w:tc>
        <w:tc>
          <w:tcPr>
            <w:tcW w:w="4200" w:type="dxa"/>
            <w:shd w:val="clear" w:color="auto" w:fill="F7FAFC"/>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法律文本是否明文賦予暫停、否決、覆核或停止系統運作之權限？是否明定由</w:t>
            </w:r>
            <w:proofErr w:type="gramStart"/>
            <w:r>
              <w:rPr>
                <w:rFonts w:ascii="Noto Sans CJK TC" w:eastAsia="Noto Sans CJK TC" w:hAnsi="Noto Sans CJK TC" w:cs="Noto Sans CJK TC"/>
                <w:color w:val="1A202C"/>
                <w:sz w:val="18"/>
                <w:szCs w:val="18"/>
              </w:rPr>
              <w:t>何人、</w:t>
            </w:r>
            <w:proofErr w:type="gramEnd"/>
            <w:r>
              <w:rPr>
                <w:rFonts w:ascii="Noto Sans CJK TC" w:eastAsia="Noto Sans CJK TC" w:hAnsi="Noto Sans CJK TC" w:cs="Noto Sans CJK TC"/>
                <w:color w:val="1A202C"/>
                <w:sz w:val="18"/>
                <w:szCs w:val="18"/>
              </w:rPr>
              <w:t>於何種條件下行使？</w:t>
            </w:r>
          </w:p>
        </w:tc>
      </w:tr>
      <w:tr w:rsidR="00FF05A2">
        <w:tblPrEx>
          <w:tblCellMar>
            <w:top w:w="0" w:type="dxa"/>
            <w:bottom w:w="0" w:type="dxa"/>
          </w:tblCellMar>
        </w:tblPrEx>
        <w:tc>
          <w:tcPr>
            <w:tcW w:w="1600" w:type="dxa"/>
            <w:shd w:val="clear" w:color="auto" w:fill="FFFFFF"/>
            <w:tcMar>
              <w:top w:w="60" w:type="dxa"/>
              <w:left w:w="100" w:type="dxa"/>
              <w:bottom w:w="60" w:type="dxa"/>
              <w:right w:w="100" w:type="dxa"/>
            </w:tcMar>
            <w:vAlign w:val="center"/>
          </w:tcPr>
          <w:p w:rsidR="00FF05A2" w:rsidRDefault="00EE6916">
            <w:pPr>
              <w:spacing w:line="260" w:lineRule="auto"/>
            </w:pPr>
            <w:proofErr w:type="gramStart"/>
            <w:r>
              <w:rPr>
                <w:rFonts w:ascii="Noto Sans CJK TC" w:eastAsia="Noto Sans CJK TC" w:hAnsi="Noto Sans CJK TC" w:cs="Noto Sans CJK TC"/>
                <w:color w:val="1A202C"/>
                <w:sz w:val="18"/>
                <w:szCs w:val="18"/>
              </w:rPr>
              <w:t>課責能力</w:t>
            </w:r>
            <w:proofErr w:type="gramEnd"/>
          </w:p>
        </w:tc>
        <w:tc>
          <w:tcPr>
            <w:tcW w:w="32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機關是否能說明理由、承認錯誤、提供救濟、承擔責任</w:t>
            </w:r>
          </w:p>
        </w:tc>
        <w:tc>
          <w:tcPr>
            <w:tcW w:w="42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法律文本是否明文建立獨立於既有一般救濟之外的救濟、賠償或責任歸屬機制？違反義務是否有具體裁罰？</w:t>
            </w:r>
          </w:p>
        </w:tc>
      </w:tr>
    </w:tbl>
    <w:p w:rsidR="00FF05A2" w:rsidRDefault="00EE6916">
      <w:pPr>
        <w:pStyle w:val="2"/>
        <w:spacing w:before="280" w:after="140" w:line="340" w:lineRule="auto"/>
      </w:pPr>
      <w:r>
        <w:rPr>
          <w:rFonts w:ascii="Noto Sans CJK TC" w:eastAsia="Noto Sans CJK TC" w:hAnsi="Noto Sans CJK TC" w:cs="Noto Sans CJK TC"/>
          <w:b/>
          <w:bCs/>
          <w:color w:val="1A365D"/>
          <w:sz w:val="27"/>
          <w:szCs w:val="27"/>
        </w:rPr>
        <w:t>五、方法論邊界：規範性實質能力與經驗性實質能力</w:t>
      </w:r>
    </w:p>
    <w:p w:rsidR="00FF05A2" w:rsidRDefault="00EE6916">
      <w:pPr>
        <w:spacing w:after="180" w:line="340" w:lineRule="auto"/>
        <w:jc w:val="both"/>
      </w:pPr>
      <w:r>
        <w:rPr>
          <w:rFonts w:eastAsia="Noto Serif CJK TC"/>
          <w:color w:val="1A202C"/>
        </w:rPr>
        <w:t>本文全篇反覆使用「形式再介入權限」與「實質再介入能力」這組對照，此處須先界定其確切範圍，以免讀者誤以為本文之文本審計已能證明機關實務上真正具備、行使或有效運用了法律所賦予的權限。本文所稱「實質再介入能力」，在本文方法範圍內，係指「規範性實質能力」（</w:t>
      </w:r>
      <w:r>
        <w:rPr>
          <w:rFonts w:eastAsia="Noto Serif CJK TC"/>
          <w:color w:val="1A202C"/>
        </w:rPr>
        <w:t>normative substantive capacity</w:t>
      </w:r>
      <w:r>
        <w:rPr>
          <w:rFonts w:eastAsia="Noto Serif CJK TC"/>
          <w:color w:val="1A202C"/>
        </w:rPr>
        <w:t>）：法律文本是否配置了足以支持實際行使該權限的制度條件</w:t>
      </w:r>
      <w:proofErr w:type="gramStart"/>
      <w:r>
        <w:rPr>
          <w:rFonts w:eastAsia="Noto Serif CJK TC"/>
          <w:color w:val="1A202C"/>
        </w:rPr>
        <w:t>—</w:t>
      </w:r>
      <w:proofErr w:type="gramEnd"/>
      <w:r>
        <w:rPr>
          <w:rFonts w:eastAsia="Noto Serif CJK TC"/>
          <w:color w:val="1A202C"/>
        </w:rPr>
        <w:t>—</w:t>
      </w:r>
      <w:r>
        <w:rPr>
          <w:rFonts w:eastAsia="Noto Serif CJK TC"/>
          <w:color w:val="1A202C"/>
        </w:rPr>
        <w:t>例如專責人力之編制、行使之期限、違反之罰則、獨立於既有救濟之外的新救濟權等可觀察的落實條件。這與「經驗性實質能力」（</w:t>
      </w:r>
      <w:r>
        <w:rPr>
          <w:rFonts w:eastAsia="Noto Serif CJK TC"/>
          <w:color w:val="1A202C"/>
        </w:rPr>
        <w:t>empirical subst</w:t>
      </w:r>
      <w:r>
        <w:rPr>
          <w:rFonts w:eastAsia="Noto Serif CJK TC"/>
          <w:color w:val="1A202C"/>
        </w:rPr>
        <w:t>antive capacity</w:t>
      </w:r>
      <w:r>
        <w:rPr>
          <w:rFonts w:eastAsia="Noto Serif CJK TC"/>
          <w:color w:val="1A202C"/>
        </w:rPr>
        <w:t>）不同：機關是否在實務上真正理解系統、是否真的推翻過系統建議、是否真的啟動過停止機制、救濟是否真的有效，</w:t>
      </w:r>
      <w:proofErr w:type="gramStart"/>
      <w:r>
        <w:rPr>
          <w:rFonts w:eastAsia="Noto Serif CJK TC"/>
          <w:color w:val="1A202C"/>
        </w:rPr>
        <w:t>均屬經驗</w:t>
      </w:r>
      <w:proofErr w:type="gramEnd"/>
      <w:r>
        <w:rPr>
          <w:rFonts w:eastAsia="Noto Serif CJK TC"/>
          <w:color w:val="1A202C"/>
        </w:rPr>
        <w:t>性實質能力的問題，需要個案資料、執行統計或訪談證據方能回答，不屬本文以法律文本為對象之比較法學方法所能直接回答。本文以下各章使用「形式權限」與「實質能力」時，除</w:t>
      </w:r>
      <w:proofErr w:type="gramStart"/>
      <w:r>
        <w:rPr>
          <w:rFonts w:eastAsia="Noto Serif CJK TC"/>
          <w:color w:val="1A202C"/>
        </w:rPr>
        <w:t>柒章另</w:t>
      </w:r>
      <w:proofErr w:type="gramEnd"/>
      <w:r>
        <w:rPr>
          <w:rFonts w:eastAsia="Noto Serif CJK TC"/>
          <w:color w:val="1A202C"/>
        </w:rPr>
        <w:t>有明文外，均限於規範性實質能力層次的推估；本文對三</w:t>
      </w:r>
      <w:proofErr w:type="gramStart"/>
      <w:r>
        <w:rPr>
          <w:rFonts w:eastAsia="Noto Serif CJK TC"/>
          <w:color w:val="1A202C"/>
        </w:rPr>
        <w:t>法域之</w:t>
      </w:r>
      <w:proofErr w:type="gramEnd"/>
      <w:r>
        <w:rPr>
          <w:rFonts w:eastAsia="Noto Serif CJK TC"/>
          <w:color w:val="1A202C"/>
        </w:rPr>
        <w:t>任何比較結論，</w:t>
      </w:r>
      <w:proofErr w:type="gramStart"/>
      <w:r>
        <w:rPr>
          <w:rFonts w:eastAsia="Noto Serif CJK TC"/>
          <w:color w:val="1A202C"/>
        </w:rPr>
        <w:t>均不</w:t>
      </w:r>
      <w:proofErr w:type="gramEnd"/>
      <w:r>
        <w:rPr>
          <w:rFonts w:eastAsia="Noto Serif CJK TC"/>
          <w:color w:val="1A202C"/>
        </w:rPr>
        <w:t>應被理解為對機關實際執行狀況的宣稱。</w:t>
      </w:r>
    </w:p>
    <w:p w:rsidR="00FF05A2" w:rsidRDefault="00EE6916">
      <w:pPr>
        <w:pStyle w:val="2"/>
        <w:spacing w:before="280" w:after="140" w:line="340" w:lineRule="auto"/>
      </w:pPr>
      <w:r>
        <w:rPr>
          <w:rFonts w:ascii="Noto Sans CJK TC" w:eastAsia="Noto Sans CJK TC" w:hAnsi="Noto Sans CJK TC" w:cs="Noto Sans CJK TC"/>
          <w:b/>
          <w:bCs/>
          <w:color w:val="1A365D"/>
          <w:sz w:val="27"/>
          <w:szCs w:val="27"/>
        </w:rPr>
        <w:t>六、人工介入強度的細部區分</w:t>
      </w:r>
    </w:p>
    <w:p w:rsidR="00FF05A2" w:rsidRDefault="00EE6916">
      <w:pPr>
        <w:spacing w:after="180" w:line="340" w:lineRule="auto"/>
        <w:jc w:val="both"/>
      </w:pPr>
      <w:r>
        <w:rPr>
          <w:rFonts w:eastAsia="Noto Serif CJK TC"/>
          <w:color w:val="1A202C"/>
        </w:rPr>
        <w:t>三</w:t>
      </w:r>
      <w:proofErr w:type="gramStart"/>
      <w:r>
        <w:rPr>
          <w:rFonts w:eastAsia="Noto Serif CJK TC"/>
          <w:color w:val="1A202C"/>
        </w:rPr>
        <w:t>法域文本</w:t>
      </w:r>
      <w:proofErr w:type="gramEnd"/>
      <w:r>
        <w:rPr>
          <w:rFonts w:eastAsia="Noto Serif CJK TC"/>
          <w:color w:val="1A202C"/>
        </w:rPr>
        <w:t>中所稱之「人類監督」「人工決定點」「人工審查」，字面上</w:t>
      </w:r>
      <w:r>
        <w:rPr>
          <w:rFonts w:eastAsia="Noto Serif CJK TC"/>
          <w:color w:val="1A202C"/>
        </w:rPr>
        <w:t>雖然近似，實際規定的介入強度卻可能不同，若不加區分逕行比較，容易產生表面對稱、實質不對稱的誤導。本文借用以下六個由弱到強排列的介入強度層次，作為肆、伍兩章逐條審計時之共同詞彙：</w:t>
      </w:r>
      <w:proofErr w:type="gramStart"/>
      <w:r>
        <w:rPr>
          <w:rFonts w:eastAsia="Noto Serif CJK TC"/>
          <w:color w:val="1A202C"/>
        </w:rPr>
        <w:t>其一，</w:t>
      </w:r>
      <w:proofErr w:type="gramEnd"/>
      <w:r>
        <w:rPr>
          <w:rFonts w:eastAsia="Noto Serif CJK TC"/>
          <w:color w:val="1A202C"/>
        </w:rPr>
        <w:t>人工知悉，指機關或人員僅被告知系統已作成決定，不涉及審查或介入；</w:t>
      </w:r>
      <w:proofErr w:type="gramStart"/>
      <w:r>
        <w:rPr>
          <w:rFonts w:eastAsia="Noto Serif CJK TC"/>
          <w:color w:val="1A202C"/>
        </w:rPr>
        <w:t>其二，</w:t>
      </w:r>
      <w:proofErr w:type="gramEnd"/>
      <w:r>
        <w:rPr>
          <w:rFonts w:eastAsia="Noto Serif CJK TC"/>
          <w:color w:val="1A202C"/>
        </w:rPr>
        <w:t>人工監督，指人員得持續觀察系統運作，但不必然對個別決定進行審查；其</w:t>
      </w:r>
      <w:proofErr w:type="gramStart"/>
      <w:r>
        <w:rPr>
          <w:rFonts w:eastAsia="Noto Serif CJK TC"/>
          <w:color w:val="1A202C"/>
        </w:rPr>
        <w:t>三</w:t>
      </w:r>
      <w:proofErr w:type="gramEnd"/>
      <w:r>
        <w:rPr>
          <w:rFonts w:eastAsia="Noto Serif CJK TC"/>
          <w:color w:val="1A202C"/>
        </w:rPr>
        <w:t>，人工覆核，指人員對系統之個別輸出進行審查，但審查範圍或深度可能受限；其四，人工否決，指人員得拒絕採納或推翻系統之個別輸出；其五，人工重新作成，指人員得以自己之判斷取代系統輸出、重新作成決定；</w:t>
      </w:r>
      <w:r>
        <w:rPr>
          <w:rFonts w:eastAsia="Noto Serif CJK TC"/>
          <w:color w:val="1A202C"/>
        </w:rPr>
        <w:t>其六，人工承擔最終責任，指存在明文之責任歸屬機制，使某一具體之人或職位對決定之後果負責。以此六層區分檢視：歐盟人工智慧法第十四條第四項所列之部</w:t>
      </w:r>
      <w:proofErr w:type="gramStart"/>
      <w:r>
        <w:rPr>
          <w:rFonts w:eastAsia="Noto Serif CJK TC"/>
          <w:color w:val="1A202C"/>
        </w:rPr>
        <w:t>署者</w:t>
      </w:r>
      <w:proofErr w:type="gramEnd"/>
      <w:r>
        <w:rPr>
          <w:rFonts w:eastAsia="Noto Serif CJK TC"/>
          <w:color w:val="1A202C"/>
        </w:rPr>
        <w:t>能力，實際上橫跨監督（</w:t>
      </w:r>
      <w:r>
        <w:rPr>
          <w:rFonts w:eastAsia="Noto Serif CJK TC"/>
          <w:color w:val="1A202C"/>
        </w:rPr>
        <w:t>(a)</w:t>
      </w:r>
      <w:r>
        <w:rPr>
          <w:rFonts w:eastAsia="Noto Serif CJK TC"/>
          <w:color w:val="1A202C"/>
        </w:rPr>
        <w:t>款理解並監控運作）、覆核（</w:t>
      </w:r>
      <w:r>
        <w:rPr>
          <w:rFonts w:eastAsia="Noto Serif CJK TC"/>
          <w:color w:val="1A202C"/>
        </w:rPr>
        <w:t>(c)</w:t>
      </w:r>
      <w:r>
        <w:rPr>
          <w:rFonts w:eastAsia="Noto Serif CJK TC"/>
          <w:color w:val="1A202C"/>
        </w:rPr>
        <w:t>款正確解讀輸出）、否決（</w:t>
      </w:r>
      <w:r>
        <w:rPr>
          <w:rFonts w:eastAsia="Noto Serif CJK TC"/>
          <w:color w:val="1A202C"/>
        </w:rPr>
        <w:t>(d)</w:t>
      </w:r>
      <w:r>
        <w:rPr>
          <w:rFonts w:eastAsia="Noto Serif CJK TC"/>
          <w:color w:val="1A202C"/>
        </w:rPr>
        <w:t>款決定不使用或推翻輸出）與重新作成（</w:t>
      </w:r>
      <w:r>
        <w:rPr>
          <w:rFonts w:eastAsia="Noto Serif CJK TC"/>
          <w:color w:val="1A202C"/>
        </w:rPr>
        <w:t>(e)</w:t>
      </w:r>
      <w:r>
        <w:rPr>
          <w:rFonts w:eastAsia="Noto Serif CJK TC"/>
          <w:color w:val="1A202C"/>
        </w:rPr>
        <w:t>款安全介入或停止運作）四個層次；加拿大自動化決策指令對第三、四衝擊等級之「人工決定點」要求，較接近否決與重新作成兩個層次；臺灣人工智慧基本法第四</w:t>
      </w:r>
      <w:r>
        <w:rPr>
          <w:rFonts w:eastAsia="Noto Serif CJK TC"/>
          <w:color w:val="1A202C"/>
        </w:rPr>
        <w:lastRenderedPageBreak/>
        <w:t>條第二款之「允許人類監督」，就文義而言</w:t>
      </w:r>
      <w:proofErr w:type="gramStart"/>
      <w:r>
        <w:rPr>
          <w:rFonts w:eastAsia="Noto Serif CJK TC"/>
          <w:color w:val="1A202C"/>
        </w:rPr>
        <w:t>僅達第二層</w:t>
      </w:r>
      <w:proofErr w:type="gramEnd"/>
      <w:r>
        <w:rPr>
          <w:rFonts w:eastAsia="Noto Serif CJK TC"/>
          <w:color w:val="1A202C"/>
        </w:rPr>
        <w:t>（人工監督），未明文觸及覆核、否決或重新作</w:t>
      </w:r>
      <w:r>
        <w:rPr>
          <w:rFonts w:eastAsia="Noto Serif CJK TC"/>
          <w:color w:val="1A202C"/>
        </w:rPr>
        <w:t>成。本文</w:t>
      </w:r>
      <w:proofErr w:type="gramStart"/>
      <w:r>
        <w:rPr>
          <w:rFonts w:eastAsia="Noto Serif CJK TC"/>
          <w:color w:val="1A202C"/>
        </w:rPr>
        <w:t>於肆、</w:t>
      </w:r>
      <w:proofErr w:type="gramEnd"/>
      <w:r>
        <w:rPr>
          <w:rFonts w:eastAsia="Noto Serif CJK TC"/>
          <w:color w:val="1A202C"/>
        </w:rPr>
        <w:t>伍兩章之逐條審計中，將視條文內容具體標明其所屬層次，以避免「人類監督」一詞在不同</w:t>
      </w:r>
      <w:proofErr w:type="gramStart"/>
      <w:r>
        <w:rPr>
          <w:rFonts w:eastAsia="Noto Serif CJK TC"/>
          <w:color w:val="1A202C"/>
        </w:rPr>
        <w:t>法域間</w:t>
      </w:r>
      <w:proofErr w:type="gramEnd"/>
      <w:r>
        <w:rPr>
          <w:rFonts w:eastAsia="Noto Serif CJK TC"/>
          <w:color w:val="1A202C"/>
        </w:rPr>
        <w:t>被賦予不對稱的比較重量。</w:t>
      </w:r>
    </w:p>
    <w:p w:rsidR="00FF05A2" w:rsidRDefault="00EE6916">
      <w:pPr>
        <w:pStyle w:val="2"/>
        <w:spacing w:before="280" w:after="140" w:line="340" w:lineRule="auto"/>
      </w:pPr>
      <w:r>
        <w:rPr>
          <w:rFonts w:ascii="Noto Sans CJK TC" w:eastAsia="Noto Sans CJK TC" w:hAnsi="Noto Sans CJK TC" w:cs="Noto Sans CJK TC"/>
          <w:b/>
          <w:bCs/>
          <w:color w:val="1A365D"/>
          <w:sz w:val="27"/>
          <w:szCs w:val="27"/>
        </w:rPr>
        <w:t>七、本文所依據之官方法源</w:t>
      </w:r>
    </w:p>
    <w:p w:rsidR="00FF05A2" w:rsidRDefault="00EE6916">
      <w:pPr>
        <w:spacing w:after="180" w:line="340" w:lineRule="auto"/>
        <w:jc w:val="both"/>
      </w:pPr>
      <w:r>
        <w:rPr>
          <w:rFonts w:eastAsia="Noto Serif CJK TC"/>
          <w:color w:val="1A202C"/>
        </w:rPr>
        <w:t>在進入逐條審計之前，本文先列出以下</w:t>
      </w:r>
      <w:proofErr w:type="gramStart"/>
      <w:r>
        <w:rPr>
          <w:rFonts w:eastAsia="Noto Serif CJK TC"/>
          <w:color w:val="1A202C"/>
        </w:rPr>
        <w:t>法源表</w:t>
      </w:r>
      <w:proofErr w:type="gramEnd"/>
      <w:r>
        <w:rPr>
          <w:rFonts w:eastAsia="Noto Serif CJK TC"/>
          <w:color w:val="1A202C"/>
        </w:rPr>
        <w:t>，交代參、肆、伍三章所審計文本之正式名稱、法律性質、官方來源與查證版本／日期，以利讀者查核，並回應法律文本審計研究對法源透明度之基本要求：</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2600"/>
        <w:gridCol w:w="1800"/>
        <w:gridCol w:w="2400"/>
        <w:gridCol w:w="1300"/>
      </w:tblGrid>
      <w:tr w:rsidR="00FF05A2">
        <w:tblPrEx>
          <w:tblCellMar>
            <w:top w:w="0" w:type="dxa"/>
            <w:bottom w:w="0" w:type="dxa"/>
          </w:tblCellMar>
        </w:tblPrEx>
        <w:trPr>
          <w:tblHeader/>
        </w:trPr>
        <w:tc>
          <w:tcPr>
            <w:tcW w:w="900" w:type="dxa"/>
            <w:shd w:val="clear" w:color="auto" w:fill="1A365D"/>
            <w:tcMar>
              <w:top w:w="60" w:type="dxa"/>
              <w:left w:w="100" w:type="dxa"/>
              <w:bottom w:w="60" w:type="dxa"/>
              <w:right w:w="100" w:type="dxa"/>
            </w:tcMar>
            <w:vAlign w:val="center"/>
          </w:tcPr>
          <w:p w:rsidR="00FF05A2" w:rsidRDefault="00EE6916">
            <w:pPr>
              <w:spacing w:line="260" w:lineRule="auto"/>
            </w:pPr>
            <w:proofErr w:type="gramStart"/>
            <w:r>
              <w:rPr>
                <w:rFonts w:ascii="Noto Sans CJK TC" w:eastAsia="Noto Sans CJK TC" w:hAnsi="Noto Sans CJK TC" w:cs="Noto Sans CJK TC"/>
                <w:b/>
                <w:bCs/>
                <w:color w:val="FFFFFF"/>
                <w:sz w:val="18"/>
                <w:szCs w:val="18"/>
              </w:rPr>
              <w:t>法域</w:t>
            </w:r>
            <w:proofErr w:type="gramEnd"/>
          </w:p>
        </w:tc>
        <w:tc>
          <w:tcPr>
            <w:tcW w:w="2600" w:type="dxa"/>
            <w:shd w:val="clear" w:color="auto" w:fill="1A365D"/>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b/>
                <w:bCs/>
                <w:color w:val="FFFFFF"/>
                <w:sz w:val="18"/>
                <w:szCs w:val="18"/>
              </w:rPr>
              <w:t>文本</w:t>
            </w:r>
          </w:p>
        </w:tc>
        <w:tc>
          <w:tcPr>
            <w:tcW w:w="1800" w:type="dxa"/>
            <w:shd w:val="clear" w:color="auto" w:fill="1A365D"/>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b/>
                <w:bCs/>
                <w:color w:val="FFFFFF"/>
                <w:sz w:val="18"/>
                <w:szCs w:val="18"/>
              </w:rPr>
              <w:t>法律性質</w:t>
            </w:r>
          </w:p>
        </w:tc>
        <w:tc>
          <w:tcPr>
            <w:tcW w:w="2400" w:type="dxa"/>
            <w:shd w:val="clear" w:color="auto" w:fill="1A365D"/>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b/>
                <w:bCs/>
                <w:color w:val="FFFFFF"/>
                <w:sz w:val="18"/>
                <w:szCs w:val="18"/>
              </w:rPr>
              <w:t>官方來源</w:t>
            </w:r>
          </w:p>
        </w:tc>
        <w:tc>
          <w:tcPr>
            <w:tcW w:w="1300" w:type="dxa"/>
            <w:shd w:val="clear" w:color="auto" w:fill="1A365D"/>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b/>
                <w:bCs/>
                <w:color w:val="FFFFFF"/>
                <w:sz w:val="18"/>
                <w:szCs w:val="18"/>
              </w:rPr>
              <w:t>版本／查證日期</w:t>
            </w:r>
          </w:p>
        </w:tc>
      </w:tr>
      <w:tr w:rsidR="00FF05A2">
        <w:tblPrEx>
          <w:tblCellMar>
            <w:top w:w="0" w:type="dxa"/>
            <w:bottom w:w="0" w:type="dxa"/>
          </w:tblCellMar>
        </w:tblPrEx>
        <w:tc>
          <w:tcPr>
            <w:tcW w:w="9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臺灣</w:t>
            </w:r>
          </w:p>
        </w:tc>
        <w:tc>
          <w:tcPr>
            <w:tcW w:w="26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人工智慧基本法</w:t>
            </w:r>
          </w:p>
        </w:tc>
        <w:tc>
          <w:tcPr>
            <w:tcW w:w="18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法律（框架性基本法）</w:t>
            </w:r>
          </w:p>
        </w:tc>
        <w:tc>
          <w:tcPr>
            <w:tcW w:w="24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總統府公報；全國法規資料庫</w:t>
            </w:r>
          </w:p>
        </w:tc>
        <w:tc>
          <w:tcPr>
            <w:tcW w:w="13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2026</w:t>
            </w:r>
            <w:r>
              <w:rPr>
                <w:rFonts w:ascii="Noto Sans CJK TC" w:eastAsia="Noto Sans CJK TC" w:hAnsi="Noto Sans CJK TC" w:cs="Noto Sans CJK TC"/>
                <w:color w:val="1A202C"/>
                <w:sz w:val="18"/>
                <w:szCs w:val="18"/>
              </w:rPr>
              <w:t>年</w:t>
            </w:r>
            <w:r>
              <w:rPr>
                <w:rFonts w:ascii="Noto Sans CJK TC" w:eastAsia="Noto Sans CJK TC" w:hAnsi="Noto Sans CJK TC" w:cs="Noto Sans CJK TC"/>
                <w:color w:val="1A202C"/>
                <w:sz w:val="18"/>
                <w:szCs w:val="18"/>
              </w:rPr>
              <w:t>1</w:t>
            </w:r>
            <w:r>
              <w:rPr>
                <w:rFonts w:ascii="Noto Sans CJK TC" w:eastAsia="Noto Sans CJK TC" w:hAnsi="Noto Sans CJK TC" w:cs="Noto Sans CJK TC"/>
                <w:color w:val="1A202C"/>
                <w:sz w:val="18"/>
                <w:szCs w:val="18"/>
              </w:rPr>
              <w:t>月</w:t>
            </w:r>
            <w:r>
              <w:rPr>
                <w:rFonts w:ascii="Noto Sans CJK TC" w:eastAsia="Noto Sans CJK TC" w:hAnsi="Noto Sans CJK TC" w:cs="Noto Sans CJK TC"/>
                <w:color w:val="1A202C"/>
                <w:sz w:val="18"/>
                <w:szCs w:val="18"/>
              </w:rPr>
              <w:t>14</w:t>
            </w:r>
            <w:r>
              <w:rPr>
                <w:rFonts w:ascii="Noto Sans CJK TC" w:eastAsia="Noto Sans CJK TC" w:hAnsi="Noto Sans CJK TC" w:cs="Noto Sans CJK TC"/>
                <w:color w:val="1A202C"/>
                <w:sz w:val="18"/>
                <w:szCs w:val="18"/>
              </w:rPr>
              <w:t>日公布版本，</w:t>
            </w:r>
            <w:r>
              <w:rPr>
                <w:rFonts w:ascii="Noto Sans CJK TC" w:eastAsia="Noto Sans CJK TC" w:hAnsi="Noto Sans CJK TC" w:cs="Noto Sans CJK TC"/>
                <w:color w:val="1A202C"/>
                <w:sz w:val="18"/>
                <w:szCs w:val="18"/>
              </w:rPr>
              <w:t>2026</w:t>
            </w:r>
            <w:r>
              <w:rPr>
                <w:rFonts w:ascii="Noto Sans CJK TC" w:eastAsia="Noto Sans CJK TC" w:hAnsi="Noto Sans CJK TC" w:cs="Noto Sans CJK TC"/>
                <w:color w:val="1A202C"/>
                <w:sz w:val="18"/>
                <w:szCs w:val="18"/>
              </w:rPr>
              <w:t>年</w:t>
            </w:r>
            <w:r>
              <w:rPr>
                <w:rFonts w:ascii="Noto Sans CJK TC" w:eastAsia="Noto Sans CJK TC" w:hAnsi="Noto Sans CJK TC" w:cs="Noto Sans CJK TC"/>
                <w:color w:val="1A202C"/>
                <w:sz w:val="18"/>
                <w:szCs w:val="18"/>
              </w:rPr>
              <w:t>8</w:t>
            </w:r>
            <w:r>
              <w:rPr>
                <w:rFonts w:ascii="Noto Sans CJK TC" w:eastAsia="Noto Sans CJK TC" w:hAnsi="Noto Sans CJK TC" w:cs="Noto Sans CJK TC"/>
                <w:color w:val="1A202C"/>
                <w:sz w:val="18"/>
                <w:szCs w:val="18"/>
              </w:rPr>
              <w:t>月查證</w:t>
            </w:r>
          </w:p>
        </w:tc>
      </w:tr>
      <w:tr w:rsidR="00FF05A2">
        <w:tblPrEx>
          <w:tblCellMar>
            <w:top w:w="0" w:type="dxa"/>
            <w:bottom w:w="0" w:type="dxa"/>
          </w:tblCellMar>
        </w:tblPrEx>
        <w:tc>
          <w:tcPr>
            <w:tcW w:w="900" w:type="dxa"/>
            <w:shd w:val="clear" w:color="auto" w:fill="F7FAFC"/>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歐盟</w:t>
            </w:r>
          </w:p>
        </w:tc>
        <w:tc>
          <w:tcPr>
            <w:tcW w:w="2600" w:type="dxa"/>
            <w:shd w:val="clear" w:color="auto" w:fill="F7FAFC"/>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Regulation (EU) 2024/1689</w:t>
            </w:r>
          </w:p>
        </w:tc>
        <w:tc>
          <w:tcPr>
            <w:tcW w:w="1800" w:type="dxa"/>
            <w:shd w:val="clear" w:color="auto" w:fill="F7FAFC"/>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歐盟規章（直接生效）</w:t>
            </w:r>
          </w:p>
        </w:tc>
        <w:tc>
          <w:tcPr>
            <w:tcW w:w="2400" w:type="dxa"/>
            <w:shd w:val="clear" w:color="auto" w:fill="F7FAFC"/>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EUR-Lex</w:t>
            </w:r>
            <w:r>
              <w:rPr>
                <w:rFonts w:ascii="Noto Sans CJK TC" w:eastAsia="Noto Sans CJK TC" w:hAnsi="Noto Sans CJK TC" w:cs="Noto Sans CJK TC"/>
                <w:color w:val="1A202C"/>
                <w:sz w:val="18"/>
                <w:szCs w:val="18"/>
              </w:rPr>
              <w:t>官方公報</w:t>
            </w:r>
          </w:p>
        </w:tc>
        <w:tc>
          <w:tcPr>
            <w:tcW w:w="1300" w:type="dxa"/>
            <w:shd w:val="clear" w:color="auto" w:fill="F7FAFC"/>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2024</w:t>
            </w:r>
            <w:r>
              <w:rPr>
                <w:rFonts w:ascii="Noto Sans CJK TC" w:eastAsia="Noto Sans CJK TC" w:hAnsi="Noto Sans CJK TC" w:cs="Noto Sans CJK TC"/>
                <w:color w:val="1A202C"/>
                <w:sz w:val="18"/>
                <w:szCs w:val="18"/>
              </w:rPr>
              <w:t>年</w:t>
            </w:r>
            <w:r>
              <w:rPr>
                <w:rFonts w:ascii="Noto Sans CJK TC" w:eastAsia="Noto Sans CJK TC" w:hAnsi="Noto Sans CJK TC" w:cs="Noto Sans CJK TC"/>
                <w:color w:val="1A202C"/>
                <w:sz w:val="18"/>
                <w:szCs w:val="18"/>
              </w:rPr>
              <w:t>8</w:t>
            </w:r>
            <w:r>
              <w:rPr>
                <w:rFonts w:ascii="Noto Sans CJK TC" w:eastAsia="Noto Sans CJK TC" w:hAnsi="Noto Sans CJK TC" w:cs="Noto Sans CJK TC"/>
                <w:color w:val="1A202C"/>
                <w:sz w:val="18"/>
                <w:szCs w:val="18"/>
              </w:rPr>
              <w:t>月生效版本，</w:t>
            </w:r>
            <w:r>
              <w:rPr>
                <w:rFonts w:ascii="Noto Sans CJK TC" w:eastAsia="Noto Sans CJK TC" w:hAnsi="Noto Sans CJK TC" w:cs="Noto Sans CJK TC"/>
                <w:color w:val="1A202C"/>
                <w:sz w:val="18"/>
                <w:szCs w:val="18"/>
              </w:rPr>
              <w:t>2026</w:t>
            </w:r>
            <w:r>
              <w:rPr>
                <w:rFonts w:ascii="Noto Sans CJK TC" w:eastAsia="Noto Sans CJK TC" w:hAnsi="Noto Sans CJK TC" w:cs="Noto Sans CJK TC"/>
                <w:color w:val="1A202C"/>
                <w:sz w:val="18"/>
                <w:szCs w:val="18"/>
              </w:rPr>
              <w:t>年</w:t>
            </w:r>
            <w:r>
              <w:rPr>
                <w:rFonts w:ascii="Noto Sans CJK TC" w:eastAsia="Noto Sans CJK TC" w:hAnsi="Noto Sans CJK TC" w:cs="Noto Sans CJK TC"/>
                <w:color w:val="1A202C"/>
                <w:sz w:val="18"/>
                <w:szCs w:val="18"/>
              </w:rPr>
              <w:t>8</w:t>
            </w:r>
            <w:r>
              <w:rPr>
                <w:rFonts w:ascii="Noto Sans CJK TC" w:eastAsia="Noto Sans CJK TC" w:hAnsi="Noto Sans CJK TC" w:cs="Noto Sans CJK TC"/>
                <w:color w:val="1A202C"/>
                <w:sz w:val="18"/>
                <w:szCs w:val="18"/>
              </w:rPr>
              <w:t>月查證</w:t>
            </w:r>
          </w:p>
        </w:tc>
      </w:tr>
      <w:tr w:rsidR="00FF05A2">
        <w:tblPrEx>
          <w:tblCellMar>
            <w:top w:w="0" w:type="dxa"/>
            <w:bottom w:w="0" w:type="dxa"/>
          </w:tblCellMar>
        </w:tblPrEx>
        <w:tc>
          <w:tcPr>
            <w:tcW w:w="9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歐盟</w:t>
            </w:r>
          </w:p>
        </w:tc>
        <w:tc>
          <w:tcPr>
            <w:tcW w:w="26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Regulation (EU) 2026/1744</w:t>
            </w:r>
            <w:r>
              <w:rPr>
                <w:rFonts w:ascii="Noto Sans CJK TC" w:eastAsia="Noto Sans CJK TC" w:hAnsi="Noto Sans CJK TC" w:cs="Noto Sans CJK TC"/>
                <w:color w:val="1A202C"/>
                <w:sz w:val="18"/>
                <w:szCs w:val="18"/>
              </w:rPr>
              <w:t>（</w:t>
            </w:r>
            <w:r>
              <w:rPr>
                <w:rFonts w:ascii="Noto Sans CJK TC" w:eastAsia="Noto Sans CJK TC" w:hAnsi="Noto Sans CJK TC" w:cs="Noto Sans CJK TC"/>
                <w:color w:val="1A202C"/>
                <w:sz w:val="18"/>
                <w:szCs w:val="18"/>
              </w:rPr>
              <w:t>Digital Omnibus</w:t>
            </w:r>
            <w:r>
              <w:rPr>
                <w:rFonts w:ascii="Noto Sans CJK TC" w:eastAsia="Noto Sans CJK TC" w:hAnsi="Noto Sans CJK TC" w:cs="Noto Sans CJK TC"/>
                <w:color w:val="1A202C"/>
                <w:sz w:val="18"/>
                <w:szCs w:val="18"/>
              </w:rPr>
              <w:t>修正案）</w:t>
            </w:r>
          </w:p>
        </w:tc>
        <w:tc>
          <w:tcPr>
            <w:tcW w:w="18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修正歐盟規章</w:t>
            </w:r>
          </w:p>
        </w:tc>
        <w:tc>
          <w:tcPr>
            <w:tcW w:w="24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EUR-Lex</w:t>
            </w:r>
            <w:r>
              <w:rPr>
                <w:rFonts w:ascii="Noto Sans CJK TC" w:eastAsia="Noto Sans CJK TC" w:hAnsi="Noto Sans CJK TC" w:cs="Noto Sans CJK TC"/>
                <w:color w:val="1A202C"/>
                <w:sz w:val="18"/>
                <w:szCs w:val="18"/>
              </w:rPr>
              <w:t>官方公報</w:t>
            </w:r>
          </w:p>
        </w:tc>
        <w:tc>
          <w:tcPr>
            <w:tcW w:w="13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2026</w:t>
            </w:r>
            <w:r>
              <w:rPr>
                <w:rFonts w:ascii="Noto Sans CJK TC" w:eastAsia="Noto Sans CJK TC" w:hAnsi="Noto Sans CJK TC" w:cs="Noto Sans CJK TC"/>
                <w:color w:val="1A202C"/>
                <w:sz w:val="18"/>
                <w:szCs w:val="18"/>
              </w:rPr>
              <w:t>年</w:t>
            </w:r>
            <w:r>
              <w:rPr>
                <w:rFonts w:ascii="Noto Sans CJK TC" w:eastAsia="Noto Sans CJK TC" w:hAnsi="Noto Sans CJK TC" w:cs="Noto Sans CJK TC"/>
                <w:color w:val="1A202C"/>
                <w:sz w:val="18"/>
                <w:szCs w:val="18"/>
              </w:rPr>
              <w:t>7</w:t>
            </w:r>
            <w:r>
              <w:rPr>
                <w:rFonts w:ascii="Noto Sans CJK TC" w:eastAsia="Noto Sans CJK TC" w:hAnsi="Noto Sans CJK TC" w:cs="Noto Sans CJK TC"/>
                <w:color w:val="1A202C"/>
                <w:sz w:val="18"/>
                <w:szCs w:val="18"/>
              </w:rPr>
              <w:t>月</w:t>
            </w:r>
            <w:r>
              <w:rPr>
                <w:rFonts w:ascii="Noto Sans CJK TC" w:eastAsia="Noto Sans CJK TC" w:hAnsi="Noto Sans CJK TC" w:cs="Noto Sans CJK TC"/>
                <w:color w:val="1A202C"/>
                <w:sz w:val="18"/>
                <w:szCs w:val="18"/>
              </w:rPr>
              <w:t>27</w:t>
            </w:r>
            <w:r>
              <w:rPr>
                <w:rFonts w:ascii="Noto Sans CJK TC" w:eastAsia="Noto Sans CJK TC" w:hAnsi="Noto Sans CJK TC" w:cs="Noto Sans CJK TC"/>
                <w:color w:val="1A202C"/>
                <w:sz w:val="18"/>
                <w:szCs w:val="18"/>
              </w:rPr>
              <w:t>日生效版本，</w:t>
            </w:r>
            <w:r>
              <w:rPr>
                <w:rFonts w:ascii="Noto Sans CJK TC" w:eastAsia="Noto Sans CJK TC" w:hAnsi="Noto Sans CJK TC" w:cs="Noto Sans CJK TC"/>
                <w:color w:val="1A202C"/>
                <w:sz w:val="18"/>
                <w:szCs w:val="18"/>
              </w:rPr>
              <w:t>2026</w:t>
            </w:r>
            <w:r>
              <w:rPr>
                <w:rFonts w:ascii="Noto Sans CJK TC" w:eastAsia="Noto Sans CJK TC" w:hAnsi="Noto Sans CJK TC" w:cs="Noto Sans CJK TC"/>
                <w:color w:val="1A202C"/>
                <w:sz w:val="18"/>
                <w:szCs w:val="18"/>
              </w:rPr>
              <w:t>年</w:t>
            </w:r>
            <w:r>
              <w:rPr>
                <w:rFonts w:ascii="Noto Sans CJK TC" w:eastAsia="Noto Sans CJK TC" w:hAnsi="Noto Sans CJK TC" w:cs="Noto Sans CJK TC"/>
                <w:color w:val="1A202C"/>
                <w:sz w:val="18"/>
                <w:szCs w:val="18"/>
              </w:rPr>
              <w:t>8</w:t>
            </w:r>
            <w:r>
              <w:rPr>
                <w:rFonts w:ascii="Noto Sans CJK TC" w:eastAsia="Noto Sans CJK TC" w:hAnsi="Noto Sans CJK TC" w:cs="Noto Sans CJK TC"/>
                <w:color w:val="1A202C"/>
                <w:sz w:val="18"/>
                <w:szCs w:val="18"/>
              </w:rPr>
              <w:t>月查證</w:t>
            </w:r>
          </w:p>
        </w:tc>
      </w:tr>
      <w:tr w:rsidR="00FF05A2">
        <w:tblPrEx>
          <w:tblCellMar>
            <w:top w:w="0" w:type="dxa"/>
            <w:bottom w:w="0" w:type="dxa"/>
          </w:tblCellMar>
        </w:tblPrEx>
        <w:tc>
          <w:tcPr>
            <w:tcW w:w="900" w:type="dxa"/>
            <w:shd w:val="clear" w:color="auto" w:fill="F7FAFC"/>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加拿大</w:t>
            </w:r>
          </w:p>
        </w:tc>
        <w:tc>
          <w:tcPr>
            <w:tcW w:w="2600" w:type="dxa"/>
            <w:shd w:val="clear" w:color="auto" w:fill="F7FAFC"/>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Directive on Automated Decision-Making</w:t>
            </w:r>
          </w:p>
        </w:tc>
        <w:tc>
          <w:tcPr>
            <w:tcW w:w="1800" w:type="dxa"/>
            <w:shd w:val="clear" w:color="auto" w:fill="F7FAFC"/>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財政部政策指令</w:t>
            </w:r>
          </w:p>
        </w:tc>
        <w:tc>
          <w:tcPr>
            <w:tcW w:w="2400" w:type="dxa"/>
            <w:shd w:val="clear" w:color="auto" w:fill="F7FAFC"/>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Treasury Board of Canada Secretariat</w:t>
            </w:r>
            <w:r>
              <w:rPr>
                <w:rFonts w:ascii="Noto Sans CJK TC" w:eastAsia="Noto Sans CJK TC" w:hAnsi="Noto Sans CJK TC" w:cs="Noto Sans CJK TC"/>
                <w:color w:val="1A202C"/>
                <w:sz w:val="18"/>
                <w:szCs w:val="18"/>
              </w:rPr>
              <w:t>官方網站</w:t>
            </w:r>
          </w:p>
        </w:tc>
        <w:tc>
          <w:tcPr>
            <w:tcW w:w="1300" w:type="dxa"/>
            <w:shd w:val="clear" w:color="auto" w:fill="F7FAFC"/>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2026</w:t>
            </w:r>
            <w:r>
              <w:rPr>
                <w:rFonts w:ascii="Noto Sans CJK TC" w:eastAsia="Noto Sans CJK TC" w:hAnsi="Noto Sans CJK TC" w:cs="Noto Sans CJK TC"/>
                <w:color w:val="1A202C"/>
                <w:sz w:val="18"/>
                <w:szCs w:val="18"/>
              </w:rPr>
              <w:t>年</w:t>
            </w:r>
            <w:r>
              <w:rPr>
                <w:rFonts w:ascii="Noto Sans CJK TC" w:eastAsia="Noto Sans CJK TC" w:hAnsi="Noto Sans CJK TC" w:cs="Noto Sans CJK TC"/>
                <w:color w:val="1A202C"/>
                <w:sz w:val="18"/>
                <w:szCs w:val="18"/>
              </w:rPr>
              <w:t>8</w:t>
            </w:r>
            <w:r>
              <w:rPr>
                <w:rFonts w:ascii="Noto Sans CJK TC" w:eastAsia="Noto Sans CJK TC" w:hAnsi="Noto Sans CJK TC" w:cs="Noto Sans CJK TC"/>
                <w:color w:val="1A202C"/>
                <w:sz w:val="18"/>
                <w:szCs w:val="18"/>
              </w:rPr>
              <w:t>月查證之現行版本</w:t>
            </w:r>
          </w:p>
        </w:tc>
      </w:tr>
    </w:tbl>
    <w:p w:rsidR="00FF05A2" w:rsidRDefault="00EE6916">
      <w:pPr>
        <w:spacing w:after="180" w:line="340" w:lineRule="auto"/>
        <w:jc w:val="both"/>
      </w:pPr>
      <w:r>
        <w:rPr>
          <w:rFonts w:eastAsia="Noto Serif CJK TC"/>
          <w:color w:val="1A202C"/>
        </w:rPr>
        <w:t>本文對臺灣人工智慧基本法之逐條內容，除總統府公告全文外，另以全國法規資料庫版本交叉核對；對歐盟人工智慧法第</w:t>
      </w:r>
      <w:r>
        <w:rPr>
          <w:rFonts w:eastAsia="Noto Serif CJK TC"/>
          <w:color w:val="1A202C"/>
        </w:rPr>
        <w:t>11</w:t>
      </w:r>
      <w:r>
        <w:rPr>
          <w:rFonts w:eastAsia="Noto Serif CJK TC"/>
          <w:color w:val="1A202C"/>
        </w:rPr>
        <w:t>、</w:t>
      </w:r>
      <w:r>
        <w:rPr>
          <w:rFonts w:eastAsia="Noto Serif CJK TC"/>
          <w:color w:val="1A202C"/>
        </w:rPr>
        <w:t>12</w:t>
      </w:r>
      <w:r>
        <w:rPr>
          <w:rFonts w:eastAsia="Noto Serif CJK TC"/>
          <w:color w:val="1A202C"/>
        </w:rPr>
        <w:t>、</w:t>
      </w:r>
      <w:r>
        <w:rPr>
          <w:rFonts w:eastAsia="Noto Serif CJK TC"/>
          <w:color w:val="1A202C"/>
        </w:rPr>
        <w:t>14</w:t>
      </w:r>
      <w:r>
        <w:rPr>
          <w:rFonts w:eastAsia="Noto Serif CJK TC"/>
          <w:color w:val="1A202C"/>
        </w:rPr>
        <w:t>、</w:t>
      </w:r>
      <w:r>
        <w:rPr>
          <w:rFonts w:eastAsia="Noto Serif CJK TC"/>
          <w:color w:val="1A202C"/>
        </w:rPr>
        <w:t>26</w:t>
      </w:r>
      <w:r>
        <w:rPr>
          <w:rFonts w:eastAsia="Noto Serif CJK TC"/>
          <w:color w:val="1A202C"/>
        </w:rPr>
        <w:t>、</w:t>
      </w:r>
      <w:r>
        <w:rPr>
          <w:rFonts w:eastAsia="Noto Serif CJK TC"/>
          <w:color w:val="1A202C"/>
        </w:rPr>
        <w:t>27</w:t>
      </w:r>
      <w:r>
        <w:rPr>
          <w:rFonts w:eastAsia="Noto Serif CJK TC"/>
          <w:color w:val="1A202C"/>
        </w:rPr>
        <w:t>、</w:t>
      </w:r>
      <w:r>
        <w:rPr>
          <w:rFonts w:eastAsia="Noto Serif CJK TC"/>
          <w:color w:val="1A202C"/>
        </w:rPr>
        <w:t>99</w:t>
      </w:r>
      <w:r>
        <w:rPr>
          <w:rFonts w:eastAsia="Noto Serif CJK TC"/>
          <w:color w:val="1A202C"/>
        </w:rPr>
        <w:t>條之逐條內容，除官方</w:t>
      </w:r>
      <w:proofErr w:type="gramStart"/>
      <w:r>
        <w:rPr>
          <w:rFonts w:eastAsia="Noto Serif CJK TC"/>
          <w:color w:val="1A202C"/>
        </w:rPr>
        <w:t>規</w:t>
      </w:r>
      <w:proofErr w:type="gramEnd"/>
      <w:r>
        <w:rPr>
          <w:rFonts w:eastAsia="Noto Serif CJK TC"/>
          <w:color w:val="1A202C"/>
        </w:rPr>
        <w:t>章文本外，另交叉參照</w:t>
      </w:r>
      <w:r>
        <w:rPr>
          <w:rFonts w:eastAsia="Noto Serif CJK TC"/>
          <w:color w:val="1A202C"/>
        </w:rPr>
        <w:t xml:space="preserve"> artificialintelligenceact.eu </w:t>
      </w:r>
      <w:r>
        <w:rPr>
          <w:rFonts w:eastAsia="Noto Serif CJK TC"/>
          <w:color w:val="1A202C"/>
        </w:rPr>
        <w:t>與</w:t>
      </w:r>
      <w:r>
        <w:rPr>
          <w:rFonts w:eastAsia="Noto Serif CJK TC"/>
          <w:color w:val="1A202C"/>
        </w:rPr>
        <w:t xml:space="preserve"> euaiact.com </w:t>
      </w:r>
      <w:r>
        <w:rPr>
          <w:rFonts w:eastAsia="Noto Serif CJK TC"/>
          <w:color w:val="1A202C"/>
        </w:rPr>
        <w:t>兩個條文彙編網站進行核對；對加拿大指令之四級衝擊分類，除財政部官方文本外，另交叉參照</w:t>
      </w:r>
      <w:r>
        <w:rPr>
          <w:rFonts w:eastAsia="Noto Serif CJK TC"/>
          <w:color w:val="1A202C"/>
        </w:rPr>
        <w:t xml:space="preserve"> </w:t>
      </w:r>
      <w:proofErr w:type="spellStart"/>
      <w:r>
        <w:rPr>
          <w:rFonts w:eastAsia="Noto Serif CJK TC"/>
          <w:color w:val="1A202C"/>
        </w:rPr>
        <w:t>Cyberjustice</w:t>
      </w:r>
      <w:proofErr w:type="spellEnd"/>
      <w:r>
        <w:rPr>
          <w:rFonts w:eastAsia="Noto Serif CJK TC"/>
          <w:color w:val="1A202C"/>
        </w:rPr>
        <w:t xml:space="preserve"> Laboratory</w:t>
      </w:r>
      <w:r>
        <w:rPr>
          <w:rFonts w:eastAsia="Noto Serif CJK TC"/>
          <w:color w:val="1A202C"/>
        </w:rPr>
        <w:t>（</w:t>
      </w:r>
      <w:proofErr w:type="spellStart"/>
      <w:r>
        <w:rPr>
          <w:rFonts w:eastAsia="Noto Serif CJK TC"/>
          <w:color w:val="1A202C"/>
        </w:rPr>
        <w:t>Université</w:t>
      </w:r>
      <w:proofErr w:type="spellEnd"/>
      <w:r>
        <w:rPr>
          <w:rFonts w:eastAsia="Noto Serif CJK TC"/>
          <w:color w:val="1A202C"/>
        </w:rPr>
        <w:t xml:space="preserve"> de Montréal</w:t>
      </w:r>
      <w:r>
        <w:rPr>
          <w:rFonts w:eastAsia="Noto Serif CJK TC"/>
          <w:color w:val="1A202C"/>
        </w:rPr>
        <w:t>）之摘要進行核對。本文對三份文本均</w:t>
      </w:r>
      <w:proofErr w:type="gramStart"/>
      <w:r>
        <w:rPr>
          <w:rFonts w:eastAsia="Noto Serif CJK TC"/>
          <w:color w:val="1A202C"/>
        </w:rPr>
        <w:t>未逐</w:t>
      </w:r>
      <w:proofErr w:type="gramEnd"/>
      <w:r>
        <w:rPr>
          <w:rFonts w:eastAsia="Noto Serif CJK TC"/>
          <w:color w:val="1A202C"/>
        </w:rPr>
        <w:t>字核對官方公報或政策文件之</w:t>
      </w:r>
      <w:r>
        <w:rPr>
          <w:rFonts w:eastAsia="Noto Serif CJK TC"/>
          <w:color w:val="1A202C"/>
        </w:rPr>
        <w:t>完整排版全文，讀者於引用本文之逐條發現時，宜自行查證上表所列之官方來源正式文本。</w:t>
      </w:r>
    </w:p>
    <w:p w:rsidR="00FF05A2" w:rsidRDefault="00EE6916">
      <w:pPr>
        <w:pStyle w:val="2"/>
        <w:spacing w:before="280" w:after="140" w:line="340" w:lineRule="auto"/>
      </w:pPr>
      <w:r>
        <w:rPr>
          <w:rFonts w:ascii="Noto Sans CJK TC" w:eastAsia="Noto Sans CJK TC" w:hAnsi="Noto Sans CJK TC" w:cs="Noto Sans CJK TC"/>
          <w:b/>
          <w:bCs/>
          <w:color w:val="1A365D"/>
          <w:sz w:val="27"/>
          <w:szCs w:val="27"/>
        </w:rPr>
        <w:t>八、方法論定位：功能等價物比較與跨層次比較的正當性</w:t>
      </w:r>
    </w:p>
    <w:p w:rsidR="00FF05A2" w:rsidRDefault="00EE6916">
      <w:pPr>
        <w:spacing w:after="180" w:line="340" w:lineRule="auto"/>
        <w:jc w:val="both"/>
      </w:pPr>
      <w:r>
        <w:rPr>
          <w:rFonts w:eastAsia="Noto Serif CJK TC"/>
          <w:color w:val="1A202C"/>
        </w:rPr>
        <w:t>本文比較的三份文本法律位階互異</w:t>
      </w:r>
      <w:proofErr w:type="gramStart"/>
      <w:r>
        <w:rPr>
          <w:rFonts w:eastAsia="Noto Serif CJK TC"/>
          <w:color w:val="1A202C"/>
        </w:rPr>
        <w:t>—</w:t>
      </w:r>
      <w:proofErr w:type="gramEnd"/>
      <w:r>
        <w:rPr>
          <w:rFonts w:eastAsia="Noto Serif CJK TC"/>
          <w:color w:val="1A202C"/>
        </w:rPr>
        <w:t>—</w:t>
      </w:r>
      <w:r>
        <w:rPr>
          <w:rFonts w:eastAsia="Noto Serif CJK TC"/>
          <w:color w:val="1A202C"/>
        </w:rPr>
        <w:t>框架性基本法、直接生效之超國家規章、部會層級政策指令</w:t>
      </w:r>
      <w:r>
        <w:rPr>
          <w:rFonts w:eastAsia="Noto Serif CJK TC"/>
          <w:color w:val="1A202C"/>
        </w:rPr>
        <w:t>——</w:t>
      </w:r>
      <w:r>
        <w:rPr>
          <w:rFonts w:eastAsia="Noto Serif CJK TC"/>
          <w:color w:val="1A202C"/>
        </w:rPr>
        <w:t>這項設計選擇本身可能招致一項方法論質疑：位階不同的文本，是否還能被有意義地放在同一</w:t>
      </w:r>
      <w:proofErr w:type="gramStart"/>
      <w:r>
        <w:rPr>
          <w:rFonts w:eastAsia="Noto Serif CJK TC"/>
          <w:color w:val="1A202C"/>
        </w:rPr>
        <w:t>個</w:t>
      </w:r>
      <w:proofErr w:type="gramEnd"/>
      <w:r>
        <w:rPr>
          <w:rFonts w:eastAsia="Noto Serif CJK TC"/>
          <w:color w:val="1A202C"/>
        </w:rPr>
        <w:t>比較架構下檢視？本文在此明確採取比較行政法中「功能等價物比較」（</w:t>
      </w:r>
      <w:r>
        <w:rPr>
          <w:rFonts w:eastAsia="Noto Serif CJK TC"/>
          <w:color w:val="1A202C"/>
        </w:rPr>
        <w:t>functional equivalence</w:t>
      </w:r>
      <w:r>
        <w:rPr>
          <w:rFonts w:eastAsia="Noto Serif CJK TC"/>
          <w:color w:val="1A202C"/>
        </w:rPr>
        <w:t>）的立場：比較法研究的可比較性，</w:t>
      </w:r>
      <w:proofErr w:type="gramStart"/>
      <w:r>
        <w:rPr>
          <w:rFonts w:eastAsia="Noto Serif CJK TC"/>
          <w:color w:val="1A202C"/>
        </w:rPr>
        <w:t>不</w:t>
      </w:r>
      <w:proofErr w:type="gramEnd"/>
      <w:r>
        <w:rPr>
          <w:rFonts w:eastAsia="Noto Serif CJK TC"/>
          <w:color w:val="1A202C"/>
        </w:rPr>
        <w:t>必然要求受比較對象處於同一位階或同一法秩序，而在於受比較對象是</w:t>
      </w:r>
      <w:r>
        <w:rPr>
          <w:rFonts w:eastAsia="Noto Serif CJK TC"/>
          <w:color w:val="1A202C"/>
        </w:rPr>
        <w:t>否在各自的法秩序中執行相近的功能</w:t>
      </w:r>
      <w:r>
        <w:rPr>
          <w:rFonts w:eastAsia="Noto Serif CJK TC"/>
          <w:color w:val="1A202C"/>
        </w:rPr>
        <w:t>——</w:t>
      </w:r>
      <w:r>
        <w:rPr>
          <w:rFonts w:eastAsia="Noto Serif CJK TC"/>
          <w:color w:val="1A202C"/>
        </w:rPr>
        <w:t>就本文而言，</w:t>
      </w:r>
      <w:r>
        <w:rPr>
          <w:rFonts w:eastAsia="Noto Serif CJK TC"/>
          <w:color w:val="1A202C"/>
        </w:rPr>
        <w:lastRenderedPageBreak/>
        <w:t>即三份文本是否都在規範「公部門於使用人工智慧系統時，應保有何種認知、決策、</w:t>
      </w:r>
      <w:proofErr w:type="gramStart"/>
      <w:r>
        <w:rPr>
          <w:rFonts w:eastAsia="Noto Serif CJK TC"/>
          <w:color w:val="1A202C"/>
        </w:rPr>
        <w:t>課責能</w:t>
      </w:r>
      <w:proofErr w:type="gramEnd"/>
      <w:r>
        <w:rPr>
          <w:rFonts w:eastAsia="Noto Serif CJK TC"/>
          <w:color w:val="1A202C"/>
        </w:rPr>
        <w:t>力」這一相同的功能性問題。</w:t>
      </w:r>
      <w:r>
        <w:rPr>
          <w:rFonts w:eastAsia="Noto Serif CJK TC"/>
          <w:color w:val="1A202C"/>
        </w:rPr>
        <w:t>Rose-Ackerman</w:t>
      </w:r>
      <w:r>
        <w:rPr>
          <w:rFonts w:eastAsia="Noto Serif CJK TC"/>
          <w:color w:val="1A202C"/>
        </w:rPr>
        <w:t>、</w:t>
      </w:r>
      <w:proofErr w:type="spellStart"/>
      <w:r>
        <w:rPr>
          <w:rFonts w:eastAsia="Noto Serif CJK TC"/>
          <w:color w:val="1A202C"/>
        </w:rPr>
        <w:t>Lindseth</w:t>
      </w:r>
      <w:proofErr w:type="spellEnd"/>
      <w:r>
        <w:rPr>
          <w:rFonts w:eastAsia="Noto Serif CJK TC"/>
          <w:color w:val="1A202C"/>
        </w:rPr>
        <w:t xml:space="preserve"> </w:t>
      </w:r>
      <w:r>
        <w:rPr>
          <w:rFonts w:eastAsia="Noto Serif CJK TC"/>
          <w:color w:val="1A202C"/>
        </w:rPr>
        <w:t>與</w:t>
      </w:r>
      <w:r>
        <w:rPr>
          <w:rFonts w:eastAsia="Noto Serif CJK TC"/>
          <w:color w:val="1A202C"/>
        </w:rPr>
        <w:t xml:space="preserve"> Emerson </w:t>
      </w:r>
      <w:r>
        <w:rPr>
          <w:rFonts w:eastAsia="Noto Serif CJK TC"/>
          <w:color w:val="1A202C"/>
        </w:rPr>
        <w:t>所主編之比較行政法研究手冊即持此一立場，主張比較行政法之比較單位應以受比較之規範所承擔的治理功能為</w:t>
      </w:r>
      <w:proofErr w:type="gramStart"/>
      <w:r>
        <w:rPr>
          <w:rFonts w:eastAsia="Noto Serif CJK TC"/>
          <w:color w:val="1A202C"/>
        </w:rPr>
        <w:t>準</w:t>
      </w:r>
      <w:proofErr w:type="gramEnd"/>
      <w:r>
        <w:rPr>
          <w:rFonts w:eastAsia="Noto Serif CJK TC"/>
          <w:color w:val="1A202C"/>
        </w:rPr>
        <w:t>，而非以其在各自法秩序中的形式位階為準（</w:t>
      </w:r>
      <w:r>
        <w:rPr>
          <w:rFonts w:eastAsia="Noto Serif CJK TC"/>
          <w:color w:val="1A202C"/>
        </w:rPr>
        <w:t xml:space="preserve">Rose-Ackerman, </w:t>
      </w:r>
      <w:proofErr w:type="spellStart"/>
      <w:r>
        <w:rPr>
          <w:rFonts w:eastAsia="Noto Serif CJK TC"/>
          <w:color w:val="1A202C"/>
        </w:rPr>
        <w:t>Lindseth</w:t>
      </w:r>
      <w:proofErr w:type="spellEnd"/>
      <w:r>
        <w:rPr>
          <w:rFonts w:eastAsia="Noto Serif CJK TC"/>
          <w:color w:val="1A202C"/>
        </w:rPr>
        <w:t>, &amp; Emerson, 2017</w:t>
      </w:r>
      <w:r>
        <w:rPr>
          <w:rFonts w:eastAsia="Noto Serif CJK TC"/>
          <w:color w:val="1A202C"/>
        </w:rPr>
        <w:t>）。本文因此不主張三份文本「同屬一類」，而是主張三者對於本文所定義之</w:t>
      </w:r>
      <w:r>
        <w:rPr>
          <w:rFonts w:eastAsia="Noto Serif CJK TC"/>
          <w:color w:val="1A202C"/>
        </w:rPr>
        <w:t xml:space="preserve"> U</w:t>
      </w:r>
      <w:r>
        <w:rPr>
          <w:rFonts w:eastAsia="Noto Serif CJK TC"/>
          <w:color w:val="1A202C"/>
        </w:rPr>
        <w:t xml:space="preserve">CPR </w:t>
      </w:r>
      <w:r>
        <w:rPr>
          <w:rFonts w:eastAsia="Noto Serif CJK TC"/>
          <w:color w:val="1A202C"/>
        </w:rPr>
        <w:t>三種能力承擔了功能上可比較的角色，法律位階本身則被本文處理為一個獨立的比較軸（貳</w:t>
      </w:r>
      <w:r>
        <w:rPr>
          <w:rFonts w:eastAsia="Noto Serif CJK TC"/>
          <w:color w:val="1A202C"/>
        </w:rPr>
        <w:t>-</w:t>
      </w:r>
      <w:r>
        <w:rPr>
          <w:rFonts w:eastAsia="Noto Serif CJK TC"/>
          <w:color w:val="1A202C"/>
        </w:rPr>
        <w:t>四節），用以捕捉「功能相近、位階不同」所可能帶來的制度穩定性差異</w:t>
      </w:r>
      <w:proofErr w:type="gramStart"/>
      <w:r>
        <w:rPr>
          <w:rFonts w:eastAsia="Noto Serif CJK TC"/>
          <w:color w:val="1A202C"/>
        </w:rPr>
        <w:t>—</w:t>
      </w:r>
      <w:proofErr w:type="gramEnd"/>
      <w:r>
        <w:rPr>
          <w:rFonts w:eastAsia="Noto Serif CJK TC"/>
          <w:color w:val="1A202C"/>
        </w:rPr>
        <w:t>—</w:t>
      </w:r>
      <w:r>
        <w:rPr>
          <w:rFonts w:eastAsia="Noto Serif CJK TC"/>
          <w:color w:val="1A202C"/>
        </w:rPr>
        <w:t>加拿大案例（伍</w:t>
      </w:r>
      <w:r>
        <w:rPr>
          <w:rFonts w:eastAsia="Noto Serif CJK TC"/>
          <w:color w:val="1A202C"/>
        </w:rPr>
        <w:t>-</w:t>
      </w:r>
      <w:r>
        <w:rPr>
          <w:rFonts w:eastAsia="Noto Serif CJK TC"/>
          <w:color w:val="1A202C"/>
        </w:rPr>
        <w:t>五節）正是這項方法論選擇之所以必要的最清楚例證：若本文僅比較法律位階，會忽略指令內容本身的具體性；若本文僅比較內容具體性，則會忽略指令位階脆弱這項同樣重要的制度特徵。</w:t>
      </w:r>
    </w:p>
    <w:p w:rsidR="00FF05A2" w:rsidRDefault="00EE6916">
      <w:pPr>
        <w:spacing w:after="180" w:line="340" w:lineRule="auto"/>
        <w:jc w:val="both"/>
      </w:pPr>
      <w:r>
        <w:rPr>
          <w:rFonts w:eastAsia="Noto Serif CJK TC"/>
          <w:color w:val="1A202C"/>
        </w:rPr>
        <w:t>本文之逐條文本審計方法，與此一分析裝置（</w:t>
      </w:r>
      <w:proofErr w:type="gramStart"/>
      <w:r>
        <w:rPr>
          <w:rFonts w:eastAsia="Noto Serif CJK TC"/>
          <w:color w:val="1A202C"/>
        </w:rPr>
        <w:t>柒</w:t>
      </w:r>
      <w:proofErr w:type="gramEnd"/>
      <w:r>
        <w:rPr>
          <w:rFonts w:eastAsia="Noto Serif CJK TC"/>
          <w:color w:val="1A202C"/>
        </w:rPr>
        <w:t>章將正式提出「形式再介入權限」與「實質再介入能力」之區分）合併使用時，可進一步與系列姊妹篇〈規範何以轉換〉（工作稿編號</w:t>
      </w:r>
      <w:r>
        <w:rPr>
          <w:rFonts w:eastAsia="Noto Serif CJK TC"/>
          <w:color w:val="1A202C"/>
        </w:rPr>
        <w:t xml:space="preserve"> 035</w:t>
      </w:r>
      <w:r>
        <w:rPr>
          <w:rFonts w:eastAsia="Noto Serif CJK TC"/>
          <w:color w:val="1A202C"/>
        </w:rPr>
        <w:t>）</w:t>
      </w:r>
      <w:r>
        <w:rPr>
          <w:rFonts w:eastAsia="Noto Serif CJK TC"/>
          <w:color w:val="1A202C"/>
        </w:rPr>
        <w:t>之安全閥框架相互銜接</w:t>
      </w:r>
      <w:r>
        <w:rPr>
          <w:rFonts w:eastAsia="Noto Serif CJK TC"/>
          <w:color w:val="1A202C"/>
        </w:rPr>
        <w:t xml:space="preserve">——035 </w:t>
      </w:r>
      <w:r>
        <w:rPr>
          <w:rFonts w:eastAsia="Noto Serif CJK TC"/>
          <w:color w:val="1A202C"/>
        </w:rPr>
        <w:t>診斷技術選擇本身之規範轉換風險，本文則診斷公共權威回應該風險之制度能力，兩者之分工於</w:t>
      </w:r>
      <w:proofErr w:type="gramStart"/>
      <w:r>
        <w:rPr>
          <w:rFonts w:eastAsia="Noto Serif CJK TC"/>
          <w:color w:val="1A202C"/>
        </w:rPr>
        <w:t>柒章</w:t>
      </w:r>
      <w:proofErr w:type="gramEnd"/>
      <w:r>
        <w:rPr>
          <w:rFonts w:eastAsia="Noto Serif CJK TC"/>
          <w:color w:val="1A202C"/>
        </w:rPr>
        <w:t>末段將有更完整之說明。</w:t>
      </w:r>
    </w:p>
    <w:p w:rsidR="00FF05A2" w:rsidRDefault="00EE6916">
      <w:pPr>
        <w:spacing w:after="180" w:line="340" w:lineRule="auto"/>
        <w:jc w:val="both"/>
      </w:pPr>
      <w:r>
        <w:rPr>
          <w:rFonts w:eastAsia="Noto Serif CJK TC"/>
          <w:color w:val="1A202C"/>
        </w:rPr>
        <w:t>以下參、肆、伍三章，即依此架構逐一審計臺灣、歐盟、加拿大三份現行文本；陸章則彙整三</w:t>
      </w:r>
      <w:proofErr w:type="gramStart"/>
      <w:r>
        <w:rPr>
          <w:rFonts w:eastAsia="Noto Serif CJK TC"/>
          <w:color w:val="1A202C"/>
        </w:rPr>
        <w:t>法域之</w:t>
      </w:r>
      <w:proofErr w:type="gramEnd"/>
      <w:r>
        <w:rPr>
          <w:rFonts w:eastAsia="Noto Serif CJK TC"/>
          <w:color w:val="1A202C"/>
        </w:rPr>
        <w:t>審計結果，並呈現法律位階此一比較軸的完整圖像。</w:t>
      </w:r>
    </w:p>
    <w:p w:rsidR="00FF05A2" w:rsidRDefault="00EE6916">
      <w:pPr>
        <w:pStyle w:val="1"/>
        <w:spacing w:before="360" w:after="200" w:line="360" w:lineRule="auto"/>
      </w:pPr>
      <w:r>
        <w:rPr>
          <w:rFonts w:ascii="Noto Sans CJK TC" w:eastAsia="Noto Sans CJK TC" w:hAnsi="Noto Sans CJK TC" w:cs="Noto Sans CJK TC"/>
          <w:b/>
          <w:bCs/>
          <w:color w:val="1A365D"/>
        </w:rPr>
        <w:t>參、臺灣人工智慧基本法制度</w:t>
      </w:r>
    </w:p>
    <w:p w:rsidR="00FF05A2" w:rsidRDefault="00EE6916">
      <w:pPr>
        <w:spacing w:after="180" w:line="340" w:lineRule="auto"/>
        <w:jc w:val="both"/>
      </w:pPr>
      <w:r>
        <w:rPr>
          <w:rFonts w:eastAsia="Noto Serif CJK TC"/>
          <w:color w:val="1A202C"/>
        </w:rPr>
        <w:t>臺灣《人工智慧基本法》於民國</w:t>
      </w:r>
      <w:r>
        <w:rPr>
          <w:rFonts w:eastAsia="Noto Serif CJK TC"/>
          <w:color w:val="1A202C"/>
        </w:rPr>
        <w:t>115</w:t>
      </w:r>
      <w:r>
        <w:rPr>
          <w:rFonts w:eastAsia="Noto Serif CJK TC"/>
          <w:color w:val="1A202C"/>
        </w:rPr>
        <w:t>年（</w:t>
      </w:r>
      <w:r>
        <w:rPr>
          <w:rFonts w:eastAsia="Noto Serif CJK TC"/>
          <w:color w:val="1A202C"/>
        </w:rPr>
        <w:t>2026</w:t>
      </w:r>
      <w:r>
        <w:rPr>
          <w:rFonts w:eastAsia="Noto Serif CJK TC"/>
          <w:color w:val="1A202C"/>
        </w:rPr>
        <w:t>年）</w:t>
      </w:r>
      <w:r>
        <w:rPr>
          <w:rFonts w:eastAsia="Noto Serif CJK TC"/>
          <w:color w:val="1A202C"/>
        </w:rPr>
        <w:t>1</w:t>
      </w:r>
      <w:r>
        <w:rPr>
          <w:rFonts w:eastAsia="Noto Serif CJK TC"/>
          <w:color w:val="1A202C"/>
        </w:rPr>
        <w:t>月</w:t>
      </w:r>
      <w:r>
        <w:rPr>
          <w:rFonts w:eastAsia="Noto Serif CJK TC"/>
          <w:color w:val="1A202C"/>
        </w:rPr>
        <w:t>14</w:t>
      </w:r>
      <w:r>
        <w:rPr>
          <w:rFonts w:eastAsia="Noto Serif CJK TC"/>
          <w:color w:val="1A202C"/>
        </w:rPr>
        <w:t>日由總統以</w:t>
      </w:r>
      <w:proofErr w:type="gramStart"/>
      <w:r>
        <w:rPr>
          <w:rFonts w:eastAsia="Noto Serif CJK TC"/>
          <w:color w:val="1A202C"/>
        </w:rPr>
        <w:t>華總一義字第</w:t>
      </w:r>
      <w:r>
        <w:rPr>
          <w:rFonts w:eastAsia="Noto Serif CJK TC"/>
          <w:color w:val="1A202C"/>
        </w:rPr>
        <w:t>11500001671</w:t>
      </w:r>
      <w:proofErr w:type="gramEnd"/>
      <w:r>
        <w:rPr>
          <w:rFonts w:eastAsia="Noto Serif CJK TC"/>
          <w:color w:val="1A202C"/>
        </w:rPr>
        <w:t>號令公布施行，全文共二十條，性質為框架性基本法。以下依</w:t>
      </w:r>
      <w:r>
        <w:rPr>
          <w:rFonts w:eastAsia="Noto Serif CJK TC"/>
          <w:color w:val="1A202C"/>
        </w:rPr>
        <w:t xml:space="preserve"> 032 </w:t>
      </w:r>
      <w:r>
        <w:rPr>
          <w:rFonts w:eastAsia="Noto Serif CJK TC"/>
          <w:color w:val="1A202C"/>
        </w:rPr>
        <w:t>之三種能力逐一審計其現行條文，並在必要</w:t>
      </w:r>
      <w:r>
        <w:rPr>
          <w:rFonts w:eastAsia="Noto Serif CJK TC"/>
          <w:color w:val="1A202C"/>
        </w:rPr>
        <w:t>處指出</w:t>
      </w:r>
      <w:proofErr w:type="gramStart"/>
      <w:r>
        <w:rPr>
          <w:rFonts w:eastAsia="Noto Serif CJK TC"/>
          <w:color w:val="1A202C"/>
        </w:rPr>
        <w:t>仍待子法</w:t>
      </w:r>
      <w:proofErr w:type="gramEnd"/>
      <w:r>
        <w:rPr>
          <w:rFonts w:eastAsia="Noto Serif CJK TC"/>
          <w:color w:val="1A202C"/>
        </w:rPr>
        <w:t>補充之處。</w:t>
      </w:r>
    </w:p>
    <w:p w:rsidR="00FF05A2" w:rsidRDefault="00EE6916">
      <w:pPr>
        <w:pStyle w:val="2"/>
        <w:spacing w:before="280" w:after="140" w:line="340" w:lineRule="auto"/>
      </w:pPr>
      <w:r>
        <w:rPr>
          <w:rFonts w:ascii="Noto Sans CJK TC" w:eastAsia="Noto Sans CJK TC" w:hAnsi="Noto Sans CJK TC" w:cs="Noto Sans CJK TC"/>
          <w:b/>
          <w:bCs/>
          <w:color w:val="1A365D"/>
          <w:sz w:val="27"/>
          <w:szCs w:val="27"/>
        </w:rPr>
        <w:t>一、法律定位</w:t>
      </w:r>
    </w:p>
    <w:p w:rsidR="00FF05A2" w:rsidRDefault="00EE6916">
      <w:pPr>
        <w:spacing w:after="180" w:line="340" w:lineRule="auto"/>
        <w:jc w:val="both"/>
      </w:pPr>
      <w:r>
        <w:rPr>
          <w:rFonts w:eastAsia="Noto Serif CJK TC"/>
          <w:color w:val="1A202C"/>
        </w:rPr>
        <w:t>本法第二條規定，中央主管機關為國家科學及技術委員會（國科會），地方主管機關為直轄市、縣市政府；涉及各目的事業主管機關職掌事項者，由各該機關辦理。本法第四條列舉七項基本原則</w:t>
      </w:r>
      <w:proofErr w:type="gramStart"/>
      <w:r>
        <w:rPr>
          <w:rFonts w:eastAsia="Noto Serif CJK TC"/>
          <w:color w:val="1A202C"/>
        </w:rPr>
        <w:t>—</w:t>
      </w:r>
      <w:proofErr w:type="gramEnd"/>
      <w:r>
        <w:rPr>
          <w:rFonts w:eastAsia="Noto Serif CJK TC"/>
          <w:color w:val="1A202C"/>
        </w:rPr>
        <w:t>—</w:t>
      </w:r>
      <w:r>
        <w:rPr>
          <w:rFonts w:eastAsia="Noto Serif CJK TC"/>
          <w:color w:val="1A202C"/>
        </w:rPr>
        <w:t>永續發展與福祉、人類自主、隱私保護與資料治理、</w:t>
      </w:r>
      <w:proofErr w:type="gramStart"/>
      <w:r>
        <w:rPr>
          <w:rFonts w:eastAsia="Noto Serif CJK TC"/>
          <w:color w:val="1A202C"/>
        </w:rPr>
        <w:t>資安</w:t>
      </w:r>
      <w:proofErr w:type="gramEnd"/>
      <w:r>
        <w:rPr>
          <w:rFonts w:eastAsia="Noto Serif CJK TC"/>
          <w:color w:val="1A202C"/>
        </w:rPr>
        <w:t>與安全、透明與可解釋、公平與不歧視、</w:t>
      </w:r>
      <w:proofErr w:type="gramStart"/>
      <w:r>
        <w:rPr>
          <w:rFonts w:eastAsia="Noto Serif CJK TC"/>
          <w:color w:val="1A202C"/>
        </w:rPr>
        <w:t>問</w:t>
      </w:r>
      <w:proofErr w:type="gramEnd"/>
      <w:r>
        <w:rPr>
          <w:rFonts w:eastAsia="Noto Serif CJK TC"/>
          <w:color w:val="1A202C"/>
        </w:rPr>
        <w:t>責，作為政府推動人工智慧研發應用之指導方針。財團法人民間司法改革基金會於本法三讀通過後發布聲明，直言本法「錯失了作為基本法應當擔任的框架性立法」之角色，實質上「讀起來倒像是充滿政策宣示的產業發展白皮書」</w:t>
      </w:r>
      <w:proofErr w:type="gramStart"/>
      <w:r>
        <w:rPr>
          <w:rFonts w:eastAsia="Noto Serif CJK TC"/>
          <w:color w:val="1A202C"/>
        </w:rPr>
        <w:t>—</w:t>
      </w:r>
      <w:proofErr w:type="gramEnd"/>
      <w:r>
        <w:rPr>
          <w:rFonts w:eastAsia="Noto Serif CJK TC"/>
          <w:color w:val="1A202C"/>
        </w:rPr>
        <w:t>—</w:t>
      </w:r>
      <w:r>
        <w:rPr>
          <w:rFonts w:eastAsia="Noto Serif CJK TC"/>
          <w:color w:val="1A202C"/>
        </w:rPr>
        <w:t>這項</w:t>
      </w:r>
      <w:r>
        <w:rPr>
          <w:rFonts w:eastAsia="Noto Serif CJK TC"/>
          <w:color w:val="1A202C"/>
        </w:rPr>
        <w:t>來自公民團體的評語，與本文以下逐條審計得出的結論方向一致：本法多數條文屬原則性宣示，操作性規定則委由子法訂定。</w:t>
      </w:r>
    </w:p>
    <w:p w:rsidR="00FF05A2" w:rsidRDefault="00EE6916">
      <w:pPr>
        <w:pStyle w:val="2"/>
        <w:spacing w:before="280" w:after="140" w:line="340" w:lineRule="auto"/>
      </w:pPr>
      <w:r>
        <w:rPr>
          <w:rFonts w:ascii="Noto Sans CJK TC" w:eastAsia="Noto Sans CJK TC" w:hAnsi="Noto Sans CJK TC" w:cs="Noto Sans CJK TC"/>
          <w:b/>
          <w:bCs/>
          <w:color w:val="1A365D"/>
          <w:sz w:val="27"/>
          <w:szCs w:val="27"/>
        </w:rPr>
        <w:t>二、政府使用人工智慧之規範</w:t>
      </w:r>
    </w:p>
    <w:p w:rsidR="00FF05A2" w:rsidRDefault="00EE6916">
      <w:pPr>
        <w:spacing w:after="180" w:line="340" w:lineRule="auto"/>
        <w:jc w:val="both"/>
      </w:pPr>
      <w:r>
        <w:rPr>
          <w:rFonts w:eastAsia="Noto Serif CJK TC"/>
          <w:color w:val="1A202C"/>
        </w:rPr>
        <w:lastRenderedPageBreak/>
        <w:t>第十九條規定，政府使用人工智慧應進行風險評估、規劃風險因應措施，並依業務性質訂定使用規範或內控管理機制。此一條文</w:t>
      </w:r>
      <w:proofErr w:type="gramStart"/>
      <w:r>
        <w:rPr>
          <w:rFonts w:eastAsia="Noto Serif CJK TC"/>
          <w:color w:val="1A202C"/>
        </w:rPr>
        <w:t>明確課</w:t>
      </w:r>
      <w:proofErr w:type="gramEnd"/>
      <w:r>
        <w:rPr>
          <w:rFonts w:eastAsia="Noto Serif CJK TC"/>
          <w:color w:val="1A202C"/>
        </w:rPr>
        <w:t>予政府「應進行風險評估」之義務，屬本文認知能力審計中的正面發現；但條文本身未明定風險評估之具體方法、頻率或期限，亦未規定何人負責審查評估結果，此一操作性空白留待子法填補。</w:t>
      </w:r>
    </w:p>
    <w:p w:rsidR="00FF05A2" w:rsidRDefault="00EE6916">
      <w:pPr>
        <w:pStyle w:val="2"/>
        <w:spacing w:before="280" w:after="140" w:line="340" w:lineRule="auto"/>
      </w:pPr>
      <w:r>
        <w:rPr>
          <w:rFonts w:ascii="Noto Sans CJK TC" w:eastAsia="Noto Sans CJK TC" w:hAnsi="Noto Sans CJK TC" w:cs="Noto Sans CJK TC"/>
          <w:b/>
          <w:bCs/>
          <w:color w:val="1A365D"/>
          <w:sz w:val="27"/>
          <w:szCs w:val="27"/>
        </w:rPr>
        <w:t>三、風險分類</w:t>
      </w:r>
    </w:p>
    <w:p w:rsidR="00FF05A2" w:rsidRDefault="00EE6916">
      <w:pPr>
        <w:spacing w:after="180" w:line="340" w:lineRule="auto"/>
        <w:jc w:val="both"/>
      </w:pPr>
      <w:r>
        <w:rPr>
          <w:rFonts w:eastAsia="Noto Serif CJK TC"/>
          <w:color w:val="1A202C"/>
        </w:rPr>
        <w:t>第十六條第一項規定，數位</w:t>
      </w:r>
      <w:proofErr w:type="gramStart"/>
      <w:r>
        <w:rPr>
          <w:rFonts w:eastAsia="Noto Serif CJK TC"/>
          <w:color w:val="1A202C"/>
        </w:rPr>
        <w:t>發展部應參考</w:t>
      </w:r>
      <w:proofErr w:type="gramEnd"/>
      <w:r>
        <w:rPr>
          <w:rFonts w:eastAsia="Noto Serif CJK TC"/>
          <w:color w:val="1A202C"/>
        </w:rPr>
        <w:t>國際標準或規範，推動與國際介接之人工智慧風險分類框架；第二項規定，各目的事業主管機關應視應用風險管理之需要，循前項框架訂定以風險為基礎之管理規範，並應協助相關產業自行訂定產業指引及行為規範。條文同時課予政府「訂定管理規範」與「協助產業自訂指引」雙重角色，這正是司改會聲明中批評最為直接之處：司改會認為第十六條「把風險分類權限留給業者自律」，可能導致「把台灣的</w:t>
      </w:r>
      <w:r>
        <w:rPr>
          <w:rFonts w:eastAsia="Noto Serif CJK TC"/>
          <w:color w:val="1A202C"/>
        </w:rPr>
        <w:t>AI</w:t>
      </w:r>
      <w:r>
        <w:rPr>
          <w:rFonts w:eastAsia="Noto Serif CJK TC"/>
          <w:color w:val="1A202C"/>
        </w:rPr>
        <w:t>環境推向弱肉強食叢林法則」。本文對此持較為中性的立場：第十六條本身並未排除政府訂定強制性管理規範之可能，「協助產業</w:t>
      </w:r>
      <w:r>
        <w:rPr>
          <w:rFonts w:eastAsia="Noto Serif CJK TC"/>
          <w:color w:val="1A202C"/>
        </w:rPr>
        <w:t>自訂指引」與「政府訂定管理規範」在條文中是</w:t>
      </w:r>
      <w:proofErr w:type="gramStart"/>
      <w:r>
        <w:rPr>
          <w:rFonts w:eastAsia="Noto Serif CJK TC"/>
          <w:color w:val="1A202C"/>
        </w:rPr>
        <w:t>併</w:t>
      </w:r>
      <w:proofErr w:type="gramEnd"/>
      <w:r>
        <w:rPr>
          <w:rFonts w:eastAsia="Noto Serif CJK TC"/>
          <w:color w:val="1A202C"/>
        </w:rPr>
        <w:t>存而非互斥的兩種機制，實際走向仍取決於後續子法如何具體設計</w:t>
      </w:r>
      <w:r>
        <w:rPr>
          <w:rFonts w:eastAsia="Noto Serif CJK TC"/>
          <w:color w:val="1A202C"/>
        </w:rPr>
        <w:t>——</w:t>
      </w:r>
      <w:r>
        <w:rPr>
          <w:rFonts w:eastAsia="Noto Serif CJK TC"/>
          <w:color w:val="1A202C"/>
        </w:rPr>
        <w:t>但司改會的批評提醒了一個真實的風險：</w:t>
      </w:r>
      <w:proofErr w:type="gramStart"/>
      <w:r>
        <w:rPr>
          <w:rFonts w:eastAsia="Noto Serif CJK TC"/>
          <w:color w:val="1A202C"/>
        </w:rPr>
        <w:t>若子法</w:t>
      </w:r>
      <w:proofErr w:type="gramEnd"/>
      <w:r>
        <w:rPr>
          <w:rFonts w:eastAsia="Noto Serif CJK TC"/>
          <w:color w:val="1A202C"/>
        </w:rPr>
        <w:t>在實作上偏重「協助產業自律」一端，風險分類的實質內容便可能由業者自行決定，這正是</w:t>
      </w:r>
      <w:r>
        <w:rPr>
          <w:rFonts w:eastAsia="Noto Serif CJK TC"/>
          <w:color w:val="1A202C"/>
        </w:rPr>
        <w:t xml:space="preserve"> 032 P4 </w:t>
      </w:r>
      <w:r>
        <w:rPr>
          <w:rFonts w:eastAsia="Noto Serif CJK TC"/>
          <w:color w:val="1A202C"/>
        </w:rPr>
        <w:t>外包風險命題所預示的情境。</w:t>
      </w:r>
    </w:p>
    <w:p w:rsidR="00FF05A2" w:rsidRDefault="00EE6916">
      <w:pPr>
        <w:pStyle w:val="2"/>
        <w:spacing w:before="280" w:after="140" w:line="340" w:lineRule="auto"/>
      </w:pPr>
      <w:r>
        <w:rPr>
          <w:rFonts w:ascii="Noto Sans CJK TC" w:eastAsia="Noto Sans CJK TC" w:hAnsi="Noto Sans CJK TC" w:cs="Noto Sans CJK TC"/>
          <w:b/>
          <w:bCs/>
          <w:color w:val="1A365D"/>
          <w:sz w:val="27"/>
          <w:szCs w:val="27"/>
        </w:rPr>
        <w:t>四、透明與說明</w:t>
      </w:r>
    </w:p>
    <w:p w:rsidR="00FF05A2" w:rsidRDefault="00EE6916">
      <w:pPr>
        <w:spacing w:after="180" w:line="340" w:lineRule="auto"/>
        <w:jc w:val="both"/>
      </w:pPr>
      <w:r>
        <w:rPr>
          <w:rFonts w:eastAsia="Noto Serif CJK TC"/>
          <w:color w:val="1A202C"/>
        </w:rPr>
        <w:t>第四條第五款將「透明與可解釋」列為基本原則之一，規定人工智慧之產出應做「適當資訊揭露或標記，以利評估可能風險」。第五條第二項規定，高風險應用應「明確標示注意事項或警語」；同條並規定數位</w:t>
      </w:r>
      <w:proofErr w:type="gramStart"/>
      <w:r>
        <w:rPr>
          <w:rFonts w:eastAsia="Noto Serif CJK TC"/>
          <w:color w:val="1A202C"/>
        </w:rPr>
        <w:t>發展部應提供</w:t>
      </w:r>
      <w:proofErr w:type="gramEnd"/>
      <w:r>
        <w:rPr>
          <w:rFonts w:eastAsia="Noto Serif CJK TC"/>
          <w:color w:val="1A202C"/>
        </w:rPr>
        <w:t>驗證工具，其形成過程應徵詢利</w:t>
      </w:r>
      <w:r>
        <w:rPr>
          <w:rFonts w:eastAsia="Noto Serif CJK TC"/>
          <w:color w:val="1A202C"/>
        </w:rPr>
        <w:t>益團體、產業、學者等意見。這些條文建立了透明義務的原則性框架，但「適當」揭露的具體內容、標記格式與查核機制，條文本身未進一步規定。</w:t>
      </w:r>
    </w:p>
    <w:p w:rsidR="00FF05A2" w:rsidRDefault="00EE6916">
      <w:pPr>
        <w:pStyle w:val="2"/>
        <w:spacing w:before="280" w:after="140" w:line="340" w:lineRule="auto"/>
      </w:pPr>
      <w:r>
        <w:rPr>
          <w:rFonts w:ascii="Noto Sans CJK TC" w:eastAsia="Noto Sans CJK TC" w:hAnsi="Noto Sans CJK TC" w:cs="Noto Sans CJK TC"/>
          <w:b/>
          <w:bCs/>
          <w:color w:val="1A365D"/>
          <w:sz w:val="27"/>
          <w:szCs w:val="27"/>
        </w:rPr>
        <w:t>五、人類監督</w:t>
      </w:r>
    </w:p>
    <w:p w:rsidR="00FF05A2" w:rsidRDefault="00EE6916">
      <w:pPr>
        <w:spacing w:after="180" w:line="340" w:lineRule="auto"/>
        <w:jc w:val="both"/>
      </w:pPr>
      <w:r>
        <w:rPr>
          <w:rFonts w:eastAsia="Noto Serif CJK TC"/>
          <w:color w:val="1A202C"/>
        </w:rPr>
        <w:t>第四條第二款規定，政府推動人工智慧應「支持人類自主權、尊重人格權等人類基本權利」，並「允許人類監督，落實以人為本」。這是本法全文中唯一直接觸及決策能力的條文，但其位置在總則之基本原則列舉中，性質上是原則性宣示，而非具體的操作性義務</w:t>
      </w:r>
      <w:proofErr w:type="gramStart"/>
      <w:r>
        <w:rPr>
          <w:rFonts w:eastAsia="Noto Serif CJK TC"/>
          <w:color w:val="1A202C"/>
        </w:rPr>
        <w:t>—</w:t>
      </w:r>
      <w:proofErr w:type="gramEnd"/>
      <w:r>
        <w:rPr>
          <w:rFonts w:eastAsia="Noto Serif CJK TC"/>
          <w:color w:val="1A202C"/>
        </w:rPr>
        <w:t>—</w:t>
      </w:r>
      <w:r>
        <w:rPr>
          <w:rFonts w:eastAsia="Noto Serif CJK TC"/>
          <w:color w:val="1A202C"/>
        </w:rPr>
        <w:t>本法並未進一步規定</w:t>
      </w:r>
      <w:proofErr w:type="gramStart"/>
      <w:r>
        <w:rPr>
          <w:rFonts w:eastAsia="Noto Serif CJK TC"/>
          <w:color w:val="1A202C"/>
        </w:rPr>
        <w:t>何人</w:t>
      </w:r>
      <w:proofErr w:type="gramEnd"/>
      <w:r>
        <w:rPr>
          <w:rFonts w:eastAsia="Noto Serif CJK TC"/>
          <w:color w:val="1A202C"/>
        </w:rPr>
        <w:t>、於何種情形下，得對系統決策行使否決、推翻或暫停之權限。司改會聲明中明確指出這項缺口，主張應立法保障「退出決策</w:t>
      </w:r>
      <w:r>
        <w:rPr>
          <w:rFonts w:eastAsia="Noto Serif CJK TC"/>
          <w:color w:val="1A202C"/>
        </w:rPr>
        <w:t>權（人工審查）」，即人民於重大權利受影響時，「有權拒絕受制於全自動化決策，並要求改由人為進行實質審查」，並認為現行法未明確納入此項權利。本文在</w:t>
      </w:r>
      <w:proofErr w:type="gramStart"/>
      <w:r>
        <w:rPr>
          <w:rFonts w:eastAsia="Noto Serif CJK TC"/>
          <w:color w:val="1A202C"/>
        </w:rPr>
        <w:t>柒</w:t>
      </w:r>
      <w:proofErr w:type="gramEnd"/>
      <w:r>
        <w:rPr>
          <w:rFonts w:eastAsia="Noto Serif CJK TC"/>
          <w:color w:val="1A202C"/>
        </w:rPr>
        <w:t>章將進一步說明，這正是「形式再介入權限」與「實質再介入能力」落差的一個具體範例：第四條第二款賦予的是一個原則性方向，而非可操作、可主張的權限。</w:t>
      </w:r>
    </w:p>
    <w:p w:rsidR="00FF05A2" w:rsidRDefault="00EE6916">
      <w:pPr>
        <w:pStyle w:val="2"/>
        <w:spacing w:before="280" w:after="140" w:line="340" w:lineRule="auto"/>
      </w:pPr>
      <w:r>
        <w:rPr>
          <w:rFonts w:ascii="Noto Sans CJK TC" w:eastAsia="Noto Sans CJK TC" w:hAnsi="Noto Sans CJK TC" w:cs="Noto Sans CJK TC"/>
          <w:b/>
          <w:bCs/>
          <w:color w:val="1A365D"/>
          <w:sz w:val="27"/>
          <w:szCs w:val="27"/>
        </w:rPr>
        <w:lastRenderedPageBreak/>
        <w:t>六、責任與救濟</w:t>
      </w:r>
    </w:p>
    <w:p w:rsidR="00FF05A2" w:rsidRDefault="00EE6916">
      <w:pPr>
        <w:spacing w:after="180" w:line="340" w:lineRule="auto"/>
        <w:jc w:val="both"/>
      </w:pPr>
      <w:r>
        <w:rPr>
          <w:rFonts w:eastAsia="Noto Serif CJK TC"/>
          <w:color w:val="1A202C"/>
        </w:rPr>
        <w:t>第十七條規定，政府應就高風險人工智慧之應用，明確其責任歸屬及歸責條件，並建立其救濟、補償或保險機制；此一義務於研發階段前不適用，於實際應用測試階段方才適用。條文文字使用「建立」，顯示這是一項對政府課予的立法／</w:t>
      </w:r>
      <w:r>
        <w:rPr>
          <w:rFonts w:eastAsia="Noto Serif CJK TC"/>
          <w:color w:val="1A202C"/>
        </w:rPr>
        <w:t>行政義務，而非直接賦予人民可主張的具體救濟權。司改會聲明對此亦有評論，主張應確立人民「請求停止侵害及損害賠償（民事賠償、國家賠償）之權利」，但現行法文未見相關條文</w:t>
      </w:r>
      <w:proofErr w:type="gramStart"/>
      <w:r>
        <w:rPr>
          <w:rFonts w:eastAsia="Noto Serif CJK TC"/>
          <w:color w:val="1A202C"/>
        </w:rPr>
        <w:t>—</w:t>
      </w:r>
      <w:proofErr w:type="gramEnd"/>
      <w:r>
        <w:rPr>
          <w:rFonts w:eastAsia="Noto Serif CJK TC"/>
          <w:color w:val="1A202C"/>
        </w:rPr>
        <w:t>—</w:t>
      </w:r>
      <w:r>
        <w:rPr>
          <w:rFonts w:eastAsia="Noto Serif CJK TC"/>
          <w:color w:val="1A202C"/>
        </w:rPr>
        <w:t>第十七條要求政府「建立」機制，但機制的具體內容、是否創設獨立於既有民事賠償與國家賠償之外的新救濟途徑，</w:t>
      </w:r>
      <w:proofErr w:type="gramStart"/>
      <w:r>
        <w:rPr>
          <w:rFonts w:eastAsia="Noto Serif CJK TC"/>
          <w:color w:val="1A202C"/>
        </w:rPr>
        <w:t>均委</w:t>
      </w:r>
      <w:proofErr w:type="gramEnd"/>
      <w:r>
        <w:rPr>
          <w:rFonts w:eastAsia="Noto Serif CJK TC"/>
          <w:color w:val="1A202C"/>
        </w:rPr>
        <w:t>由後續子法決定。</w:t>
      </w:r>
    </w:p>
    <w:p w:rsidR="00FF05A2" w:rsidRDefault="00EE6916">
      <w:pPr>
        <w:pStyle w:val="2"/>
        <w:spacing w:before="280" w:after="140" w:line="340" w:lineRule="auto"/>
      </w:pPr>
      <w:r>
        <w:rPr>
          <w:rFonts w:ascii="Noto Sans CJK TC" w:eastAsia="Noto Sans CJK TC" w:hAnsi="Noto Sans CJK TC" w:cs="Noto Sans CJK TC"/>
          <w:b/>
          <w:bCs/>
          <w:color w:val="1A365D"/>
          <w:sz w:val="27"/>
          <w:szCs w:val="27"/>
        </w:rPr>
        <w:t>七、採購與外部供應商</w:t>
      </w:r>
    </w:p>
    <w:p w:rsidR="00FF05A2" w:rsidRDefault="00EE6916">
      <w:pPr>
        <w:spacing w:after="180" w:line="340" w:lineRule="auto"/>
        <w:jc w:val="both"/>
      </w:pPr>
      <w:r>
        <w:rPr>
          <w:rFonts w:eastAsia="Noto Serif CJK TC"/>
          <w:color w:val="1A202C"/>
        </w:rPr>
        <w:t>本文逐條檢視全文二十條後發現：現行文本並未見任何專門規範政府採購人工智慧系統、或政府與民間供應商間契約關係之條款。這是一項值得特別標注的空白</w:t>
      </w:r>
      <w:proofErr w:type="gramStart"/>
      <w:r>
        <w:rPr>
          <w:rFonts w:eastAsia="Noto Serif CJK TC"/>
          <w:color w:val="1A202C"/>
        </w:rPr>
        <w:t>—</w:t>
      </w:r>
      <w:proofErr w:type="gramEnd"/>
      <w:r>
        <w:rPr>
          <w:rFonts w:eastAsia="Noto Serif CJK TC"/>
          <w:color w:val="1A202C"/>
        </w:rPr>
        <w:t>—</w:t>
      </w:r>
      <w:r>
        <w:rPr>
          <w:rFonts w:eastAsia="Noto Serif CJK TC"/>
          <w:color w:val="1A202C"/>
        </w:rPr>
        <w:t>相較</w:t>
      </w:r>
      <w:proofErr w:type="gramStart"/>
      <w:r>
        <w:rPr>
          <w:rFonts w:eastAsia="Noto Serif CJK TC"/>
          <w:color w:val="1A202C"/>
        </w:rPr>
        <w:t>於肆</w:t>
      </w:r>
      <w:proofErr w:type="gramEnd"/>
      <w:r>
        <w:rPr>
          <w:rFonts w:eastAsia="Noto Serif CJK TC"/>
          <w:color w:val="1A202C"/>
        </w:rPr>
        <w:t>章將討論之歐盟人工智慧法對「供應商」（</w:t>
      </w:r>
      <w:r>
        <w:rPr>
          <w:rFonts w:eastAsia="Noto Serif CJK TC"/>
          <w:color w:val="1A202C"/>
        </w:rPr>
        <w:t>provi</w:t>
      </w:r>
      <w:r>
        <w:rPr>
          <w:rFonts w:eastAsia="Noto Serif CJK TC"/>
          <w:color w:val="1A202C"/>
        </w:rPr>
        <w:t>der</w:t>
      </w:r>
      <w:r>
        <w:rPr>
          <w:rFonts w:eastAsia="Noto Serif CJK TC"/>
          <w:color w:val="1A202C"/>
        </w:rPr>
        <w:t>）與「部</w:t>
      </w:r>
      <w:proofErr w:type="gramStart"/>
      <w:r>
        <w:rPr>
          <w:rFonts w:eastAsia="Noto Serif CJK TC"/>
          <w:color w:val="1A202C"/>
        </w:rPr>
        <w:t>署</w:t>
      </w:r>
      <w:proofErr w:type="gramEnd"/>
      <w:r>
        <w:rPr>
          <w:rFonts w:eastAsia="Noto Serif CJK TC"/>
          <w:color w:val="1A202C"/>
        </w:rPr>
        <w:t>者」（</w:t>
      </w:r>
      <w:r>
        <w:rPr>
          <w:rFonts w:eastAsia="Noto Serif CJK TC"/>
          <w:color w:val="1A202C"/>
        </w:rPr>
        <w:t>deployer</w:t>
      </w:r>
      <w:r>
        <w:rPr>
          <w:rFonts w:eastAsia="Noto Serif CJK TC"/>
          <w:color w:val="1A202C"/>
        </w:rPr>
        <w:t>）義務的明確區分，</w:t>
      </w:r>
      <w:proofErr w:type="gramStart"/>
      <w:r>
        <w:rPr>
          <w:rFonts w:eastAsia="Noto Serif CJK TC"/>
          <w:color w:val="1A202C"/>
        </w:rPr>
        <w:t>以及伍章</w:t>
      </w:r>
      <w:proofErr w:type="gramEnd"/>
      <w:r>
        <w:rPr>
          <w:rFonts w:eastAsia="Noto Serif CJK TC"/>
          <w:color w:val="1A202C"/>
        </w:rPr>
        <w:t>將討論之加拿大自動化決策指令對外部委製系統同樣要求完成演算法影響評估，臺灣人工智慧基本法現行文本對此軸線完全未觸及。這項空白對</w:t>
      </w:r>
      <w:r>
        <w:rPr>
          <w:rFonts w:eastAsia="Noto Serif CJK TC"/>
          <w:color w:val="1A202C"/>
        </w:rPr>
        <w:t xml:space="preserve"> 032 P4 </w:t>
      </w:r>
      <w:r>
        <w:rPr>
          <w:rFonts w:eastAsia="Noto Serif CJK TC"/>
          <w:color w:val="1A202C"/>
        </w:rPr>
        <w:t>外包風險命題有直接的意涵：若法律文本本身未規定政府於採購或委外契約中應保留原始碼託管權、模型文件取得權、獨立稽核權或強制停止契約權，則機關的認知與決策能力便更容易在委外過程中與私人供應商脫</w:t>
      </w:r>
      <w:proofErr w:type="gramStart"/>
      <w:r>
        <w:rPr>
          <w:rFonts w:eastAsia="Noto Serif CJK TC"/>
          <w:color w:val="1A202C"/>
        </w:rPr>
        <w:t>鉤</w:t>
      </w:r>
      <w:proofErr w:type="gramEnd"/>
      <w:r>
        <w:rPr>
          <w:rFonts w:eastAsia="Noto Serif CJK TC"/>
          <w:color w:val="1A202C"/>
        </w:rPr>
        <w:t>，而目前的法律文本尚未提供防止此一脫鉤的明文機制。</w:t>
      </w:r>
    </w:p>
    <w:p w:rsidR="00FF05A2" w:rsidRDefault="00EE6916">
      <w:pPr>
        <w:pStyle w:val="2"/>
        <w:spacing w:before="280" w:after="140" w:line="340" w:lineRule="auto"/>
      </w:pPr>
      <w:r>
        <w:rPr>
          <w:rFonts w:ascii="Noto Sans CJK TC" w:eastAsia="Noto Sans CJK TC" w:hAnsi="Noto Sans CJK TC" w:cs="Noto Sans CJK TC"/>
          <w:b/>
          <w:bCs/>
          <w:color w:val="1A365D"/>
          <w:sz w:val="27"/>
          <w:szCs w:val="27"/>
        </w:rPr>
        <w:t>八、目前子法制度</w:t>
      </w:r>
    </w:p>
    <w:p w:rsidR="00FF05A2" w:rsidRDefault="00EE6916">
      <w:pPr>
        <w:spacing w:after="180" w:line="340" w:lineRule="auto"/>
        <w:jc w:val="both"/>
      </w:pPr>
      <w:r>
        <w:rPr>
          <w:rFonts w:eastAsia="Noto Serif CJK TC"/>
          <w:color w:val="1A202C"/>
        </w:rPr>
        <w:t>第十八條規定，政府應於本法施行後兩年內，完成不</w:t>
      </w:r>
      <w:r>
        <w:rPr>
          <w:rFonts w:eastAsia="Noto Serif CJK TC"/>
          <w:color w:val="1A202C"/>
        </w:rPr>
        <w:t>符本法規定之法規、行政措施之制訂、修正或廢止</w:t>
      </w:r>
      <w:proofErr w:type="gramStart"/>
      <w:r>
        <w:rPr>
          <w:rFonts w:eastAsia="Noto Serif CJK TC"/>
          <w:color w:val="1A202C"/>
        </w:rPr>
        <w:t>—</w:t>
      </w:r>
      <w:proofErr w:type="gramEnd"/>
      <w:r>
        <w:rPr>
          <w:rFonts w:eastAsia="Noto Serif CJK TC"/>
          <w:color w:val="1A202C"/>
        </w:rPr>
        <w:t>—</w:t>
      </w:r>
      <w:r>
        <w:rPr>
          <w:rFonts w:eastAsia="Noto Serif CJK TC"/>
          <w:color w:val="1A202C"/>
        </w:rPr>
        <w:t>以</w:t>
      </w:r>
      <w:r>
        <w:rPr>
          <w:rFonts w:eastAsia="Noto Serif CJK TC"/>
          <w:color w:val="1A202C"/>
        </w:rPr>
        <w:t>2026</w:t>
      </w:r>
      <w:r>
        <w:rPr>
          <w:rFonts w:eastAsia="Noto Serif CJK TC"/>
          <w:color w:val="1A202C"/>
        </w:rPr>
        <w:t>年</w:t>
      </w:r>
      <w:r>
        <w:rPr>
          <w:rFonts w:eastAsia="Noto Serif CJK TC"/>
          <w:color w:val="1A202C"/>
        </w:rPr>
        <w:t>1</w:t>
      </w:r>
      <w:r>
        <w:rPr>
          <w:rFonts w:eastAsia="Noto Serif CJK TC"/>
          <w:color w:val="1A202C"/>
        </w:rPr>
        <w:t>月</w:t>
      </w:r>
      <w:r>
        <w:rPr>
          <w:rFonts w:eastAsia="Noto Serif CJK TC"/>
          <w:color w:val="1A202C"/>
        </w:rPr>
        <w:t>14</w:t>
      </w:r>
      <w:r>
        <w:rPr>
          <w:rFonts w:eastAsia="Noto Serif CJK TC"/>
          <w:color w:val="1A202C"/>
        </w:rPr>
        <w:t>日施行日計算，這項檢討修正之期限約至</w:t>
      </w:r>
      <w:r>
        <w:rPr>
          <w:rFonts w:eastAsia="Noto Serif CJK TC"/>
          <w:color w:val="1A202C"/>
        </w:rPr>
        <w:t>2028</w:t>
      </w:r>
      <w:r>
        <w:rPr>
          <w:rFonts w:eastAsia="Noto Serif CJK TC"/>
          <w:color w:val="1A202C"/>
        </w:rPr>
        <w:t>年</w:t>
      </w:r>
      <w:r>
        <w:rPr>
          <w:rFonts w:eastAsia="Noto Serif CJK TC"/>
          <w:color w:val="1A202C"/>
        </w:rPr>
        <w:t>1</w:t>
      </w:r>
      <w:r>
        <w:rPr>
          <w:rFonts w:eastAsia="Noto Serif CJK TC"/>
          <w:color w:val="1A202C"/>
        </w:rPr>
        <w:t>月。本文完稿時（</w:t>
      </w:r>
      <w:r>
        <w:rPr>
          <w:rFonts w:eastAsia="Noto Serif CJK TC"/>
          <w:color w:val="1A202C"/>
        </w:rPr>
        <w:t>2026</w:t>
      </w:r>
      <w:r>
        <w:rPr>
          <w:rFonts w:eastAsia="Noto Serif CJK TC"/>
          <w:color w:val="1A202C"/>
        </w:rPr>
        <w:t>年</w:t>
      </w:r>
      <w:r>
        <w:rPr>
          <w:rFonts w:eastAsia="Noto Serif CJK TC"/>
          <w:color w:val="1A202C"/>
        </w:rPr>
        <w:t>8</w:t>
      </w:r>
      <w:r>
        <w:rPr>
          <w:rFonts w:eastAsia="Noto Serif CJK TC"/>
          <w:color w:val="1A202C"/>
        </w:rPr>
        <w:t>月），第十六條之風險分類管理規範、第十七條之救濟補償機制、第十九條之政府使用人工智慧內控機制等操作性核心子法，多數尚未正式發布。這意味著本文以上逐條審計所呈現的，是本法「母法文本」本身現有的規定強度，而非最終將實際運作的完整制度圖像；</w:t>
      </w:r>
      <w:proofErr w:type="gramStart"/>
      <w:r>
        <w:rPr>
          <w:rFonts w:eastAsia="Noto Serif CJK TC"/>
          <w:color w:val="1A202C"/>
        </w:rPr>
        <w:t>陸章之</w:t>
      </w:r>
      <w:proofErr w:type="gramEnd"/>
      <w:r>
        <w:rPr>
          <w:rFonts w:eastAsia="Noto Serif CJK TC"/>
          <w:color w:val="1A202C"/>
        </w:rPr>
        <w:t>比較圖表亦將明確註記此一時間侷限。</w:t>
      </w:r>
    </w:p>
    <w:p w:rsidR="00FF05A2" w:rsidRDefault="00EE6916">
      <w:pPr>
        <w:pStyle w:val="1"/>
        <w:spacing w:before="360" w:after="200" w:line="360" w:lineRule="auto"/>
      </w:pPr>
      <w:r>
        <w:rPr>
          <w:rFonts w:ascii="Noto Sans CJK TC" w:eastAsia="Noto Sans CJK TC" w:hAnsi="Noto Sans CJK TC" w:cs="Noto Sans CJK TC"/>
          <w:b/>
          <w:bCs/>
          <w:color w:val="1A365D"/>
        </w:rPr>
        <w:t>肆、歐盟人工智慧法</w:t>
      </w:r>
    </w:p>
    <w:p w:rsidR="00FF05A2" w:rsidRDefault="00EE6916">
      <w:pPr>
        <w:spacing w:after="180" w:line="340" w:lineRule="auto"/>
        <w:jc w:val="both"/>
      </w:pPr>
      <w:r>
        <w:rPr>
          <w:rFonts w:eastAsia="Noto Serif CJK TC"/>
          <w:color w:val="1A202C"/>
        </w:rPr>
        <w:t>歐盟《人工智慧法》（</w:t>
      </w:r>
      <w:r>
        <w:rPr>
          <w:rFonts w:eastAsia="Noto Serif CJK TC"/>
          <w:color w:val="1A202C"/>
        </w:rPr>
        <w:t>Regulation (EU) 2024/1689</w:t>
      </w:r>
      <w:r>
        <w:rPr>
          <w:rFonts w:eastAsia="Noto Serif CJK TC"/>
          <w:color w:val="1A202C"/>
        </w:rPr>
        <w:t>）於</w:t>
      </w:r>
      <w:r>
        <w:rPr>
          <w:rFonts w:eastAsia="Noto Serif CJK TC"/>
          <w:color w:val="1A202C"/>
        </w:rPr>
        <w:t>2024</w:t>
      </w:r>
      <w:r>
        <w:rPr>
          <w:rFonts w:eastAsia="Noto Serif CJK TC"/>
          <w:color w:val="1A202C"/>
        </w:rPr>
        <w:t>年</w:t>
      </w:r>
      <w:r>
        <w:rPr>
          <w:rFonts w:eastAsia="Noto Serif CJK TC"/>
          <w:color w:val="1A202C"/>
        </w:rPr>
        <w:t>8</w:t>
      </w:r>
      <w:r>
        <w:rPr>
          <w:rFonts w:eastAsia="Noto Serif CJK TC"/>
          <w:color w:val="1A202C"/>
        </w:rPr>
        <w:t>月</w:t>
      </w:r>
      <w:r>
        <w:rPr>
          <w:rFonts w:eastAsia="Noto Serif CJK TC"/>
          <w:color w:val="1A202C"/>
        </w:rPr>
        <w:t>1</w:t>
      </w:r>
      <w:r>
        <w:rPr>
          <w:rFonts w:eastAsia="Noto Serif CJK TC"/>
          <w:color w:val="1A202C"/>
        </w:rPr>
        <w:t>日生效，性質為直接生效之歐盟規章，無須經會員國另行國內轉換立法即對全體會員國發生拘束力。以下依相同架構逐項審計。</w:t>
      </w:r>
    </w:p>
    <w:p w:rsidR="00FF05A2" w:rsidRDefault="00EE6916">
      <w:pPr>
        <w:pStyle w:val="2"/>
        <w:spacing w:before="280" w:after="140" w:line="340" w:lineRule="auto"/>
      </w:pPr>
      <w:r>
        <w:rPr>
          <w:rFonts w:ascii="Noto Sans CJK TC" w:eastAsia="Noto Sans CJK TC" w:hAnsi="Noto Sans CJK TC" w:cs="Noto Sans CJK TC"/>
          <w:b/>
          <w:bCs/>
          <w:color w:val="1A365D"/>
          <w:sz w:val="27"/>
          <w:szCs w:val="27"/>
        </w:rPr>
        <w:t>一、法律定位與生效期程</w:t>
      </w:r>
    </w:p>
    <w:p w:rsidR="00FF05A2" w:rsidRDefault="00EE6916">
      <w:pPr>
        <w:spacing w:after="180" w:line="340" w:lineRule="auto"/>
        <w:jc w:val="both"/>
      </w:pPr>
      <w:r>
        <w:rPr>
          <w:rFonts w:eastAsia="Noto Serif CJK TC"/>
          <w:color w:val="1A202C"/>
        </w:rPr>
        <w:lastRenderedPageBreak/>
        <w:t>在說明歐盟人工智慧法之法律定位前，本文須先重申貳</w:t>
      </w:r>
      <w:r>
        <w:rPr>
          <w:rFonts w:eastAsia="Noto Serif CJK TC"/>
          <w:color w:val="1A202C"/>
        </w:rPr>
        <w:t>-</w:t>
      </w:r>
      <w:r>
        <w:rPr>
          <w:rFonts w:eastAsia="Noto Serif CJK TC"/>
          <w:color w:val="1A202C"/>
        </w:rPr>
        <w:t>四節已提出、但容易被讀者忽略的一項方法論限制：臺灣、歐盟、加拿大三者並非處於同一</w:t>
      </w:r>
      <w:proofErr w:type="gramStart"/>
      <w:r>
        <w:rPr>
          <w:rFonts w:eastAsia="Noto Serif CJK TC"/>
          <w:color w:val="1A202C"/>
        </w:rPr>
        <w:t>個</w:t>
      </w:r>
      <w:proofErr w:type="gramEnd"/>
      <w:r>
        <w:rPr>
          <w:rFonts w:eastAsia="Noto Serif CJK TC"/>
          <w:color w:val="1A202C"/>
        </w:rPr>
        <w:t>國家法秩序之內，本文所稱「法律位階」不能被理解為一條可將三者直接排上單一縱向階梯的抽象位階，而是指各文本在其所屬法秩序中的拘束來源、適用範圍、修正程序與</w:t>
      </w:r>
      <w:r>
        <w:rPr>
          <w:rFonts w:eastAsia="Noto Serif CJK TC"/>
          <w:color w:val="1A202C"/>
        </w:rPr>
        <w:t>制度穩定性</w:t>
      </w:r>
      <w:r>
        <w:rPr>
          <w:rFonts w:eastAsia="Noto Serif CJK TC"/>
          <w:color w:val="1A202C"/>
        </w:rPr>
        <w:t>——</w:t>
      </w:r>
      <w:r>
        <w:rPr>
          <w:rFonts w:eastAsia="Noto Serif CJK TC"/>
          <w:color w:val="1A202C"/>
        </w:rPr>
        <w:t>換言之，本文比較的是「拘束力、適用範圍、修正門檻與可執行性」，而非主張歐盟規章在抽象意義上必然高於臺灣法律或加拿大政策指令。就此四項具體指標而言，歐盟人工智慧法作為「規章」（</w:t>
      </w:r>
      <w:r>
        <w:rPr>
          <w:rFonts w:eastAsia="Noto Serif CJK TC"/>
          <w:color w:val="1A202C"/>
        </w:rPr>
        <w:t>Regulation</w:t>
      </w:r>
      <w:r>
        <w:rPr>
          <w:rFonts w:eastAsia="Noto Serif CJK TC"/>
          <w:color w:val="1A202C"/>
        </w:rPr>
        <w:t>）而非「指令」（</w:t>
      </w:r>
      <w:r>
        <w:rPr>
          <w:rFonts w:eastAsia="Noto Serif CJK TC"/>
          <w:color w:val="1A202C"/>
        </w:rPr>
        <w:t>Directive</w:t>
      </w:r>
      <w:r>
        <w:rPr>
          <w:rFonts w:eastAsia="Noto Serif CJK TC"/>
          <w:color w:val="1A202C"/>
        </w:rPr>
        <w:t>），對全體會員國具有直接生效之拘束力，其修正須經歐洲議會與理事會之立法程序（如本節以下所述之</w:t>
      </w:r>
      <w:r>
        <w:rPr>
          <w:rFonts w:eastAsia="Noto Serif CJK TC"/>
          <w:color w:val="1A202C"/>
        </w:rPr>
        <w:t xml:space="preserve"> Digital Omnibus</w:t>
      </w:r>
      <w:r>
        <w:rPr>
          <w:rFonts w:eastAsia="Noto Serif CJK TC"/>
          <w:color w:val="1A202C"/>
        </w:rPr>
        <w:t>）；臺灣人工智慧基本法是經立法院三讀通過之國內法律，其修正同樣須經立法院，但其操作性內容</w:t>
      </w:r>
      <w:proofErr w:type="gramStart"/>
      <w:r>
        <w:rPr>
          <w:rFonts w:eastAsia="Noto Serif CJK TC"/>
          <w:color w:val="1A202C"/>
        </w:rPr>
        <w:t>大量委</w:t>
      </w:r>
      <w:proofErr w:type="gramEnd"/>
      <w:r>
        <w:rPr>
          <w:rFonts w:eastAsia="Noto Serif CJK TC"/>
          <w:color w:val="1A202C"/>
        </w:rPr>
        <w:t>由行政機關訂定之子法填補；加拿大自動化決策指令則是財</w:t>
      </w:r>
      <w:r>
        <w:rPr>
          <w:rFonts w:eastAsia="Noto Serif CJK TC"/>
          <w:color w:val="1A202C"/>
        </w:rPr>
        <w:t>政部依《財務管理法》訂定之政策工具，修正權限完全在財政部本部，無須經國會或內閣審議。三者在「修正門檻」這一項指標上，確實呈現加拿大最低、臺灣與</w:t>
      </w:r>
      <w:proofErr w:type="gramStart"/>
      <w:r>
        <w:rPr>
          <w:rFonts w:eastAsia="Noto Serif CJK TC"/>
          <w:color w:val="1A202C"/>
        </w:rPr>
        <w:t>歐盟均須經</w:t>
      </w:r>
      <w:proofErr w:type="gramEnd"/>
      <w:r>
        <w:rPr>
          <w:rFonts w:eastAsia="Noto Serif CJK TC"/>
          <w:color w:val="1A202C"/>
        </w:rPr>
        <w:t>立法程序的差異，但這是四項具體指標比較後的結論，而非一條抽象位階階梯的起點。本文完稿前另發生一項重要變動，須在此明確記載：原訂於</w:t>
      </w:r>
      <w:r>
        <w:rPr>
          <w:rFonts w:eastAsia="Noto Serif CJK TC"/>
          <w:color w:val="1A202C"/>
        </w:rPr>
        <w:t>2026</w:t>
      </w:r>
      <w:r>
        <w:rPr>
          <w:rFonts w:eastAsia="Noto Serif CJK TC"/>
          <w:color w:val="1A202C"/>
        </w:rPr>
        <w:t>年</w:t>
      </w:r>
      <w:r>
        <w:rPr>
          <w:rFonts w:eastAsia="Noto Serif CJK TC"/>
          <w:color w:val="1A202C"/>
        </w:rPr>
        <w:t>8</w:t>
      </w:r>
      <w:r>
        <w:rPr>
          <w:rFonts w:eastAsia="Noto Serif CJK TC"/>
          <w:color w:val="1A202C"/>
        </w:rPr>
        <w:t>月</w:t>
      </w:r>
      <w:r>
        <w:rPr>
          <w:rFonts w:eastAsia="Noto Serif CJK TC"/>
          <w:color w:val="1A202C"/>
        </w:rPr>
        <w:t>2</w:t>
      </w:r>
      <w:r>
        <w:rPr>
          <w:rFonts w:eastAsia="Noto Serif CJK TC"/>
          <w:color w:val="1A202C"/>
        </w:rPr>
        <w:t>日生效之高風險人工智慧系統義務（適用於</w:t>
      </w:r>
      <w:r>
        <w:rPr>
          <w:rFonts w:eastAsia="Noto Serif CJK TC"/>
          <w:color w:val="1A202C"/>
        </w:rPr>
        <w:t xml:space="preserve"> Annex III </w:t>
      </w:r>
      <w:r>
        <w:rPr>
          <w:rFonts w:eastAsia="Noto Serif CJK TC"/>
          <w:color w:val="1A202C"/>
        </w:rPr>
        <w:t>所列之獨立高風險用途，如生物辨識、關鍵基礎設施、就業、教育、基本公共服務、執法等領域），經由「</w:t>
      </w:r>
      <w:r>
        <w:rPr>
          <w:rFonts w:eastAsia="Noto Serif CJK TC"/>
          <w:color w:val="1A202C"/>
        </w:rPr>
        <w:t>Digital Omnibus</w:t>
      </w:r>
      <w:r>
        <w:rPr>
          <w:rFonts w:eastAsia="Noto Serif CJK TC"/>
          <w:color w:val="1A202C"/>
        </w:rPr>
        <w:t>」修正案（</w:t>
      </w:r>
      <w:r>
        <w:rPr>
          <w:rFonts w:eastAsia="Noto Serif CJK TC"/>
          <w:color w:val="1A202C"/>
        </w:rPr>
        <w:t xml:space="preserve">Regulation </w:t>
      </w:r>
      <w:r>
        <w:rPr>
          <w:rFonts w:eastAsia="Noto Serif CJK TC"/>
          <w:color w:val="1A202C"/>
        </w:rPr>
        <w:t>(EU) 2026/1744</w:t>
      </w:r>
      <w:r>
        <w:rPr>
          <w:rFonts w:eastAsia="Noto Serif CJK TC"/>
          <w:color w:val="1A202C"/>
        </w:rPr>
        <w:t>）延後至</w:t>
      </w:r>
      <w:r>
        <w:rPr>
          <w:rFonts w:eastAsia="Noto Serif CJK TC"/>
          <w:color w:val="1A202C"/>
        </w:rPr>
        <w:t>2027</w:t>
      </w:r>
      <w:r>
        <w:rPr>
          <w:rFonts w:eastAsia="Noto Serif CJK TC"/>
          <w:color w:val="1A202C"/>
        </w:rPr>
        <w:t>年</w:t>
      </w:r>
      <w:r>
        <w:rPr>
          <w:rFonts w:eastAsia="Noto Serif CJK TC"/>
          <w:color w:val="1A202C"/>
        </w:rPr>
        <w:t>12</w:t>
      </w:r>
      <w:r>
        <w:rPr>
          <w:rFonts w:eastAsia="Noto Serif CJK TC"/>
          <w:color w:val="1A202C"/>
        </w:rPr>
        <w:t>月</w:t>
      </w:r>
      <w:r>
        <w:rPr>
          <w:rFonts w:eastAsia="Noto Serif CJK TC"/>
          <w:color w:val="1A202C"/>
        </w:rPr>
        <w:t>2</w:t>
      </w:r>
      <w:r>
        <w:rPr>
          <w:rFonts w:eastAsia="Noto Serif CJK TC"/>
          <w:color w:val="1A202C"/>
        </w:rPr>
        <w:t>日；內嵌於產品安全法規之高風險系統（</w:t>
      </w:r>
      <w:r>
        <w:rPr>
          <w:rFonts w:eastAsia="Noto Serif CJK TC"/>
          <w:color w:val="1A202C"/>
        </w:rPr>
        <w:t xml:space="preserve">Annex I </w:t>
      </w:r>
      <w:r>
        <w:rPr>
          <w:rFonts w:eastAsia="Noto Serif CJK TC"/>
          <w:color w:val="1A202C"/>
        </w:rPr>
        <w:t>類，如醫療器材、機械、車輛）義務則延後至</w:t>
      </w:r>
      <w:r>
        <w:rPr>
          <w:rFonts w:eastAsia="Noto Serif CJK TC"/>
          <w:color w:val="1A202C"/>
        </w:rPr>
        <w:t>2028</w:t>
      </w:r>
      <w:r>
        <w:rPr>
          <w:rFonts w:eastAsia="Noto Serif CJK TC"/>
          <w:color w:val="1A202C"/>
        </w:rPr>
        <w:t>年</w:t>
      </w:r>
      <w:r>
        <w:rPr>
          <w:rFonts w:eastAsia="Noto Serif CJK TC"/>
          <w:color w:val="1A202C"/>
        </w:rPr>
        <w:t>8</w:t>
      </w:r>
      <w:r>
        <w:rPr>
          <w:rFonts w:eastAsia="Noto Serif CJK TC"/>
          <w:color w:val="1A202C"/>
        </w:rPr>
        <w:t>月</w:t>
      </w:r>
      <w:r>
        <w:rPr>
          <w:rFonts w:eastAsia="Noto Serif CJK TC"/>
          <w:color w:val="1A202C"/>
        </w:rPr>
        <w:t>2</w:t>
      </w:r>
      <w:r>
        <w:rPr>
          <w:rFonts w:eastAsia="Noto Serif CJK TC"/>
          <w:color w:val="1A202C"/>
        </w:rPr>
        <w:t>日。該修正案已於</w:t>
      </w:r>
      <w:r>
        <w:rPr>
          <w:rFonts w:eastAsia="Noto Serif CJK TC"/>
          <w:color w:val="1A202C"/>
        </w:rPr>
        <w:t>2026</w:t>
      </w:r>
      <w:r>
        <w:rPr>
          <w:rFonts w:eastAsia="Noto Serif CJK TC"/>
          <w:color w:val="1A202C"/>
        </w:rPr>
        <w:t>年</w:t>
      </w:r>
      <w:r>
        <w:rPr>
          <w:rFonts w:eastAsia="Noto Serif CJK TC"/>
          <w:color w:val="1A202C"/>
        </w:rPr>
        <w:t>7</w:t>
      </w:r>
      <w:r>
        <w:rPr>
          <w:rFonts w:eastAsia="Noto Serif CJK TC"/>
          <w:color w:val="1A202C"/>
        </w:rPr>
        <w:t>月</w:t>
      </w:r>
      <w:r>
        <w:rPr>
          <w:rFonts w:eastAsia="Noto Serif CJK TC"/>
          <w:color w:val="1A202C"/>
        </w:rPr>
        <w:t>24</w:t>
      </w:r>
      <w:r>
        <w:rPr>
          <w:rFonts w:eastAsia="Noto Serif CJK TC"/>
          <w:color w:val="1A202C"/>
        </w:rPr>
        <w:t>日公布於歐盟官方公報、</w:t>
      </w:r>
      <w:r>
        <w:rPr>
          <w:rFonts w:eastAsia="Noto Serif CJK TC"/>
          <w:color w:val="1A202C"/>
        </w:rPr>
        <w:t>2026</w:t>
      </w:r>
      <w:r>
        <w:rPr>
          <w:rFonts w:eastAsia="Noto Serif CJK TC"/>
          <w:color w:val="1A202C"/>
        </w:rPr>
        <w:t>年</w:t>
      </w:r>
      <w:r>
        <w:rPr>
          <w:rFonts w:eastAsia="Noto Serif CJK TC"/>
          <w:color w:val="1A202C"/>
        </w:rPr>
        <w:t>7</w:t>
      </w:r>
      <w:r>
        <w:rPr>
          <w:rFonts w:eastAsia="Noto Serif CJK TC"/>
          <w:color w:val="1A202C"/>
        </w:rPr>
        <w:t>月</w:t>
      </w:r>
      <w:r>
        <w:rPr>
          <w:rFonts w:eastAsia="Noto Serif CJK TC"/>
          <w:color w:val="1A202C"/>
        </w:rPr>
        <w:t>27</w:t>
      </w:r>
      <w:r>
        <w:rPr>
          <w:rFonts w:eastAsia="Noto Serif CJK TC"/>
          <w:color w:val="1A202C"/>
        </w:rPr>
        <w:t>日生效。這項修正對本文的比較有直接意涵：截至本文完稿之</w:t>
      </w:r>
      <w:r>
        <w:rPr>
          <w:rFonts w:eastAsia="Noto Serif CJK TC"/>
          <w:color w:val="1A202C"/>
        </w:rPr>
        <w:t>2026</w:t>
      </w:r>
      <w:r>
        <w:rPr>
          <w:rFonts w:eastAsia="Noto Serif CJK TC"/>
          <w:color w:val="1A202C"/>
        </w:rPr>
        <w:t>年</w:t>
      </w:r>
      <w:r>
        <w:rPr>
          <w:rFonts w:eastAsia="Noto Serif CJK TC"/>
          <w:color w:val="1A202C"/>
        </w:rPr>
        <w:t>8</w:t>
      </w:r>
      <w:r>
        <w:rPr>
          <w:rFonts w:eastAsia="Noto Serif CJK TC"/>
          <w:color w:val="1A202C"/>
        </w:rPr>
        <w:t>月，</w:t>
      </w:r>
      <w:proofErr w:type="gramStart"/>
      <w:r>
        <w:rPr>
          <w:rFonts w:eastAsia="Noto Serif CJK TC"/>
          <w:color w:val="1A202C"/>
        </w:rPr>
        <w:t>肆章以下</w:t>
      </w:r>
      <w:proofErr w:type="gramEnd"/>
      <w:r>
        <w:rPr>
          <w:rFonts w:eastAsia="Noto Serif CJK TC"/>
          <w:color w:val="1A202C"/>
        </w:rPr>
        <w:t>審計之各項高風險系統義務條文，雖已明文規定於歐盟人工智慧法文本之中，但對多數獨立型高風險系統而言，其強制適用時點已被延後至</w:t>
      </w:r>
      <w:r>
        <w:rPr>
          <w:rFonts w:eastAsia="Noto Serif CJK TC"/>
          <w:color w:val="1A202C"/>
        </w:rPr>
        <w:t>2027</w:t>
      </w:r>
      <w:r>
        <w:rPr>
          <w:rFonts w:eastAsia="Noto Serif CJK TC"/>
          <w:color w:val="1A202C"/>
        </w:rPr>
        <w:t>年</w:t>
      </w:r>
      <w:r>
        <w:rPr>
          <w:rFonts w:eastAsia="Noto Serif CJK TC"/>
          <w:color w:val="1A202C"/>
        </w:rPr>
        <w:t>12</w:t>
      </w:r>
      <w:r>
        <w:rPr>
          <w:rFonts w:eastAsia="Noto Serif CJK TC"/>
          <w:color w:val="1A202C"/>
        </w:rPr>
        <w:t>月，本文之審計對象是「文本已明定但尚未全面強制施行」的規範強度</w:t>
      </w:r>
      <w:r>
        <w:rPr>
          <w:rFonts w:eastAsia="Noto Serif CJK TC"/>
          <w:color w:val="1A202C"/>
        </w:rPr>
        <w:t>，而非「已在全面執行中」的現況，讀者於援引本文之比較結果時應留意此一時間差。</w:t>
      </w:r>
    </w:p>
    <w:p w:rsidR="00FF05A2" w:rsidRDefault="00EE6916">
      <w:pPr>
        <w:pStyle w:val="2"/>
        <w:spacing w:before="280" w:after="140" w:line="340" w:lineRule="auto"/>
      </w:pPr>
      <w:r>
        <w:rPr>
          <w:rFonts w:ascii="Noto Sans CJK TC" w:eastAsia="Noto Sans CJK TC" w:hAnsi="Noto Sans CJK TC" w:cs="Noto Sans CJK TC"/>
          <w:b/>
          <w:bCs/>
          <w:color w:val="1A365D"/>
          <w:sz w:val="27"/>
          <w:szCs w:val="27"/>
        </w:rPr>
        <w:t>二、認知能力：技術文件與紀錄義務</w:t>
      </w:r>
    </w:p>
    <w:p w:rsidR="00FF05A2" w:rsidRDefault="00EE6916">
      <w:pPr>
        <w:spacing w:after="180" w:line="340" w:lineRule="auto"/>
        <w:jc w:val="both"/>
      </w:pPr>
      <w:r>
        <w:rPr>
          <w:rFonts w:eastAsia="Noto Serif CJK TC"/>
          <w:color w:val="1A202C"/>
        </w:rPr>
        <w:t>第十一條要求高風險系統之供應商備置技術文件，第十二條要求系統具備自動紀錄（日誌）功能，以確保系統運作全程可追溯。這兩項條文提供了具體、可查核的認知能力機制，本文審計結果為「條文已明定具體機制」。惟需特別指出：這兩項義務主要課予「供應商」（</w:t>
      </w:r>
      <w:r>
        <w:rPr>
          <w:rFonts w:eastAsia="Noto Serif CJK TC"/>
          <w:color w:val="1A202C"/>
        </w:rPr>
        <w:t>provider</w:t>
      </w:r>
      <w:r>
        <w:rPr>
          <w:rFonts w:eastAsia="Noto Serif CJK TC"/>
          <w:color w:val="1A202C"/>
        </w:rPr>
        <w:t>）而非「部</w:t>
      </w:r>
      <w:proofErr w:type="gramStart"/>
      <w:r>
        <w:rPr>
          <w:rFonts w:eastAsia="Noto Serif CJK TC"/>
          <w:color w:val="1A202C"/>
        </w:rPr>
        <w:t>署者</w:t>
      </w:r>
      <w:proofErr w:type="gramEnd"/>
      <w:r>
        <w:rPr>
          <w:rFonts w:eastAsia="Noto Serif CJK TC"/>
          <w:color w:val="1A202C"/>
        </w:rPr>
        <w:t>」（</w:t>
      </w:r>
      <w:r>
        <w:rPr>
          <w:rFonts w:eastAsia="Noto Serif CJK TC"/>
          <w:color w:val="1A202C"/>
        </w:rPr>
        <w:t>deployer</w:t>
      </w:r>
      <w:r>
        <w:rPr>
          <w:rFonts w:eastAsia="Noto Serif CJK TC"/>
          <w:color w:val="1A202C"/>
        </w:rPr>
        <w:t>，通常即實際使用系統之公部門機關），部署系統之政府機關對系統內部邏輯的認知能力，實際上高度仰賴供應商是否配合提供</w:t>
      </w:r>
      <w:r>
        <w:rPr>
          <w:rFonts w:eastAsia="Noto Serif CJK TC"/>
          <w:color w:val="1A202C"/>
        </w:rPr>
        <w:t>完整技術文件</w:t>
      </w:r>
      <w:r>
        <w:rPr>
          <w:rFonts w:eastAsia="Noto Serif CJK TC"/>
          <w:color w:val="1A202C"/>
        </w:rPr>
        <w:t>——</w:t>
      </w:r>
      <w:r>
        <w:rPr>
          <w:rFonts w:eastAsia="Noto Serif CJK TC"/>
          <w:color w:val="1A202C"/>
        </w:rPr>
        <w:t>這正是</w:t>
      </w:r>
      <w:r>
        <w:rPr>
          <w:rFonts w:eastAsia="Noto Serif CJK TC"/>
          <w:color w:val="1A202C"/>
        </w:rPr>
        <w:t xml:space="preserve"> 032 P4 </w:t>
      </w:r>
      <w:r>
        <w:rPr>
          <w:rFonts w:eastAsia="Noto Serif CJK TC"/>
          <w:color w:val="1A202C"/>
        </w:rPr>
        <w:t>外包風險命題所描述的脫鉤風險在歐盟法律文本中的具體對應：即使法律文本要求技術文件之存在，若機關本身無法直接取得或理解該文件，其認知能力仍可能停留在名義層次。</w:t>
      </w:r>
    </w:p>
    <w:p w:rsidR="00FF05A2" w:rsidRDefault="00EE6916">
      <w:pPr>
        <w:pStyle w:val="2"/>
        <w:spacing w:before="280" w:after="140" w:line="340" w:lineRule="auto"/>
      </w:pPr>
      <w:r>
        <w:rPr>
          <w:rFonts w:ascii="Noto Sans CJK TC" w:eastAsia="Noto Sans CJK TC" w:hAnsi="Noto Sans CJK TC" w:cs="Noto Sans CJK TC"/>
          <w:b/>
          <w:bCs/>
          <w:color w:val="1A365D"/>
          <w:sz w:val="27"/>
          <w:szCs w:val="27"/>
        </w:rPr>
        <w:t>三、決策能力：人類監督與停止機制</w:t>
      </w:r>
    </w:p>
    <w:p w:rsidR="00FF05A2" w:rsidRDefault="00EE6916">
      <w:pPr>
        <w:spacing w:after="180" w:line="340" w:lineRule="auto"/>
        <w:jc w:val="both"/>
      </w:pPr>
      <w:r>
        <w:rPr>
          <w:rFonts w:eastAsia="Noto Serif CJK TC"/>
          <w:color w:val="1A202C"/>
        </w:rPr>
        <w:t>第十四條是本文三</w:t>
      </w:r>
      <w:proofErr w:type="gramStart"/>
      <w:r>
        <w:rPr>
          <w:rFonts w:eastAsia="Noto Serif CJK TC"/>
          <w:color w:val="1A202C"/>
        </w:rPr>
        <w:t>法域審計</w:t>
      </w:r>
      <w:proofErr w:type="gramEnd"/>
      <w:r>
        <w:rPr>
          <w:rFonts w:eastAsia="Noto Serif CJK TC"/>
          <w:color w:val="1A202C"/>
        </w:rPr>
        <w:t>中，對決策能力規定最具體的條文。該條第一項要求高風險系統之</w:t>
      </w:r>
      <w:r>
        <w:rPr>
          <w:rFonts w:eastAsia="Noto Serif CJK TC"/>
          <w:color w:val="1A202C"/>
        </w:rPr>
        <w:lastRenderedPageBreak/>
        <w:t>設計應使自然人得以在系統使用期間對其進行有效監督；第四項具體列舉部署者應被賦予之能力，包括：理解系統能力與限制並監控其運作、辨識</w:t>
      </w:r>
      <w:proofErr w:type="gramStart"/>
      <w:r>
        <w:rPr>
          <w:rFonts w:eastAsia="Noto Serif CJK TC"/>
          <w:color w:val="1A202C"/>
        </w:rPr>
        <w:t>自動化偏誤之</w:t>
      </w:r>
      <w:proofErr w:type="gramEnd"/>
      <w:r>
        <w:rPr>
          <w:rFonts w:eastAsia="Noto Serif CJK TC"/>
          <w:color w:val="1A202C"/>
        </w:rPr>
        <w:t>傾向、正確解讀系統輸出、決定不使用或推翻系統輸出、以及於必要</w:t>
      </w:r>
      <w:r>
        <w:rPr>
          <w:rFonts w:eastAsia="Noto Serif CJK TC"/>
          <w:color w:val="1A202C"/>
        </w:rPr>
        <w:t>時安全介入或停止系統運作。</w:t>
      </w:r>
      <w:proofErr w:type="gramStart"/>
      <w:r>
        <w:rPr>
          <w:rFonts w:eastAsia="Noto Serif CJK TC"/>
          <w:color w:val="1A202C"/>
        </w:rPr>
        <w:t>第五項並規定</w:t>
      </w:r>
      <w:proofErr w:type="gramEnd"/>
      <w:r>
        <w:rPr>
          <w:rFonts w:eastAsia="Noto Serif CJK TC"/>
          <w:color w:val="1A202C"/>
        </w:rPr>
        <w:t>，對特定生物辨識系統（</w:t>
      </w:r>
      <w:r>
        <w:rPr>
          <w:rFonts w:eastAsia="Noto Serif CJK TC"/>
          <w:color w:val="1A202C"/>
        </w:rPr>
        <w:t xml:space="preserve">Annex III </w:t>
      </w:r>
      <w:r>
        <w:rPr>
          <w:rFonts w:eastAsia="Noto Serif CJK TC"/>
          <w:color w:val="1A202C"/>
        </w:rPr>
        <w:t>第</w:t>
      </w:r>
      <w:r>
        <w:rPr>
          <w:rFonts w:eastAsia="Noto Serif CJK TC"/>
          <w:color w:val="1A202C"/>
        </w:rPr>
        <w:t>1</w:t>
      </w:r>
      <w:r>
        <w:rPr>
          <w:rFonts w:eastAsia="Noto Serif CJK TC"/>
          <w:color w:val="1A202C"/>
        </w:rPr>
        <w:t>點</w:t>
      </w:r>
      <w:r>
        <w:rPr>
          <w:rFonts w:eastAsia="Noto Serif CJK TC"/>
          <w:color w:val="1A202C"/>
        </w:rPr>
        <w:t>(a)</w:t>
      </w:r>
      <w:r>
        <w:rPr>
          <w:rFonts w:eastAsia="Noto Serif CJK TC"/>
          <w:color w:val="1A202C"/>
        </w:rPr>
        <w:t>款），依系統辨識結果所為之行動，須經至少兩名具備必要能力之人員分別查核確認</w:t>
      </w:r>
      <w:r>
        <w:rPr>
          <w:rFonts w:eastAsia="Noto Serif CJK TC"/>
          <w:color w:val="1A202C"/>
        </w:rPr>
        <w:t>——</w:t>
      </w:r>
      <w:r>
        <w:rPr>
          <w:rFonts w:eastAsia="Noto Serif CJK TC"/>
          <w:color w:val="1A202C"/>
        </w:rPr>
        <w:t>但此一雙重查核要求，不適用於執法、移民、邊境管制或庇護案件（於歐盟法或會員國法認為不合比例之情形）。本文對此條文之審計結果為「條文已明定具體機制」，是三法域中對「決策能力」規定最完整者，也是本文對</w:t>
      </w:r>
      <w:r>
        <w:rPr>
          <w:rFonts w:eastAsia="Noto Serif CJK TC"/>
          <w:color w:val="1A202C"/>
        </w:rPr>
        <w:t xml:space="preserve"> 032 P3 </w:t>
      </w:r>
      <w:r>
        <w:rPr>
          <w:rFonts w:eastAsia="Noto Serif CJK TC"/>
          <w:color w:val="1A202C"/>
        </w:rPr>
        <w:t>命題最直接的文本層次初步支持：機關（透過部署者）被賦予的不只是事後救濟，而是條文明定的事中否決、推翻與停止權限</w:t>
      </w:r>
      <w:proofErr w:type="gramStart"/>
      <w:r>
        <w:rPr>
          <w:rFonts w:eastAsia="Noto Serif CJK TC"/>
          <w:color w:val="1A202C"/>
        </w:rPr>
        <w:t>—</w:t>
      </w:r>
      <w:proofErr w:type="gramEnd"/>
      <w:r>
        <w:rPr>
          <w:rFonts w:eastAsia="Noto Serif CJK TC"/>
          <w:color w:val="1A202C"/>
        </w:rPr>
        <w:t>—</w:t>
      </w:r>
      <w:proofErr w:type="gramStart"/>
      <w:r>
        <w:rPr>
          <w:rFonts w:eastAsia="Noto Serif CJK TC"/>
          <w:color w:val="1A202C"/>
        </w:rPr>
        <w:t>惟如貳</w:t>
      </w:r>
      <w:proofErr w:type="gramEnd"/>
      <w:r>
        <w:rPr>
          <w:rFonts w:eastAsia="Noto Serif CJK TC"/>
          <w:color w:val="1A202C"/>
        </w:rPr>
        <w:t>章所述，本</w:t>
      </w:r>
      <w:r>
        <w:rPr>
          <w:rFonts w:eastAsia="Noto Serif CJK TC"/>
          <w:color w:val="1A202C"/>
        </w:rPr>
        <w:t>文所稱「實質再介入能力」在此僅指「規範性實質能力」，即法律文本是否配置了足以支持實際行使的制度條件；部署者在實務上是否真正具備、行使或有效運用這項權限，屬於「經驗性實質能力」的問題，不屬本文文本分析可以直接回答，詳見</w:t>
      </w:r>
      <w:proofErr w:type="gramStart"/>
      <w:r>
        <w:rPr>
          <w:rFonts w:eastAsia="Noto Serif CJK TC"/>
          <w:color w:val="1A202C"/>
        </w:rPr>
        <w:t>柒</w:t>
      </w:r>
      <w:proofErr w:type="gramEnd"/>
      <w:r>
        <w:rPr>
          <w:rFonts w:eastAsia="Noto Serif CJK TC"/>
          <w:color w:val="1A202C"/>
        </w:rPr>
        <w:t>章之區分。</w:t>
      </w:r>
    </w:p>
    <w:p w:rsidR="00FF05A2" w:rsidRDefault="00EE6916">
      <w:pPr>
        <w:pStyle w:val="2"/>
        <w:spacing w:before="280" w:after="140" w:line="340" w:lineRule="auto"/>
      </w:pPr>
      <w:r>
        <w:rPr>
          <w:rFonts w:ascii="Noto Sans CJK TC" w:eastAsia="Noto Sans CJK TC" w:hAnsi="Noto Sans CJK TC" w:cs="Noto Sans CJK TC"/>
          <w:b/>
          <w:bCs/>
          <w:color w:val="1A365D"/>
          <w:sz w:val="27"/>
          <w:szCs w:val="27"/>
        </w:rPr>
        <w:t>四、</w:t>
      </w:r>
      <w:proofErr w:type="gramStart"/>
      <w:r>
        <w:rPr>
          <w:rFonts w:ascii="Noto Sans CJK TC" w:eastAsia="Noto Sans CJK TC" w:hAnsi="Noto Sans CJK TC" w:cs="Noto Sans CJK TC"/>
          <w:b/>
          <w:bCs/>
          <w:color w:val="1A365D"/>
          <w:sz w:val="27"/>
          <w:szCs w:val="27"/>
        </w:rPr>
        <w:t>課責能力</w:t>
      </w:r>
      <w:proofErr w:type="gramEnd"/>
      <w:r>
        <w:rPr>
          <w:rFonts w:ascii="Noto Sans CJK TC" w:eastAsia="Noto Sans CJK TC" w:hAnsi="Noto Sans CJK TC" w:cs="Noto Sans CJK TC"/>
          <w:b/>
          <w:bCs/>
          <w:color w:val="1A365D"/>
          <w:sz w:val="27"/>
          <w:szCs w:val="27"/>
        </w:rPr>
        <w:t>：基本權利影響評估與部署者義務</w:t>
      </w:r>
    </w:p>
    <w:p w:rsidR="00FF05A2" w:rsidRDefault="00EE6916">
      <w:pPr>
        <w:spacing w:after="180" w:line="340" w:lineRule="auto"/>
        <w:jc w:val="both"/>
      </w:pPr>
      <w:r>
        <w:rPr>
          <w:rFonts w:eastAsia="Noto Serif CJK TC"/>
          <w:color w:val="1A202C"/>
        </w:rPr>
        <w:t>第二十七條要求特定類別之部署者於首次使用高風險系統前，完成基本權利影響評估</w:t>
      </w:r>
      <w:proofErr w:type="gramStart"/>
      <w:r>
        <w:rPr>
          <w:rFonts w:eastAsia="Noto Serif CJK TC"/>
          <w:color w:val="1A202C"/>
        </w:rPr>
        <w:t>—</w:t>
      </w:r>
      <w:proofErr w:type="gramEnd"/>
      <w:r>
        <w:rPr>
          <w:rFonts w:eastAsia="Noto Serif CJK TC"/>
          <w:color w:val="1A202C"/>
        </w:rPr>
        <w:t>—</w:t>
      </w:r>
      <w:r>
        <w:rPr>
          <w:rFonts w:eastAsia="Noto Serif CJK TC"/>
          <w:color w:val="1A202C"/>
        </w:rPr>
        <w:t>本文於研究過程中須特別更正一項先前之誤讀：此一義務的主要適用對象是「受公法拘束之機構」（</w:t>
      </w:r>
      <w:r>
        <w:rPr>
          <w:rFonts w:eastAsia="Noto Serif CJK TC"/>
          <w:color w:val="1A202C"/>
        </w:rPr>
        <w:t>bodies governed by public law</w:t>
      </w:r>
      <w:r>
        <w:rPr>
          <w:rFonts w:eastAsia="Noto Serif CJK TC"/>
          <w:color w:val="1A202C"/>
        </w:rPr>
        <w:t>）與「提供公共</w:t>
      </w:r>
      <w:r>
        <w:rPr>
          <w:rFonts w:eastAsia="Noto Serif CJK TC"/>
          <w:color w:val="1A202C"/>
        </w:rPr>
        <w:t>服務之私部門」，也就是說，公部門機關本身正是這項義務的主要對象，而非被排除在外；唯一明文排除之類別是</w:t>
      </w:r>
      <w:r>
        <w:rPr>
          <w:rFonts w:eastAsia="Noto Serif CJK TC"/>
          <w:color w:val="1A202C"/>
        </w:rPr>
        <w:t xml:space="preserve"> Annex III </w:t>
      </w:r>
      <w:r>
        <w:rPr>
          <w:rFonts w:eastAsia="Noto Serif CJK TC"/>
          <w:color w:val="1A202C"/>
        </w:rPr>
        <w:t>第</w:t>
      </w:r>
      <w:r>
        <w:rPr>
          <w:rFonts w:eastAsia="Noto Serif CJK TC"/>
          <w:color w:val="1A202C"/>
        </w:rPr>
        <w:t>2</w:t>
      </w:r>
      <w:r>
        <w:rPr>
          <w:rFonts w:eastAsia="Noto Serif CJK TC"/>
          <w:color w:val="1A202C"/>
        </w:rPr>
        <w:t>點所列之關鍵基礎設施系統，以及已依</w:t>
      </w:r>
      <w:r>
        <w:rPr>
          <w:rFonts w:eastAsia="Noto Serif CJK TC"/>
          <w:color w:val="1A202C"/>
        </w:rPr>
        <w:t xml:space="preserve"> Annex III </w:t>
      </w:r>
      <w:r>
        <w:rPr>
          <w:rFonts w:eastAsia="Noto Serif CJK TC"/>
          <w:color w:val="1A202C"/>
        </w:rPr>
        <w:t>第</w:t>
      </w:r>
      <w:r>
        <w:rPr>
          <w:rFonts w:eastAsia="Noto Serif CJK TC"/>
          <w:color w:val="1A202C"/>
        </w:rPr>
        <w:t>5</w:t>
      </w:r>
      <w:r>
        <w:rPr>
          <w:rFonts w:eastAsia="Noto Serif CJK TC"/>
          <w:color w:val="1A202C"/>
        </w:rPr>
        <w:t>點</w:t>
      </w:r>
      <w:r>
        <w:rPr>
          <w:rFonts w:eastAsia="Noto Serif CJK TC"/>
          <w:color w:val="1A202C"/>
        </w:rPr>
        <w:t>(b)(c)</w:t>
      </w:r>
      <w:proofErr w:type="gramStart"/>
      <w:r>
        <w:rPr>
          <w:rFonts w:eastAsia="Noto Serif CJK TC"/>
          <w:color w:val="1A202C"/>
        </w:rPr>
        <w:t>款另有</w:t>
      </w:r>
      <w:proofErr w:type="gramEnd"/>
      <w:r>
        <w:rPr>
          <w:rFonts w:eastAsia="Noto Serif CJK TC"/>
          <w:color w:val="1A202C"/>
        </w:rPr>
        <w:t>規定之部署者。評估內容須包括部署脈絡、受影響群體、具體風險與人類監督之落實方式，並須將結果通知市場監督機關。這項發現對臺灣制度的比較別具意義：歐盟法律文本明文將「政府自身作為部署者」列為履行基本權利影響評估之對象，臺灣人工智慧基本法現行文本則尚未有相對應之具體要求。第二十六條另規定部署者一般性義務，包括依</w:t>
      </w:r>
      <w:r>
        <w:rPr>
          <w:rFonts w:eastAsia="Noto Serif CJK TC"/>
          <w:color w:val="1A202C"/>
        </w:rPr>
        <w:t>供應商指示使用系統、指派具備能力之自然人執行人類監督、以及監測系統運作之異常情形。</w:t>
      </w:r>
    </w:p>
    <w:p w:rsidR="00FF05A2" w:rsidRDefault="00EE6916">
      <w:pPr>
        <w:pStyle w:val="2"/>
        <w:spacing w:before="280" w:after="140" w:line="340" w:lineRule="auto"/>
      </w:pPr>
      <w:r>
        <w:rPr>
          <w:rFonts w:ascii="Noto Sans CJK TC" w:eastAsia="Noto Sans CJK TC" w:hAnsi="Noto Sans CJK TC" w:cs="Noto Sans CJK TC"/>
          <w:b/>
          <w:bCs/>
          <w:color w:val="1A365D"/>
          <w:sz w:val="27"/>
          <w:szCs w:val="27"/>
        </w:rPr>
        <w:t>五、執行與裁罰</w:t>
      </w:r>
    </w:p>
    <w:p w:rsidR="00FF05A2" w:rsidRDefault="00EE6916">
      <w:pPr>
        <w:spacing w:after="180" w:line="340" w:lineRule="auto"/>
        <w:jc w:val="both"/>
      </w:pPr>
      <w:r>
        <w:rPr>
          <w:rFonts w:eastAsia="Noto Serif CJK TC"/>
          <w:color w:val="1A202C"/>
        </w:rPr>
        <w:t>第九十九條規定裁罰之上限：違反第五條禁止行為者，最高可處全球年營業額百分之七或</w:t>
      </w:r>
      <w:r>
        <w:rPr>
          <w:rFonts w:eastAsia="Noto Serif CJK TC"/>
          <w:color w:val="1A202C"/>
        </w:rPr>
        <w:t>3500</w:t>
      </w:r>
      <w:r>
        <w:rPr>
          <w:rFonts w:eastAsia="Noto Serif CJK TC"/>
          <w:color w:val="1A202C"/>
        </w:rPr>
        <w:t>萬歐元，兩者取其高；違反其餘供應商、部署者等義務者，最高可處全球年營業額百分之三或</w:t>
      </w:r>
      <w:r>
        <w:rPr>
          <w:rFonts w:eastAsia="Noto Serif CJK TC"/>
          <w:color w:val="1A202C"/>
        </w:rPr>
        <w:t>1500</w:t>
      </w:r>
      <w:r>
        <w:rPr>
          <w:rFonts w:eastAsia="Noto Serif CJK TC"/>
          <w:color w:val="1A202C"/>
        </w:rPr>
        <w:t>萬歐元；提供不實或誤導資訊者，最高可處全球年營業額百分之一或</w:t>
      </w:r>
      <w:r>
        <w:rPr>
          <w:rFonts w:eastAsia="Noto Serif CJK TC"/>
          <w:color w:val="1A202C"/>
        </w:rPr>
        <w:t>750</w:t>
      </w:r>
      <w:r>
        <w:rPr>
          <w:rFonts w:eastAsia="Noto Serif CJK TC"/>
          <w:color w:val="1A202C"/>
        </w:rPr>
        <w:t>萬歐元；中小企業與新創事業則取金額較低者適用。本文審計結果為「條文已明定具體機制」，是三法域中唯一有明文裁罰上限規定者。但條文亦明文規定，對「公部門機關與主管機關」之裁罰</w:t>
      </w:r>
      <w:r>
        <w:rPr>
          <w:rFonts w:eastAsia="Noto Serif CJK TC"/>
          <w:color w:val="1A202C"/>
        </w:rPr>
        <w:t>規則，</w:t>
      </w:r>
      <w:proofErr w:type="gramStart"/>
      <w:r>
        <w:rPr>
          <w:rFonts w:eastAsia="Noto Serif CJK TC"/>
          <w:color w:val="1A202C"/>
        </w:rPr>
        <w:t>留由會員國</w:t>
      </w:r>
      <w:proofErr w:type="gramEnd"/>
      <w:r>
        <w:rPr>
          <w:rFonts w:eastAsia="Noto Serif CJK TC"/>
          <w:color w:val="1A202C"/>
        </w:rPr>
        <w:t>自行決定</w:t>
      </w:r>
      <w:r>
        <w:rPr>
          <w:rFonts w:eastAsia="Noto Serif CJK TC"/>
          <w:color w:val="1A202C"/>
        </w:rPr>
        <w:t>——</w:t>
      </w:r>
      <w:r>
        <w:rPr>
          <w:rFonts w:eastAsia="Noto Serif CJK TC"/>
          <w:color w:val="1A202C"/>
        </w:rPr>
        <w:t>這意味著，歐盟人工智慧法對私部門建立了統一且具體的裁罰框架，但對政府機關自身違反義務時應</w:t>
      </w:r>
      <w:proofErr w:type="gramStart"/>
      <w:r>
        <w:rPr>
          <w:rFonts w:eastAsia="Noto Serif CJK TC"/>
          <w:color w:val="1A202C"/>
        </w:rPr>
        <w:t>如何</w:t>
      </w:r>
      <w:proofErr w:type="gramEnd"/>
      <w:r>
        <w:rPr>
          <w:rFonts w:eastAsia="Noto Serif CJK TC"/>
          <w:color w:val="1A202C"/>
        </w:rPr>
        <w:t>究責，制度上仍是一片由各會員國自行填補的空白，這項發現本身即呼應本文全篇的核心關懷：越是涉及「政府對政府自己使用人工智慧」</w:t>
      </w:r>
      <w:proofErr w:type="gramStart"/>
      <w:r>
        <w:rPr>
          <w:rFonts w:eastAsia="Noto Serif CJK TC"/>
          <w:color w:val="1A202C"/>
        </w:rPr>
        <w:t>的課責</w:t>
      </w:r>
      <w:proofErr w:type="gramEnd"/>
      <w:r>
        <w:rPr>
          <w:rFonts w:eastAsia="Noto Serif CJK TC"/>
          <w:color w:val="1A202C"/>
        </w:rPr>
        <w:t>，</w:t>
      </w:r>
      <w:r>
        <w:rPr>
          <w:rFonts w:eastAsia="Noto Serif CJK TC"/>
          <w:color w:val="1A202C"/>
        </w:rPr>
        <w:lastRenderedPageBreak/>
        <w:t>現行法律文本提供的具體機制反而越薄弱。</w:t>
      </w:r>
      <w:proofErr w:type="gramStart"/>
      <w:r>
        <w:rPr>
          <w:rFonts w:eastAsia="Noto Serif CJK TC"/>
          <w:color w:val="1A202C"/>
        </w:rPr>
        <w:t>此外，</w:t>
      </w:r>
      <w:proofErr w:type="gramEnd"/>
      <w:r>
        <w:rPr>
          <w:rFonts w:eastAsia="Noto Serif CJK TC"/>
          <w:color w:val="1A202C"/>
        </w:rPr>
        <w:t>本文完稿前公布之</w:t>
      </w:r>
      <w:r>
        <w:rPr>
          <w:rFonts w:eastAsia="Noto Serif CJK TC"/>
          <w:color w:val="1A202C"/>
        </w:rPr>
        <w:t xml:space="preserve"> Digital Omnibus </w:t>
      </w:r>
      <w:r>
        <w:rPr>
          <w:rFonts w:eastAsia="Noto Serif CJK TC"/>
          <w:color w:val="1A202C"/>
        </w:rPr>
        <w:t>修正案，</w:t>
      </w:r>
      <w:proofErr w:type="gramStart"/>
      <w:r>
        <w:rPr>
          <w:rFonts w:eastAsia="Noto Serif CJK TC"/>
          <w:color w:val="1A202C"/>
        </w:rPr>
        <w:t>除延</w:t>
      </w:r>
      <w:proofErr w:type="gramEnd"/>
      <w:r>
        <w:rPr>
          <w:rFonts w:eastAsia="Noto Serif CJK TC"/>
          <w:color w:val="1A202C"/>
        </w:rPr>
        <w:t>後高風險義務生</w:t>
      </w:r>
      <w:proofErr w:type="gramStart"/>
      <w:r>
        <w:rPr>
          <w:rFonts w:eastAsia="Noto Serif CJK TC"/>
          <w:color w:val="1A202C"/>
        </w:rPr>
        <w:t>效期程</w:t>
      </w:r>
      <w:proofErr w:type="gramEnd"/>
      <w:r>
        <w:rPr>
          <w:rFonts w:eastAsia="Noto Serif CJK TC"/>
          <w:color w:val="1A202C"/>
        </w:rPr>
        <w:t>外，亦擴大了對中小企業與小型中型企業之簡化措施，包括簡化技術文件要求與減輕罰則，本文因篇幅所限</w:t>
      </w:r>
      <w:proofErr w:type="gramStart"/>
      <w:r>
        <w:rPr>
          <w:rFonts w:eastAsia="Noto Serif CJK TC"/>
          <w:color w:val="1A202C"/>
        </w:rPr>
        <w:t>不</w:t>
      </w:r>
      <w:proofErr w:type="gramEnd"/>
      <w:r>
        <w:rPr>
          <w:rFonts w:eastAsia="Noto Serif CJK TC"/>
          <w:color w:val="1A202C"/>
        </w:rPr>
        <w:t>逐一深究其對本文四項能力軸線之細部影響，</w:t>
      </w:r>
      <w:r>
        <w:rPr>
          <w:rFonts w:eastAsia="Noto Serif CJK TC"/>
          <w:color w:val="1A202C"/>
        </w:rPr>
        <w:t>僅在此註記此一修正之存在。</w:t>
      </w:r>
    </w:p>
    <w:p w:rsidR="00FF05A2" w:rsidRDefault="00EE6916">
      <w:pPr>
        <w:pStyle w:val="2"/>
        <w:spacing w:before="280" w:after="140" w:line="340" w:lineRule="auto"/>
      </w:pPr>
      <w:r>
        <w:rPr>
          <w:rFonts w:ascii="Noto Sans CJK TC" w:eastAsia="Noto Sans CJK TC" w:hAnsi="Noto Sans CJK TC" w:cs="Noto Sans CJK TC"/>
          <w:b/>
          <w:bCs/>
          <w:color w:val="1A365D"/>
          <w:sz w:val="27"/>
          <w:szCs w:val="27"/>
        </w:rPr>
        <w:t>六、供應商與部署者的責任分工</w:t>
      </w:r>
    </w:p>
    <w:p w:rsidR="00FF05A2" w:rsidRDefault="00EE6916">
      <w:pPr>
        <w:spacing w:after="180" w:line="340" w:lineRule="auto"/>
        <w:jc w:val="both"/>
      </w:pPr>
      <w:r>
        <w:rPr>
          <w:rFonts w:eastAsia="Noto Serif CJK TC"/>
          <w:color w:val="1A202C"/>
        </w:rPr>
        <w:t>綜合以上五節，歐盟人工智慧法一項貫穿全文的制度設計特徵，是明確區分「供應商」（</w:t>
      </w:r>
      <w:r>
        <w:rPr>
          <w:rFonts w:eastAsia="Noto Serif CJK TC"/>
          <w:color w:val="1A202C"/>
        </w:rPr>
        <w:t>provider</w:t>
      </w:r>
      <w:r>
        <w:rPr>
          <w:rFonts w:eastAsia="Noto Serif CJK TC"/>
          <w:color w:val="1A202C"/>
        </w:rPr>
        <w:t>，開發或以自己名義投放市場之主體）與「部署者」（</w:t>
      </w:r>
      <w:r>
        <w:rPr>
          <w:rFonts w:eastAsia="Noto Serif CJK TC"/>
          <w:color w:val="1A202C"/>
        </w:rPr>
        <w:t>deployer</w:t>
      </w:r>
      <w:r>
        <w:rPr>
          <w:rFonts w:eastAsia="Noto Serif CJK TC"/>
          <w:color w:val="1A202C"/>
        </w:rPr>
        <w:t>，在其權限下使用系統之主體，通常即公部門機關）兩種角色，並將不同義務分別課予不同角色：技術文件與日誌義務主要落在供應商，人類監督之落實則主要落在部署者，基本權利影響評估則明文落在作為部署者之公部門機關身上。這項分工設計本身即是對</w:t>
      </w:r>
      <w:r>
        <w:rPr>
          <w:rFonts w:eastAsia="Noto Serif CJK TC"/>
          <w:color w:val="1A202C"/>
        </w:rPr>
        <w:t xml:space="preserve"> 032 P4 </w:t>
      </w:r>
      <w:r>
        <w:rPr>
          <w:rFonts w:eastAsia="Noto Serif CJK TC"/>
          <w:color w:val="1A202C"/>
        </w:rPr>
        <w:t>外包風險命題最直接的制度回應方式：它不是消除供應商掌握技術細節的事實，而是試圖以法律明文要求供應商配合提供部</w:t>
      </w:r>
      <w:proofErr w:type="gramStart"/>
      <w:r>
        <w:rPr>
          <w:rFonts w:eastAsia="Noto Serif CJK TC"/>
          <w:color w:val="1A202C"/>
        </w:rPr>
        <w:t>署</w:t>
      </w:r>
      <w:r>
        <w:rPr>
          <w:rFonts w:eastAsia="Noto Serif CJK TC"/>
          <w:color w:val="1A202C"/>
        </w:rPr>
        <w:t>者</w:t>
      </w:r>
      <w:proofErr w:type="gramEnd"/>
      <w:r>
        <w:rPr>
          <w:rFonts w:eastAsia="Noto Serif CJK TC"/>
          <w:color w:val="1A202C"/>
        </w:rPr>
        <w:t>履行監督義務所需之資訊。這項設計是否能在實務上有效防止認知與決策能力脫</w:t>
      </w:r>
      <w:proofErr w:type="gramStart"/>
      <w:r>
        <w:rPr>
          <w:rFonts w:eastAsia="Noto Serif CJK TC"/>
          <w:color w:val="1A202C"/>
        </w:rPr>
        <w:t>鉤</w:t>
      </w:r>
      <w:proofErr w:type="gramEnd"/>
      <w:r>
        <w:rPr>
          <w:rFonts w:eastAsia="Noto Serif CJK TC"/>
          <w:color w:val="1A202C"/>
        </w:rPr>
        <w:t>，仍待後續個案層次之實證研究驗證，本文僅能確認：就法律文本本身而言，歐盟人工智慧法是三法域中，對供應商與部署者間責任分工規定最具體的一份文本。</w:t>
      </w:r>
    </w:p>
    <w:p w:rsidR="00FF05A2" w:rsidRDefault="00EE6916">
      <w:pPr>
        <w:pStyle w:val="1"/>
        <w:spacing w:before="360" w:after="200" w:line="360" w:lineRule="auto"/>
      </w:pPr>
      <w:r>
        <w:rPr>
          <w:rFonts w:ascii="Noto Sans CJK TC" w:eastAsia="Noto Sans CJK TC" w:hAnsi="Noto Sans CJK TC" w:cs="Noto Sans CJK TC"/>
          <w:b/>
          <w:bCs/>
          <w:color w:val="1A365D"/>
        </w:rPr>
        <w:t>伍、加拿大聯邦自動化決策治理</w:t>
      </w:r>
    </w:p>
    <w:p w:rsidR="00FF05A2" w:rsidRDefault="00EE6916">
      <w:pPr>
        <w:spacing w:after="180" w:line="340" w:lineRule="auto"/>
        <w:jc w:val="both"/>
      </w:pPr>
      <w:r>
        <w:rPr>
          <w:rFonts w:eastAsia="Noto Serif CJK TC"/>
          <w:color w:val="1A202C"/>
        </w:rPr>
        <w:t>本章標題與本文原研究計畫大綱不同：原計畫規劃審計加拿大之「人工智慧與資料法」（</w:t>
      </w:r>
      <w:r>
        <w:rPr>
          <w:rFonts w:eastAsia="Noto Serif CJK TC"/>
          <w:color w:val="1A202C"/>
        </w:rPr>
        <w:t>AIDA</w:t>
      </w:r>
      <w:r>
        <w:rPr>
          <w:rFonts w:eastAsia="Noto Serif CJK TC"/>
          <w:color w:val="1A202C"/>
        </w:rPr>
        <w:t>）或「自動化決策制度」，但如緒論所述，</w:t>
      </w:r>
      <w:r>
        <w:rPr>
          <w:rFonts w:eastAsia="Noto Serif CJK TC"/>
          <w:color w:val="1A202C"/>
        </w:rPr>
        <w:t xml:space="preserve">AIDA </w:t>
      </w:r>
      <w:r>
        <w:rPr>
          <w:rFonts w:eastAsia="Noto Serif CJK TC"/>
          <w:color w:val="1A202C"/>
        </w:rPr>
        <w:t>已未能完成立法，本章因此改以加拿大聯邦政府現行實際運作中的自動化決策治理工具</w:t>
      </w:r>
      <w:proofErr w:type="gramStart"/>
      <w:r>
        <w:rPr>
          <w:rFonts w:eastAsia="Noto Serif CJK TC"/>
          <w:color w:val="1A202C"/>
        </w:rPr>
        <w:t>—</w:t>
      </w:r>
      <w:proofErr w:type="gramEnd"/>
      <w:r>
        <w:rPr>
          <w:rFonts w:eastAsia="Noto Serif CJK TC"/>
          <w:color w:val="1A202C"/>
        </w:rPr>
        <w:t>—</w:t>
      </w:r>
      <w:r>
        <w:rPr>
          <w:rFonts w:eastAsia="Noto Serif CJK TC"/>
          <w:color w:val="1A202C"/>
        </w:rPr>
        <w:t>財政部（</w:t>
      </w:r>
      <w:r>
        <w:rPr>
          <w:rFonts w:eastAsia="Noto Serif CJK TC"/>
          <w:color w:val="1A202C"/>
        </w:rPr>
        <w:t>Treasury Board of Can</w:t>
      </w:r>
      <w:r>
        <w:rPr>
          <w:rFonts w:eastAsia="Noto Serif CJK TC"/>
          <w:color w:val="1A202C"/>
        </w:rPr>
        <w:t>ada Secretariat</w:t>
      </w:r>
      <w:r>
        <w:rPr>
          <w:rFonts w:eastAsia="Noto Serif CJK TC"/>
          <w:color w:val="1A202C"/>
        </w:rPr>
        <w:t>）之「自動化決策指令」（</w:t>
      </w:r>
      <w:r>
        <w:rPr>
          <w:rFonts w:eastAsia="Noto Serif CJK TC"/>
          <w:color w:val="1A202C"/>
        </w:rPr>
        <w:t>Directive on Automated Decision-Making</w:t>
      </w:r>
      <w:r>
        <w:rPr>
          <w:rFonts w:eastAsia="Noto Serif CJK TC"/>
          <w:color w:val="1A202C"/>
        </w:rPr>
        <w:t>）</w:t>
      </w:r>
      <w:r>
        <w:rPr>
          <w:rFonts w:eastAsia="Noto Serif CJK TC"/>
          <w:color w:val="1A202C"/>
        </w:rPr>
        <w:t>——</w:t>
      </w:r>
      <w:r>
        <w:rPr>
          <w:rFonts w:eastAsia="Noto Serif CJK TC"/>
          <w:color w:val="1A202C"/>
        </w:rPr>
        <w:t>作為審計對象。</w:t>
      </w:r>
    </w:p>
    <w:p w:rsidR="00FF05A2" w:rsidRDefault="00EE6916">
      <w:pPr>
        <w:pStyle w:val="2"/>
        <w:spacing w:before="280" w:after="140" w:line="340" w:lineRule="auto"/>
      </w:pPr>
      <w:r>
        <w:rPr>
          <w:rFonts w:ascii="Noto Sans CJK TC" w:eastAsia="Noto Sans CJK TC" w:hAnsi="Noto Sans CJK TC" w:cs="Noto Sans CJK TC"/>
          <w:b/>
          <w:bCs/>
          <w:color w:val="1A365D"/>
          <w:sz w:val="27"/>
          <w:szCs w:val="27"/>
        </w:rPr>
        <w:t>一、法律位階的根本限制：由</w:t>
      </w:r>
      <w:r>
        <w:rPr>
          <w:rFonts w:ascii="Noto Sans CJK TC" w:eastAsia="Noto Sans CJK TC" w:hAnsi="Noto Sans CJK TC" w:cs="Noto Sans CJK TC"/>
          <w:b/>
          <w:bCs/>
          <w:color w:val="1A365D"/>
          <w:sz w:val="27"/>
          <w:szCs w:val="27"/>
        </w:rPr>
        <w:t>AIDA</w:t>
      </w:r>
      <w:r>
        <w:rPr>
          <w:rFonts w:ascii="Noto Sans CJK TC" w:eastAsia="Noto Sans CJK TC" w:hAnsi="Noto Sans CJK TC" w:cs="Noto Sans CJK TC"/>
          <w:b/>
          <w:bCs/>
          <w:color w:val="1A365D"/>
          <w:sz w:val="27"/>
          <w:szCs w:val="27"/>
        </w:rPr>
        <w:t>之死談起</w:t>
      </w:r>
    </w:p>
    <w:p w:rsidR="00FF05A2" w:rsidRDefault="00EE6916">
      <w:pPr>
        <w:spacing w:after="180" w:line="340" w:lineRule="auto"/>
        <w:jc w:val="both"/>
      </w:pPr>
      <w:r>
        <w:rPr>
          <w:rFonts w:eastAsia="Noto Serif CJK TC"/>
          <w:color w:val="1A202C"/>
        </w:rPr>
        <w:t xml:space="preserve">AIDA </w:t>
      </w:r>
      <w:r>
        <w:rPr>
          <w:rFonts w:eastAsia="Noto Serif CJK TC"/>
          <w:color w:val="1A202C"/>
        </w:rPr>
        <w:t>原為加拿大聯邦第</w:t>
      </w:r>
      <w:r>
        <w:rPr>
          <w:rFonts w:eastAsia="Noto Serif CJK TC"/>
          <w:color w:val="1A202C"/>
        </w:rPr>
        <w:t>44</w:t>
      </w:r>
      <w:r>
        <w:rPr>
          <w:rFonts w:eastAsia="Noto Serif CJK TC"/>
          <w:color w:val="1A202C"/>
        </w:rPr>
        <w:t>屆國會</w:t>
      </w:r>
      <w:r>
        <w:rPr>
          <w:rFonts w:eastAsia="Noto Serif CJK TC"/>
          <w:color w:val="1A202C"/>
        </w:rPr>
        <w:t xml:space="preserve"> Bill C-27 </w:t>
      </w:r>
      <w:r>
        <w:rPr>
          <w:rFonts w:eastAsia="Noto Serif CJK TC"/>
          <w:color w:val="1A202C"/>
        </w:rPr>
        <w:t>法案之第三部，於</w:t>
      </w:r>
      <w:r>
        <w:rPr>
          <w:rFonts w:eastAsia="Noto Serif CJK TC"/>
          <w:color w:val="1A202C"/>
        </w:rPr>
        <w:t>2022</w:t>
      </w:r>
      <w:r>
        <w:rPr>
          <w:rFonts w:eastAsia="Noto Serif CJK TC"/>
          <w:color w:val="1A202C"/>
        </w:rPr>
        <w:t>年提出，經眾議院工業與科技委員會審查、多次修正，惟隨著時任總理於</w:t>
      </w:r>
      <w:r>
        <w:rPr>
          <w:rFonts w:eastAsia="Noto Serif CJK TC"/>
          <w:color w:val="1A202C"/>
        </w:rPr>
        <w:t>2025</w:t>
      </w:r>
      <w:r>
        <w:rPr>
          <w:rFonts w:eastAsia="Noto Serif CJK TC"/>
          <w:color w:val="1A202C"/>
        </w:rPr>
        <w:t>年</w:t>
      </w:r>
      <w:r>
        <w:rPr>
          <w:rFonts w:eastAsia="Noto Serif CJK TC"/>
          <w:color w:val="1A202C"/>
        </w:rPr>
        <w:t>1</w:t>
      </w:r>
      <w:r>
        <w:rPr>
          <w:rFonts w:eastAsia="Noto Serif CJK TC"/>
          <w:color w:val="1A202C"/>
        </w:rPr>
        <w:t>月宣布請辭並使國會休會（</w:t>
      </w:r>
      <w:r>
        <w:rPr>
          <w:rFonts w:eastAsia="Noto Serif CJK TC"/>
          <w:color w:val="1A202C"/>
        </w:rPr>
        <w:t>prorogation</w:t>
      </w:r>
      <w:r>
        <w:rPr>
          <w:rFonts w:eastAsia="Noto Serif CJK TC"/>
          <w:color w:val="1A202C"/>
        </w:rPr>
        <w:t>），依加拿大國會慣例，休會將使當屆會期尚未完成三讀之法案全數失效，</w:t>
      </w:r>
      <w:r>
        <w:rPr>
          <w:rFonts w:eastAsia="Noto Serif CJK TC"/>
          <w:color w:val="1A202C"/>
        </w:rPr>
        <w:t>Bill C-27</w:t>
      </w:r>
      <w:r>
        <w:rPr>
          <w:rFonts w:eastAsia="Noto Serif CJK TC"/>
          <w:color w:val="1A202C"/>
        </w:rPr>
        <w:t>（含</w:t>
      </w:r>
      <w:r>
        <w:rPr>
          <w:rFonts w:eastAsia="Noto Serif CJK TC"/>
          <w:color w:val="1A202C"/>
        </w:rPr>
        <w:t xml:space="preserve"> AIDA</w:t>
      </w:r>
      <w:r>
        <w:rPr>
          <w:rFonts w:eastAsia="Noto Serif CJK TC"/>
          <w:color w:val="1A202C"/>
        </w:rPr>
        <w:t>）因此於</w:t>
      </w:r>
      <w:r>
        <w:rPr>
          <w:rFonts w:eastAsia="Noto Serif CJK TC"/>
          <w:color w:val="1A202C"/>
        </w:rPr>
        <w:t>202</w:t>
      </w:r>
      <w:r>
        <w:rPr>
          <w:rFonts w:eastAsia="Noto Serif CJK TC"/>
          <w:color w:val="1A202C"/>
        </w:rPr>
        <w:t>5</w:t>
      </w:r>
      <w:r>
        <w:rPr>
          <w:rFonts w:eastAsia="Noto Serif CJK TC"/>
          <w:color w:val="1A202C"/>
        </w:rPr>
        <w:t>年</w:t>
      </w:r>
      <w:r>
        <w:rPr>
          <w:rFonts w:eastAsia="Noto Serif CJK TC"/>
          <w:color w:val="1A202C"/>
        </w:rPr>
        <w:t>1</w:t>
      </w:r>
      <w:r>
        <w:rPr>
          <w:rFonts w:eastAsia="Noto Serif CJK TC"/>
          <w:color w:val="1A202C"/>
        </w:rPr>
        <w:t>月隨國會休會而正式死亡，未再由後續國會復議通過。本文完稿時（</w:t>
      </w:r>
      <w:r>
        <w:rPr>
          <w:rFonts w:eastAsia="Noto Serif CJK TC"/>
          <w:color w:val="1A202C"/>
        </w:rPr>
        <w:t>2026</w:t>
      </w:r>
      <w:r>
        <w:rPr>
          <w:rFonts w:eastAsia="Noto Serif CJK TC"/>
          <w:color w:val="1A202C"/>
        </w:rPr>
        <w:t>年</w:t>
      </w:r>
      <w:r>
        <w:rPr>
          <w:rFonts w:eastAsia="Noto Serif CJK TC"/>
          <w:color w:val="1A202C"/>
        </w:rPr>
        <w:t>8</w:t>
      </w:r>
      <w:r>
        <w:rPr>
          <w:rFonts w:eastAsia="Noto Serif CJK TC"/>
          <w:color w:val="1A202C"/>
        </w:rPr>
        <w:t>月），加拿大聯邦政府並</w:t>
      </w:r>
      <w:proofErr w:type="gramStart"/>
      <w:r>
        <w:rPr>
          <w:rFonts w:eastAsia="Noto Serif CJK TC"/>
          <w:color w:val="1A202C"/>
        </w:rPr>
        <w:t>無任何具拘束</w:t>
      </w:r>
      <w:proofErr w:type="gramEnd"/>
      <w:r>
        <w:rPr>
          <w:rFonts w:eastAsia="Noto Serif CJK TC"/>
          <w:color w:val="1A202C"/>
        </w:rPr>
        <w:t>力之人工智慧專法生效或審議中，坊間仍有論者以「加拿大人工智慧法」指稱</w:t>
      </w:r>
      <w:r>
        <w:rPr>
          <w:rFonts w:eastAsia="Noto Serif CJK TC"/>
          <w:color w:val="1A202C"/>
        </w:rPr>
        <w:t xml:space="preserve"> AIDA</w:t>
      </w:r>
      <w:r>
        <w:rPr>
          <w:rFonts w:eastAsia="Noto Serif CJK TC"/>
          <w:color w:val="1A202C"/>
        </w:rPr>
        <w:t>，但此一指稱本身已與現狀不符。在缺乏國會立法的情況下，加拿大聯邦政府對自身使用自動化決策系統之規範，現行僅依「自動化決策指令」運作</w:t>
      </w:r>
      <w:proofErr w:type="gramStart"/>
      <w:r>
        <w:rPr>
          <w:rFonts w:eastAsia="Noto Serif CJK TC"/>
          <w:color w:val="1A202C"/>
        </w:rPr>
        <w:t>—</w:t>
      </w:r>
      <w:proofErr w:type="gramEnd"/>
      <w:r>
        <w:rPr>
          <w:rFonts w:eastAsia="Noto Serif CJK TC"/>
          <w:color w:val="1A202C"/>
        </w:rPr>
        <w:t>—</w:t>
      </w:r>
      <w:r>
        <w:rPr>
          <w:rFonts w:eastAsia="Noto Serif CJK TC"/>
          <w:color w:val="1A202C"/>
        </w:rPr>
        <w:t>這是一份由財政部依據《財務管理法》所訂定之政策指令，其法律位階遠低於國會立法：指令的訂定與修正</w:t>
      </w:r>
      <w:proofErr w:type="gramStart"/>
      <w:r>
        <w:rPr>
          <w:rFonts w:eastAsia="Noto Serif CJK TC"/>
          <w:color w:val="1A202C"/>
        </w:rPr>
        <w:t>權限均屬財政部</w:t>
      </w:r>
      <w:proofErr w:type="gramEnd"/>
      <w:r>
        <w:rPr>
          <w:rFonts w:eastAsia="Noto Serif CJK TC"/>
          <w:color w:val="1A202C"/>
        </w:rPr>
        <w:t>本部，無須經國會審議，這意味著指令所規定的</w:t>
      </w:r>
      <w:r>
        <w:rPr>
          <w:rFonts w:eastAsia="Noto Serif CJK TC"/>
          <w:color w:val="1A202C"/>
        </w:rPr>
        <w:lastRenderedPageBreak/>
        <w:t>任何一項機制，理論上都可能由發布該指令</w:t>
      </w:r>
      <w:r>
        <w:rPr>
          <w:rFonts w:eastAsia="Noto Serif CJK TC"/>
          <w:color w:val="1A202C"/>
        </w:rPr>
        <w:t>的同一機關單方修正甚至撤回。這是本文「法律位階」</w:t>
      </w:r>
      <w:proofErr w:type="gramStart"/>
      <w:r>
        <w:rPr>
          <w:rFonts w:eastAsia="Noto Serif CJK TC"/>
          <w:color w:val="1A202C"/>
        </w:rPr>
        <w:t>比較軸最鮮明</w:t>
      </w:r>
      <w:proofErr w:type="gramEnd"/>
      <w:r>
        <w:rPr>
          <w:rFonts w:eastAsia="Noto Serif CJK TC"/>
          <w:color w:val="1A202C"/>
        </w:rPr>
        <w:t>的案例：即使指令內容具體（詳見以下二、三節），其制度耐久性仍受限於其自身的政策指令位階。</w:t>
      </w:r>
    </w:p>
    <w:p w:rsidR="00FF05A2" w:rsidRDefault="00EE6916">
      <w:pPr>
        <w:pStyle w:val="2"/>
        <w:spacing w:before="280" w:after="140" w:line="340" w:lineRule="auto"/>
      </w:pPr>
      <w:r>
        <w:rPr>
          <w:rFonts w:ascii="Noto Sans CJK TC" w:eastAsia="Noto Sans CJK TC" w:hAnsi="Noto Sans CJK TC" w:cs="Noto Sans CJK TC"/>
          <w:b/>
          <w:bCs/>
          <w:color w:val="1A365D"/>
          <w:sz w:val="27"/>
          <w:szCs w:val="27"/>
        </w:rPr>
        <w:t>二、認知能力：強制性演算法影響評估</w:t>
      </w:r>
    </w:p>
    <w:p w:rsidR="00FF05A2" w:rsidRDefault="00EE6916">
      <w:pPr>
        <w:spacing w:after="180" w:line="340" w:lineRule="auto"/>
        <w:jc w:val="both"/>
      </w:pPr>
      <w:r>
        <w:rPr>
          <w:rFonts w:eastAsia="Noto Serif CJK TC"/>
          <w:color w:val="1A202C"/>
        </w:rPr>
        <w:t>指令要求聯邦機關於部署任何自動化決策系統前，完成「演算法影響評估」（</w:t>
      </w:r>
      <w:r>
        <w:rPr>
          <w:rFonts w:eastAsia="Noto Serif CJK TC"/>
          <w:color w:val="1A202C"/>
        </w:rPr>
        <w:t>Algorithmic Impact Assessment, AIA</w:t>
      </w:r>
      <w:r>
        <w:rPr>
          <w:rFonts w:eastAsia="Noto Serif CJK TC"/>
          <w:color w:val="1A202C"/>
        </w:rPr>
        <w:t>），以此評估結果將系統歸入四個衝擊等級之</w:t>
      </w:r>
      <w:proofErr w:type="gramStart"/>
      <w:r>
        <w:rPr>
          <w:rFonts w:eastAsia="Noto Serif CJK TC"/>
          <w:color w:val="1A202C"/>
        </w:rPr>
        <w:t>一</w:t>
      </w:r>
      <w:proofErr w:type="gramEnd"/>
      <w:r>
        <w:rPr>
          <w:rFonts w:eastAsia="Noto Serif CJK TC"/>
          <w:color w:val="1A202C"/>
        </w:rPr>
        <w:t>（第一至第四級）。對於第二級以上之系統，機關須於系統正式上線前，將</w:t>
      </w:r>
      <w:r>
        <w:rPr>
          <w:rFonts w:eastAsia="Noto Serif CJK TC"/>
          <w:color w:val="1A202C"/>
        </w:rPr>
        <w:t xml:space="preserve"> AIA </w:t>
      </w:r>
      <w:r>
        <w:rPr>
          <w:rFonts w:eastAsia="Noto Serif CJK TC"/>
          <w:color w:val="1A202C"/>
        </w:rPr>
        <w:t>評估結果與同行複核（</w:t>
      </w:r>
      <w:r>
        <w:rPr>
          <w:rFonts w:eastAsia="Noto Serif CJK TC"/>
          <w:color w:val="1A202C"/>
        </w:rPr>
        <w:t>peer review</w:t>
      </w:r>
      <w:r>
        <w:rPr>
          <w:rFonts w:eastAsia="Noto Serif CJK TC"/>
          <w:color w:val="1A202C"/>
        </w:rPr>
        <w:t>）結果公開發布於政府開放資訊平</w:t>
      </w:r>
      <w:proofErr w:type="gramStart"/>
      <w:r>
        <w:rPr>
          <w:rFonts w:eastAsia="Noto Serif CJK TC"/>
          <w:color w:val="1A202C"/>
        </w:rPr>
        <w:t>臺</w:t>
      </w:r>
      <w:proofErr w:type="gramEnd"/>
      <w:r>
        <w:rPr>
          <w:rFonts w:eastAsia="Noto Serif CJK TC"/>
          <w:color w:val="1A202C"/>
        </w:rPr>
        <w:t>。本文審計結果為「條文已明定具體機制」：相較於臺灣人工智慧基本法第十九條僅原則性要求「進行風險評估」而未明定公開發布義務，加拿大指令的認知能力機制在「可公眾查核」這一點上，具有更具體的操作性設計。</w:t>
      </w:r>
    </w:p>
    <w:p w:rsidR="00FF05A2" w:rsidRDefault="00EE6916">
      <w:pPr>
        <w:pStyle w:val="2"/>
        <w:spacing w:before="280" w:after="140" w:line="340" w:lineRule="auto"/>
      </w:pPr>
      <w:r>
        <w:rPr>
          <w:rFonts w:ascii="Noto Sans CJK TC" w:eastAsia="Noto Sans CJK TC" w:hAnsi="Noto Sans CJK TC" w:cs="Noto Sans CJK TC"/>
          <w:b/>
          <w:bCs/>
          <w:color w:val="1A365D"/>
          <w:sz w:val="27"/>
          <w:szCs w:val="27"/>
        </w:rPr>
        <w:t>三、決策能力：依衝擊等級配置的人工決定點</w:t>
      </w:r>
    </w:p>
    <w:p w:rsidR="00FF05A2" w:rsidRDefault="00EE6916">
      <w:pPr>
        <w:spacing w:after="180" w:line="340" w:lineRule="auto"/>
        <w:jc w:val="both"/>
      </w:pPr>
      <w:r>
        <w:rPr>
          <w:rFonts w:eastAsia="Noto Serif CJK TC"/>
          <w:color w:val="1A202C"/>
        </w:rPr>
        <w:t>指令對決策能力的規定，呈現明顯的等級落差，這是本文審計中特別值得標注的一項發現。對於第三級與第四級（衝擊較高）之系統，指令要求機關設置具體的「人工介入點」，且最終決定不得在缺乏此等人工介入的情況下作成</w:t>
      </w:r>
      <w:proofErr w:type="gramStart"/>
      <w:r>
        <w:rPr>
          <w:rFonts w:eastAsia="Noto Serif CJK TC"/>
          <w:color w:val="1A202C"/>
        </w:rPr>
        <w:t>—</w:t>
      </w:r>
      <w:proofErr w:type="gramEnd"/>
      <w:r>
        <w:rPr>
          <w:rFonts w:eastAsia="Noto Serif CJK TC"/>
          <w:color w:val="1A202C"/>
        </w:rPr>
        <w:t>—</w:t>
      </w:r>
      <w:r>
        <w:rPr>
          <w:rFonts w:eastAsia="Noto Serif CJK TC"/>
          <w:color w:val="1A202C"/>
        </w:rPr>
        <w:t>第三級要求至少一名審查人員、並經副首長（</w:t>
      </w:r>
      <w:r>
        <w:rPr>
          <w:rFonts w:eastAsia="Noto Serif CJK TC"/>
          <w:color w:val="1A202C"/>
        </w:rPr>
        <w:t>Deputy Head</w:t>
      </w:r>
      <w:r>
        <w:rPr>
          <w:rFonts w:eastAsia="Noto Serif CJK TC"/>
          <w:color w:val="1A202C"/>
        </w:rPr>
        <w:t>）核</w:t>
      </w:r>
      <w:r>
        <w:rPr>
          <w:rFonts w:eastAsia="Noto Serif CJK TC"/>
          <w:color w:val="1A202C"/>
        </w:rPr>
        <w:t>准；第四級則要求至少兩名專家參與、並經財政部本部核准。但對於第一級與第二級（衝擊較低）之系統，指令並未強制要求人工介入，容許系統以完全自動化方式作成決定。本文對此的審計結論是：加拿大指令對「決策能力」的規定，並非全有或全無，而是一種依風險分級、有條件配置的模式</w:t>
      </w:r>
      <w:proofErr w:type="gramStart"/>
      <w:r>
        <w:rPr>
          <w:rFonts w:eastAsia="Noto Serif CJK TC"/>
          <w:color w:val="1A202C"/>
        </w:rPr>
        <w:t>—</w:t>
      </w:r>
      <w:proofErr w:type="gramEnd"/>
      <w:r>
        <w:rPr>
          <w:rFonts w:eastAsia="Noto Serif CJK TC"/>
          <w:color w:val="1A202C"/>
        </w:rPr>
        <w:t>—</w:t>
      </w:r>
      <w:r>
        <w:rPr>
          <w:rFonts w:eastAsia="Noto Serif CJK TC"/>
          <w:color w:val="1A202C"/>
        </w:rPr>
        <w:t>這項設計本身具有制度理性（將人力審查資源集中於高衝擊決定），但也意味著，若一項自動化決策系統被歸類為第一級或第二級，其決定過程可以完全不經過任何人工決定點，</w:t>
      </w:r>
      <w:r>
        <w:rPr>
          <w:rFonts w:eastAsia="Noto Serif CJK TC"/>
          <w:color w:val="1A202C"/>
        </w:rPr>
        <w:t xml:space="preserve">UCPR </w:t>
      </w:r>
      <w:r>
        <w:rPr>
          <w:rFonts w:eastAsia="Noto Serif CJK TC"/>
          <w:color w:val="1A202C"/>
        </w:rPr>
        <w:t>意義上的決策能力在該等級系統上是名義上不存在的，而非僅是「較弱」。</w:t>
      </w:r>
    </w:p>
    <w:p w:rsidR="00FF05A2" w:rsidRDefault="00EE6916">
      <w:pPr>
        <w:pStyle w:val="2"/>
        <w:spacing w:before="280" w:after="140" w:line="340" w:lineRule="auto"/>
      </w:pPr>
      <w:r>
        <w:rPr>
          <w:rFonts w:ascii="Noto Sans CJK TC" w:eastAsia="Noto Sans CJK TC" w:hAnsi="Noto Sans CJK TC" w:cs="Noto Sans CJK TC"/>
          <w:b/>
          <w:bCs/>
          <w:color w:val="1A365D"/>
          <w:sz w:val="27"/>
          <w:szCs w:val="27"/>
        </w:rPr>
        <w:t>四、</w:t>
      </w:r>
      <w:proofErr w:type="gramStart"/>
      <w:r>
        <w:rPr>
          <w:rFonts w:ascii="Noto Sans CJK TC" w:eastAsia="Noto Sans CJK TC" w:hAnsi="Noto Sans CJK TC" w:cs="Noto Sans CJK TC"/>
          <w:b/>
          <w:bCs/>
          <w:color w:val="1A365D"/>
          <w:sz w:val="27"/>
          <w:szCs w:val="27"/>
        </w:rPr>
        <w:t>課責能力</w:t>
      </w:r>
      <w:proofErr w:type="gramEnd"/>
      <w:r>
        <w:rPr>
          <w:rFonts w:ascii="Noto Sans CJK TC" w:eastAsia="Noto Sans CJK TC" w:hAnsi="Noto Sans CJK TC" w:cs="Noto Sans CJK TC"/>
          <w:b/>
          <w:bCs/>
          <w:color w:val="1A365D"/>
          <w:sz w:val="27"/>
          <w:szCs w:val="27"/>
        </w:rPr>
        <w:t>：</w:t>
      </w:r>
      <w:r>
        <w:rPr>
          <w:rFonts w:ascii="Noto Sans CJK TC" w:eastAsia="Noto Sans CJK TC" w:hAnsi="Noto Sans CJK TC" w:cs="Noto Sans CJK TC"/>
          <w:b/>
          <w:bCs/>
          <w:color w:val="1A365D"/>
          <w:sz w:val="27"/>
          <w:szCs w:val="27"/>
        </w:rPr>
        <w:t>告知與既有救濟管道之銜接</w:t>
      </w:r>
    </w:p>
    <w:p w:rsidR="00FF05A2" w:rsidRDefault="00EE6916">
      <w:pPr>
        <w:spacing w:after="180" w:line="340" w:lineRule="auto"/>
        <w:jc w:val="both"/>
      </w:pPr>
      <w:r>
        <w:rPr>
          <w:rFonts w:eastAsia="Noto Serif CJK TC"/>
          <w:color w:val="1A202C"/>
        </w:rPr>
        <w:t>指令要求機關告知受影響之個人，其所受之決定為自動化決策系統所作成，並提供既有之一般行政救濟或申訴管道之資訊。本文審計結果為「原則性宣示或程序性要求」：指令要求「告知」與「提供既有管道資訊」，但並未創設一項獨立於既有行政救濟制度之外的新救濟權</w:t>
      </w:r>
      <w:proofErr w:type="gramStart"/>
      <w:r>
        <w:rPr>
          <w:rFonts w:eastAsia="Noto Serif CJK TC"/>
          <w:color w:val="1A202C"/>
        </w:rPr>
        <w:t>—</w:t>
      </w:r>
      <w:proofErr w:type="gramEnd"/>
      <w:r>
        <w:rPr>
          <w:rFonts w:eastAsia="Noto Serif CJK TC"/>
          <w:color w:val="1A202C"/>
        </w:rPr>
        <w:t>—</w:t>
      </w:r>
      <w:r>
        <w:rPr>
          <w:rFonts w:eastAsia="Noto Serif CJK TC"/>
          <w:color w:val="1A202C"/>
        </w:rPr>
        <w:t>換言之，一位因自動化決策系統受不利影響的加拿大公民，其可主張之救濟途徑，與該決定若由人工作成時並無不同，指令並未特別為演算法決策額外增設救濟權利或簡化程序。</w:t>
      </w:r>
    </w:p>
    <w:p w:rsidR="00FF05A2" w:rsidRDefault="00EE6916">
      <w:pPr>
        <w:pStyle w:val="2"/>
        <w:spacing w:before="280" w:after="140" w:line="340" w:lineRule="auto"/>
      </w:pPr>
      <w:r>
        <w:rPr>
          <w:rFonts w:ascii="Noto Sans CJK TC" w:eastAsia="Noto Sans CJK TC" w:hAnsi="Noto Sans CJK TC" w:cs="Noto Sans CJK TC"/>
          <w:b/>
          <w:bCs/>
          <w:color w:val="1A365D"/>
          <w:sz w:val="27"/>
          <w:szCs w:val="27"/>
        </w:rPr>
        <w:t>五、位階本身的脆弱性</w:t>
      </w:r>
    </w:p>
    <w:p w:rsidR="00FF05A2" w:rsidRDefault="00EE6916">
      <w:pPr>
        <w:spacing w:after="180" w:line="340" w:lineRule="auto"/>
        <w:jc w:val="both"/>
      </w:pPr>
      <w:r>
        <w:rPr>
          <w:rFonts w:eastAsia="Noto Serif CJK TC"/>
          <w:color w:val="1A202C"/>
        </w:rPr>
        <w:t>本節回到</w:t>
      </w:r>
      <w:proofErr w:type="gramStart"/>
      <w:r>
        <w:rPr>
          <w:rFonts w:eastAsia="Noto Serif CJK TC"/>
          <w:color w:val="1A202C"/>
        </w:rPr>
        <w:t>一</w:t>
      </w:r>
      <w:proofErr w:type="gramEnd"/>
      <w:r>
        <w:rPr>
          <w:rFonts w:eastAsia="Noto Serif CJK TC"/>
          <w:color w:val="1A202C"/>
        </w:rPr>
        <w:t>之討論，做一項總結性的觀察：加拿大自動化決策指令的內</w:t>
      </w:r>
      <w:r>
        <w:rPr>
          <w:rFonts w:eastAsia="Noto Serif CJK TC"/>
          <w:color w:val="1A202C"/>
        </w:rPr>
        <w:t>容，就本章二、三、四</w:t>
      </w:r>
      <w:r>
        <w:rPr>
          <w:rFonts w:eastAsia="Noto Serif CJK TC"/>
          <w:color w:val="1A202C"/>
        </w:rPr>
        <w:lastRenderedPageBreak/>
        <w:t>節所述而言，未必比臺灣人工智慧基本法現行文本薄弱</w:t>
      </w:r>
      <w:proofErr w:type="gramStart"/>
      <w:r>
        <w:rPr>
          <w:rFonts w:eastAsia="Noto Serif CJK TC"/>
          <w:color w:val="1A202C"/>
        </w:rPr>
        <w:t>—</w:t>
      </w:r>
      <w:proofErr w:type="gramEnd"/>
      <w:r>
        <w:rPr>
          <w:rFonts w:eastAsia="Noto Serif CJK TC"/>
          <w:color w:val="1A202C"/>
        </w:rPr>
        <w:t>—</w:t>
      </w:r>
      <w:r>
        <w:rPr>
          <w:rFonts w:eastAsia="Noto Serif CJK TC"/>
          <w:color w:val="1A202C"/>
        </w:rPr>
        <w:t>甚至在認知能力與決策能力兩項上，指令的操作性規定明顯更具體。但這份內容具體的指令，其整體制度地位仍是一份可由財政部本部單方修正之政策工具，不具備國會立法或直接生效之超國家規章所具有的位階穩定性。這正是本文新增「法律位階」此一比較軸的實質意義所在：法律文本的「內容強度」與「位階穩定性」是兩個獨立的變數，二者未必同向變動</w:t>
      </w:r>
      <w:proofErr w:type="gramStart"/>
      <w:r>
        <w:rPr>
          <w:rFonts w:eastAsia="Noto Serif CJK TC"/>
          <w:color w:val="1A202C"/>
        </w:rPr>
        <w:t>—</w:t>
      </w:r>
      <w:proofErr w:type="gramEnd"/>
      <w:r>
        <w:rPr>
          <w:rFonts w:eastAsia="Noto Serif CJK TC"/>
          <w:color w:val="1A202C"/>
        </w:rPr>
        <w:t>—</w:t>
      </w:r>
      <w:r>
        <w:rPr>
          <w:rFonts w:eastAsia="Noto Serif CJK TC"/>
          <w:color w:val="1A202C"/>
        </w:rPr>
        <w:t>加拿大案例呈現的正是「內容具體、位階脆弱」的組合，這是僅檢視</w:t>
      </w:r>
      <w:r>
        <w:rPr>
          <w:rFonts w:eastAsia="Noto Serif CJK TC"/>
          <w:color w:val="1A202C"/>
        </w:rPr>
        <w:t xml:space="preserve"> UCPR </w:t>
      </w:r>
      <w:r>
        <w:rPr>
          <w:rFonts w:eastAsia="Noto Serif CJK TC"/>
          <w:color w:val="1A202C"/>
        </w:rPr>
        <w:t>三種能力本身所無法呈現的制度特徵。</w:t>
      </w:r>
    </w:p>
    <w:p w:rsidR="00FF05A2" w:rsidRDefault="00EE6916">
      <w:pPr>
        <w:pStyle w:val="1"/>
        <w:spacing w:before="360" w:after="200" w:line="360" w:lineRule="auto"/>
      </w:pPr>
      <w:r>
        <w:rPr>
          <w:rFonts w:ascii="Noto Sans CJK TC" w:eastAsia="Noto Sans CJK TC" w:hAnsi="Noto Sans CJK TC" w:cs="Noto Sans CJK TC"/>
          <w:b/>
          <w:bCs/>
          <w:color w:val="1A365D"/>
        </w:rPr>
        <w:t>陸、三制度</w:t>
      </w:r>
      <w:r>
        <w:rPr>
          <w:rFonts w:ascii="Noto Sans CJK TC" w:eastAsia="Noto Sans CJK TC" w:hAnsi="Noto Sans CJK TC" w:cs="Noto Sans CJK TC"/>
          <w:b/>
          <w:bCs/>
          <w:color w:val="1A365D"/>
        </w:rPr>
        <w:t>比較</w:t>
      </w:r>
    </w:p>
    <w:p w:rsidR="00FF05A2" w:rsidRDefault="00EE6916">
      <w:pPr>
        <w:spacing w:after="180" w:line="340" w:lineRule="auto"/>
        <w:jc w:val="both"/>
      </w:pPr>
      <w:r>
        <w:rPr>
          <w:rFonts w:eastAsia="Noto Serif CJK TC"/>
          <w:color w:val="1A202C"/>
        </w:rPr>
        <w:t>本</w:t>
      </w:r>
      <w:proofErr w:type="gramStart"/>
      <w:r>
        <w:rPr>
          <w:rFonts w:eastAsia="Noto Serif CJK TC"/>
          <w:color w:val="1A202C"/>
        </w:rPr>
        <w:t>章彙整參</w:t>
      </w:r>
      <w:proofErr w:type="gramEnd"/>
      <w:r>
        <w:rPr>
          <w:rFonts w:eastAsia="Noto Serif CJK TC"/>
          <w:color w:val="1A202C"/>
        </w:rPr>
        <w:t>、肆、伍三章之審計結果，並呈現法律位階此一比較軸的完整圖像。下圖以綠、黃、紅三色，標示三</w:t>
      </w:r>
      <w:proofErr w:type="gramStart"/>
      <w:r>
        <w:rPr>
          <w:rFonts w:eastAsia="Noto Serif CJK TC"/>
          <w:color w:val="1A202C"/>
        </w:rPr>
        <w:t>法域現行</w:t>
      </w:r>
      <w:proofErr w:type="gramEnd"/>
      <w:r>
        <w:rPr>
          <w:rFonts w:eastAsia="Noto Serif CJK TC"/>
          <w:color w:val="1A202C"/>
        </w:rPr>
        <w:t>文本於法律位階、認知能力、決策能力、</w:t>
      </w:r>
      <w:proofErr w:type="gramStart"/>
      <w:r>
        <w:rPr>
          <w:rFonts w:eastAsia="Noto Serif CJK TC"/>
          <w:color w:val="1A202C"/>
        </w:rPr>
        <w:t>課責能</w:t>
      </w:r>
      <w:proofErr w:type="gramEnd"/>
      <w:r>
        <w:rPr>
          <w:rFonts w:eastAsia="Noto Serif CJK TC"/>
          <w:color w:val="1A202C"/>
        </w:rPr>
        <w:t>力、執行與裁罰五個面向之機制強度。</w:t>
      </w:r>
    </w:p>
    <w:p w:rsidR="00FF05A2" w:rsidRDefault="00EE6916">
      <w:pPr>
        <w:spacing w:before="200" w:after="60"/>
        <w:jc w:val="center"/>
      </w:pPr>
      <w:r>
        <w:rPr>
          <w:noProof/>
        </w:rPr>
        <w:drawing>
          <wp:inline distT="0" distB="0" distL="0" distR="0">
            <wp:extent cx="5905500" cy="261937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905500" cy="2619375"/>
                    </a:xfrm>
                    <a:prstGeom prst="rect">
                      <a:avLst/>
                    </a:prstGeom>
                  </pic:spPr>
                </pic:pic>
              </a:graphicData>
            </a:graphic>
          </wp:inline>
        </w:drawing>
      </w:r>
    </w:p>
    <w:p w:rsidR="00FF05A2" w:rsidRDefault="00EE6916">
      <w:pPr>
        <w:spacing w:before="60" w:after="200"/>
        <w:jc w:val="center"/>
      </w:pPr>
      <w:r>
        <w:rPr>
          <w:rFonts w:ascii="Noto Sans CJK TC" w:eastAsia="Noto Sans CJK TC" w:hAnsi="Noto Sans CJK TC" w:cs="Noto Sans CJK TC"/>
          <w:i/>
          <w:iCs/>
          <w:color w:val="2D3748"/>
          <w:sz w:val="20"/>
          <w:szCs w:val="20"/>
        </w:rPr>
        <w:t>圖</w:t>
      </w:r>
      <w:r>
        <w:rPr>
          <w:rFonts w:ascii="Noto Sans CJK TC" w:eastAsia="Noto Sans CJK TC" w:hAnsi="Noto Sans CJK TC" w:cs="Noto Sans CJK TC"/>
          <w:i/>
          <w:iCs/>
          <w:color w:val="2D3748"/>
          <w:sz w:val="20"/>
          <w:szCs w:val="20"/>
        </w:rPr>
        <w:t xml:space="preserve"> 1</w:t>
      </w:r>
      <w:r>
        <w:rPr>
          <w:rFonts w:ascii="Noto Sans CJK TC" w:eastAsia="Noto Sans CJK TC" w:hAnsi="Noto Sans CJK TC" w:cs="Noto Sans CJK TC"/>
          <w:i/>
          <w:iCs/>
          <w:color w:val="2D3748"/>
          <w:sz w:val="20"/>
          <w:szCs w:val="20"/>
        </w:rPr>
        <w:t xml:space="preserve">　</w:t>
      </w:r>
      <w:r>
        <w:rPr>
          <w:rFonts w:ascii="Noto Sans CJK TC" w:eastAsia="Noto Sans CJK TC" w:hAnsi="Noto Sans CJK TC" w:cs="Noto Sans CJK TC"/>
          <w:i/>
          <w:iCs/>
          <w:color w:val="2D3748"/>
          <w:sz w:val="20"/>
          <w:szCs w:val="20"/>
        </w:rPr>
        <w:t xml:space="preserve">UCPR </w:t>
      </w:r>
      <w:r>
        <w:rPr>
          <w:rFonts w:ascii="Noto Sans CJK TC" w:eastAsia="Noto Sans CJK TC" w:hAnsi="Noto Sans CJK TC" w:cs="Noto Sans CJK TC"/>
          <w:i/>
          <w:iCs/>
          <w:color w:val="2D3748"/>
          <w:sz w:val="20"/>
          <w:szCs w:val="20"/>
        </w:rPr>
        <w:t>文本審計總</w:t>
      </w:r>
      <w:proofErr w:type="gramStart"/>
      <w:r>
        <w:rPr>
          <w:rFonts w:ascii="Noto Sans CJK TC" w:eastAsia="Noto Sans CJK TC" w:hAnsi="Noto Sans CJK TC" w:cs="Noto Sans CJK TC"/>
          <w:i/>
          <w:iCs/>
          <w:color w:val="2D3748"/>
          <w:sz w:val="20"/>
          <w:szCs w:val="20"/>
        </w:rPr>
        <w:t>覽</w:t>
      </w:r>
      <w:proofErr w:type="gramEnd"/>
      <w:r>
        <w:rPr>
          <w:rFonts w:ascii="Noto Sans CJK TC" w:eastAsia="Noto Sans CJK TC" w:hAnsi="Noto Sans CJK TC" w:cs="Noto Sans CJK TC"/>
          <w:i/>
          <w:iCs/>
          <w:color w:val="2D3748"/>
          <w:sz w:val="20"/>
          <w:szCs w:val="20"/>
        </w:rPr>
        <w:t>：臺灣、歐盟、加拿大現行機制強度（本圖為本文依現行文本進行之分級整理，非官方評等，逐條依據見參、肆、伍章）</w:t>
      </w:r>
    </w:p>
    <w:p w:rsidR="00FF05A2" w:rsidRDefault="00EE6916">
      <w:pPr>
        <w:pStyle w:val="2"/>
        <w:spacing w:before="280" w:after="140" w:line="340" w:lineRule="auto"/>
      </w:pPr>
      <w:r>
        <w:rPr>
          <w:rFonts w:ascii="Noto Sans CJK TC" w:eastAsia="Noto Sans CJK TC" w:hAnsi="Noto Sans CJK TC" w:cs="Noto Sans CJK TC"/>
          <w:b/>
          <w:bCs/>
          <w:color w:val="1A365D"/>
          <w:sz w:val="27"/>
          <w:szCs w:val="27"/>
        </w:rPr>
        <w:t>一、比較表：八項具體比較軸</w:t>
      </w:r>
    </w:p>
    <w:p w:rsidR="00FF05A2" w:rsidRDefault="00EE6916">
      <w:pPr>
        <w:spacing w:after="180" w:line="340" w:lineRule="auto"/>
        <w:jc w:val="both"/>
      </w:pPr>
      <w:r>
        <w:rPr>
          <w:rFonts w:eastAsia="Noto Serif CJK TC"/>
          <w:color w:val="1A202C"/>
        </w:rPr>
        <w:t>圖</w:t>
      </w:r>
      <w:r>
        <w:rPr>
          <w:rFonts w:eastAsia="Noto Serif CJK TC"/>
          <w:color w:val="1A202C"/>
        </w:rPr>
        <w:t>1</w:t>
      </w:r>
      <w:r>
        <w:rPr>
          <w:rFonts w:eastAsia="Noto Serif CJK TC"/>
          <w:color w:val="1A202C"/>
        </w:rPr>
        <w:t>呈現的是本文四軸架構之總</w:t>
      </w:r>
      <w:proofErr w:type="gramStart"/>
      <w:r>
        <w:rPr>
          <w:rFonts w:eastAsia="Noto Serif CJK TC"/>
          <w:color w:val="1A202C"/>
        </w:rPr>
        <w:t>覽</w:t>
      </w:r>
      <w:proofErr w:type="gramEnd"/>
      <w:r>
        <w:rPr>
          <w:rFonts w:eastAsia="Noto Serif CJK TC"/>
          <w:color w:val="1A202C"/>
        </w:rPr>
        <w:t>，下表則進一步依八項具體比較面向，彙整三</w:t>
      </w:r>
      <w:proofErr w:type="gramStart"/>
      <w:r>
        <w:rPr>
          <w:rFonts w:eastAsia="Noto Serif CJK TC"/>
          <w:color w:val="1A202C"/>
        </w:rPr>
        <w:t>法域</w:t>
      </w:r>
      <w:proofErr w:type="gramEnd"/>
      <w:r>
        <w:rPr>
          <w:rFonts w:eastAsia="Noto Serif CJK TC"/>
          <w:color w:val="1A202C"/>
        </w:rPr>
        <w:t>的現行文本差異：</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0"/>
        <w:gridCol w:w="2500"/>
        <w:gridCol w:w="2500"/>
        <w:gridCol w:w="2500"/>
      </w:tblGrid>
      <w:tr w:rsidR="00FF05A2">
        <w:tblPrEx>
          <w:tblCellMar>
            <w:top w:w="0" w:type="dxa"/>
            <w:bottom w:w="0" w:type="dxa"/>
          </w:tblCellMar>
        </w:tblPrEx>
        <w:trPr>
          <w:tblHeader/>
        </w:trPr>
        <w:tc>
          <w:tcPr>
            <w:tcW w:w="1500" w:type="dxa"/>
            <w:shd w:val="clear" w:color="auto" w:fill="1A365D"/>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b/>
                <w:bCs/>
                <w:color w:val="FFFFFF"/>
                <w:sz w:val="18"/>
                <w:szCs w:val="18"/>
              </w:rPr>
              <w:t>比較面向</w:t>
            </w:r>
          </w:p>
        </w:tc>
        <w:tc>
          <w:tcPr>
            <w:tcW w:w="2500" w:type="dxa"/>
            <w:shd w:val="clear" w:color="auto" w:fill="1A365D"/>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b/>
                <w:bCs/>
                <w:color w:val="FFFFFF"/>
                <w:sz w:val="18"/>
                <w:szCs w:val="18"/>
              </w:rPr>
              <w:t>臺灣</w:t>
            </w:r>
          </w:p>
        </w:tc>
        <w:tc>
          <w:tcPr>
            <w:tcW w:w="2500" w:type="dxa"/>
            <w:shd w:val="clear" w:color="auto" w:fill="1A365D"/>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b/>
                <w:bCs/>
                <w:color w:val="FFFFFF"/>
                <w:sz w:val="18"/>
                <w:szCs w:val="18"/>
              </w:rPr>
              <w:t>歐盟</w:t>
            </w:r>
          </w:p>
        </w:tc>
        <w:tc>
          <w:tcPr>
            <w:tcW w:w="2500" w:type="dxa"/>
            <w:shd w:val="clear" w:color="auto" w:fill="1A365D"/>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b/>
                <w:bCs/>
                <w:color w:val="FFFFFF"/>
                <w:sz w:val="18"/>
                <w:szCs w:val="18"/>
              </w:rPr>
              <w:t>加拿大</w:t>
            </w:r>
          </w:p>
        </w:tc>
      </w:tr>
      <w:tr w:rsidR="00FF05A2">
        <w:tblPrEx>
          <w:tblCellMar>
            <w:top w:w="0" w:type="dxa"/>
            <w:bottom w:w="0" w:type="dxa"/>
          </w:tblCellMar>
        </w:tblPrEx>
        <w:tc>
          <w:tcPr>
            <w:tcW w:w="15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法律位階與效力</w:t>
            </w:r>
          </w:p>
        </w:tc>
        <w:tc>
          <w:tcPr>
            <w:tcW w:w="25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框架性基本法，直接生效，多數操作性規定委由子法</w:t>
            </w:r>
          </w:p>
        </w:tc>
        <w:tc>
          <w:tcPr>
            <w:tcW w:w="25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直接生效之歐盟規章，無須會員國轉換立法</w:t>
            </w:r>
          </w:p>
        </w:tc>
        <w:tc>
          <w:tcPr>
            <w:tcW w:w="25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財政部政策指令，非國會立法，僅拘束聯邦機關自身</w:t>
            </w:r>
          </w:p>
        </w:tc>
      </w:tr>
      <w:tr w:rsidR="00FF05A2">
        <w:tblPrEx>
          <w:tblCellMar>
            <w:top w:w="0" w:type="dxa"/>
            <w:bottom w:w="0" w:type="dxa"/>
          </w:tblCellMar>
        </w:tblPrEx>
        <w:tc>
          <w:tcPr>
            <w:tcW w:w="1500" w:type="dxa"/>
            <w:shd w:val="clear" w:color="auto" w:fill="F7FAFC"/>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關鍵義務施行時程</w:t>
            </w:r>
          </w:p>
        </w:tc>
        <w:tc>
          <w:tcPr>
            <w:tcW w:w="2500" w:type="dxa"/>
            <w:shd w:val="clear" w:color="auto" w:fill="F7FAFC"/>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本法已施行，關鍵子法多尚未發布（子法期限約至</w:t>
            </w:r>
            <w:r>
              <w:rPr>
                <w:rFonts w:ascii="Noto Sans CJK TC" w:eastAsia="Noto Sans CJK TC" w:hAnsi="Noto Sans CJK TC" w:cs="Noto Sans CJK TC"/>
                <w:color w:val="1A202C"/>
                <w:sz w:val="18"/>
                <w:szCs w:val="18"/>
              </w:rPr>
              <w:t>2028</w:t>
            </w:r>
            <w:r>
              <w:rPr>
                <w:rFonts w:ascii="Noto Sans CJK TC" w:eastAsia="Noto Sans CJK TC" w:hAnsi="Noto Sans CJK TC" w:cs="Noto Sans CJK TC"/>
                <w:color w:val="1A202C"/>
                <w:sz w:val="18"/>
                <w:szCs w:val="18"/>
              </w:rPr>
              <w:t>年</w:t>
            </w:r>
            <w:r>
              <w:rPr>
                <w:rFonts w:ascii="Noto Sans CJK TC" w:eastAsia="Noto Sans CJK TC" w:hAnsi="Noto Sans CJK TC" w:cs="Noto Sans CJK TC"/>
                <w:color w:val="1A202C"/>
                <w:sz w:val="18"/>
                <w:szCs w:val="18"/>
              </w:rPr>
              <w:t>1</w:t>
            </w:r>
            <w:r>
              <w:rPr>
                <w:rFonts w:ascii="Noto Sans CJK TC" w:eastAsia="Noto Sans CJK TC" w:hAnsi="Noto Sans CJK TC" w:cs="Noto Sans CJK TC"/>
                <w:color w:val="1A202C"/>
                <w:sz w:val="18"/>
                <w:szCs w:val="18"/>
              </w:rPr>
              <w:t>月）</w:t>
            </w:r>
          </w:p>
        </w:tc>
        <w:tc>
          <w:tcPr>
            <w:tcW w:w="2500" w:type="dxa"/>
            <w:shd w:val="clear" w:color="auto" w:fill="F7FAFC"/>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母法已生效，惟獨立型高風險義務經</w:t>
            </w:r>
            <w:r>
              <w:rPr>
                <w:rFonts w:ascii="Noto Sans CJK TC" w:eastAsia="Noto Sans CJK TC" w:hAnsi="Noto Sans CJK TC" w:cs="Noto Sans CJK TC"/>
                <w:color w:val="1A202C"/>
                <w:sz w:val="18"/>
                <w:szCs w:val="18"/>
              </w:rPr>
              <w:t>Digital Omnibus</w:t>
            </w:r>
            <w:r>
              <w:rPr>
                <w:rFonts w:ascii="Noto Sans CJK TC" w:eastAsia="Noto Sans CJK TC" w:hAnsi="Noto Sans CJK TC" w:cs="Noto Sans CJK TC"/>
                <w:color w:val="1A202C"/>
                <w:sz w:val="18"/>
                <w:szCs w:val="18"/>
              </w:rPr>
              <w:t>延後至</w:t>
            </w:r>
            <w:r>
              <w:rPr>
                <w:rFonts w:ascii="Noto Sans CJK TC" w:eastAsia="Noto Sans CJK TC" w:hAnsi="Noto Sans CJK TC" w:cs="Noto Sans CJK TC"/>
                <w:color w:val="1A202C"/>
                <w:sz w:val="18"/>
                <w:szCs w:val="18"/>
              </w:rPr>
              <w:t>2027</w:t>
            </w:r>
            <w:r>
              <w:rPr>
                <w:rFonts w:ascii="Noto Sans CJK TC" w:eastAsia="Noto Sans CJK TC" w:hAnsi="Noto Sans CJK TC" w:cs="Noto Sans CJK TC"/>
                <w:color w:val="1A202C"/>
                <w:sz w:val="18"/>
                <w:szCs w:val="18"/>
              </w:rPr>
              <w:t>年</w:t>
            </w:r>
            <w:r>
              <w:rPr>
                <w:rFonts w:ascii="Noto Sans CJK TC" w:eastAsia="Noto Sans CJK TC" w:hAnsi="Noto Sans CJK TC" w:cs="Noto Sans CJK TC"/>
                <w:color w:val="1A202C"/>
                <w:sz w:val="18"/>
                <w:szCs w:val="18"/>
              </w:rPr>
              <w:t>12</w:t>
            </w:r>
            <w:r>
              <w:rPr>
                <w:rFonts w:ascii="Noto Sans CJK TC" w:eastAsia="Noto Sans CJK TC" w:hAnsi="Noto Sans CJK TC" w:cs="Noto Sans CJK TC"/>
                <w:color w:val="1A202C"/>
                <w:sz w:val="18"/>
                <w:szCs w:val="18"/>
              </w:rPr>
              <w:t>月</w:t>
            </w:r>
          </w:p>
        </w:tc>
        <w:tc>
          <w:tcPr>
            <w:tcW w:w="2500" w:type="dxa"/>
            <w:shd w:val="clear" w:color="auto" w:fill="F7FAFC"/>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指令已運作多年，無待補子法之過渡期問題</w:t>
            </w:r>
          </w:p>
        </w:tc>
      </w:tr>
      <w:tr w:rsidR="00FF05A2">
        <w:tblPrEx>
          <w:tblCellMar>
            <w:top w:w="0" w:type="dxa"/>
            <w:bottom w:w="0" w:type="dxa"/>
          </w:tblCellMar>
        </w:tblPrEx>
        <w:tc>
          <w:tcPr>
            <w:tcW w:w="15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認知能力制度化</w:t>
            </w:r>
            <w:r>
              <w:rPr>
                <w:rFonts w:ascii="Noto Sans CJK TC" w:eastAsia="Noto Sans CJK TC" w:hAnsi="Noto Sans CJK TC" w:cs="Noto Sans CJK TC"/>
                <w:color w:val="1A202C"/>
                <w:sz w:val="18"/>
                <w:szCs w:val="18"/>
              </w:rPr>
              <w:lastRenderedPageBreak/>
              <w:t>程度</w:t>
            </w:r>
          </w:p>
        </w:tc>
        <w:tc>
          <w:tcPr>
            <w:tcW w:w="25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lastRenderedPageBreak/>
              <w:t>第</w:t>
            </w:r>
            <w:r>
              <w:rPr>
                <w:rFonts w:ascii="Noto Sans CJK TC" w:eastAsia="Noto Sans CJK TC" w:hAnsi="Noto Sans CJK TC" w:cs="Noto Sans CJK TC"/>
                <w:color w:val="1A202C"/>
                <w:sz w:val="18"/>
                <w:szCs w:val="18"/>
              </w:rPr>
              <w:t>19</w:t>
            </w:r>
            <w:r>
              <w:rPr>
                <w:rFonts w:ascii="Noto Sans CJK TC" w:eastAsia="Noto Sans CJK TC" w:hAnsi="Noto Sans CJK TC" w:cs="Noto Sans CJK TC"/>
                <w:color w:val="1A202C"/>
                <w:sz w:val="18"/>
                <w:szCs w:val="18"/>
              </w:rPr>
              <w:t>條原則性要求風險評</w:t>
            </w:r>
            <w:r>
              <w:rPr>
                <w:rFonts w:ascii="Noto Sans CJK TC" w:eastAsia="Noto Sans CJK TC" w:hAnsi="Noto Sans CJK TC" w:cs="Noto Sans CJK TC"/>
                <w:color w:val="1A202C"/>
                <w:sz w:val="18"/>
                <w:szCs w:val="18"/>
              </w:rPr>
              <w:lastRenderedPageBreak/>
              <w:t>估，未明定方法與期限</w:t>
            </w:r>
          </w:p>
        </w:tc>
        <w:tc>
          <w:tcPr>
            <w:tcW w:w="25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lastRenderedPageBreak/>
              <w:t>第</w:t>
            </w:r>
            <w:r>
              <w:rPr>
                <w:rFonts w:ascii="Noto Sans CJK TC" w:eastAsia="Noto Sans CJK TC" w:hAnsi="Noto Sans CJK TC" w:cs="Noto Sans CJK TC"/>
                <w:color w:val="1A202C"/>
                <w:sz w:val="18"/>
                <w:szCs w:val="18"/>
              </w:rPr>
              <w:t>11</w:t>
            </w:r>
            <w:r>
              <w:rPr>
                <w:rFonts w:ascii="Noto Sans CJK TC" w:eastAsia="Noto Sans CJK TC" w:hAnsi="Noto Sans CJK TC" w:cs="Noto Sans CJK TC"/>
                <w:color w:val="1A202C"/>
                <w:sz w:val="18"/>
                <w:szCs w:val="18"/>
              </w:rPr>
              <w:t>、</w:t>
            </w:r>
            <w:r>
              <w:rPr>
                <w:rFonts w:ascii="Noto Sans CJK TC" w:eastAsia="Noto Sans CJK TC" w:hAnsi="Noto Sans CJK TC" w:cs="Noto Sans CJK TC"/>
                <w:color w:val="1A202C"/>
                <w:sz w:val="18"/>
                <w:szCs w:val="18"/>
              </w:rPr>
              <w:t>12</w:t>
            </w:r>
            <w:r>
              <w:rPr>
                <w:rFonts w:ascii="Noto Sans CJK TC" w:eastAsia="Noto Sans CJK TC" w:hAnsi="Noto Sans CJK TC" w:cs="Noto Sans CJK TC"/>
                <w:color w:val="1A202C"/>
                <w:sz w:val="18"/>
                <w:szCs w:val="18"/>
              </w:rPr>
              <w:t>條具體要求技術文</w:t>
            </w:r>
            <w:r>
              <w:rPr>
                <w:rFonts w:ascii="Noto Sans CJK TC" w:eastAsia="Noto Sans CJK TC" w:hAnsi="Noto Sans CJK TC" w:cs="Noto Sans CJK TC"/>
                <w:color w:val="1A202C"/>
                <w:sz w:val="18"/>
                <w:szCs w:val="18"/>
              </w:rPr>
              <w:lastRenderedPageBreak/>
              <w:t>件與日誌，惟多由供應商負擔</w:t>
            </w:r>
          </w:p>
        </w:tc>
        <w:tc>
          <w:tcPr>
            <w:tcW w:w="25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lastRenderedPageBreak/>
              <w:t>AIA</w:t>
            </w:r>
            <w:r>
              <w:rPr>
                <w:rFonts w:ascii="Noto Sans CJK TC" w:eastAsia="Noto Sans CJK TC" w:hAnsi="Noto Sans CJK TC" w:cs="Noto Sans CJK TC"/>
                <w:color w:val="1A202C"/>
                <w:sz w:val="18"/>
                <w:szCs w:val="18"/>
              </w:rPr>
              <w:t>強制於部署前完成並公</w:t>
            </w:r>
            <w:r>
              <w:rPr>
                <w:rFonts w:ascii="Noto Sans CJK TC" w:eastAsia="Noto Sans CJK TC" w:hAnsi="Noto Sans CJK TC" w:cs="Noto Sans CJK TC"/>
                <w:color w:val="1A202C"/>
                <w:sz w:val="18"/>
                <w:szCs w:val="18"/>
              </w:rPr>
              <w:lastRenderedPageBreak/>
              <w:t>開發布（第二級以上）</w:t>
            </w:r>
          </w:p>
        </w:tc>
      </w:tr>
      <w:tr w:rsidR="00FF05A2">
        <w:tblPrEx>
          <w:tblCellMar>
            <w:top w:w="0" w:type="dxa"/>
            <w:bottom w:w="0" w:type="dxa"/>
          </w:tblCellMar>
        </w:tblPrEx>
        <w:tc>
          <w:tcPr>
            <w:tcW w:w="1500" w:type="dxa"/>
            <w:shd w:val="clear" w:color="auto" w:fill="F7FAFC"/>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lastRenderedPageBreak/>
              <w:t>決策能力制度化程度</w:t>
            </w:r>
          </w:p>
        </w:tc>
        <w:tc>
          <w:tcPr>
            <w:tcW w:w="2500" w:type="dxa"/>
            <w:shd w:val="clear" w:color="auto" w:fill="F7FAFC"/>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第</w:t>
            </w:r>
            <w:r>
              <w:rPr>
                <w:rFonts w:ascii="Noto Sans CJK TC" w:eastAsia="Noto Sans CJK TC" w:hAnsi="Noto Sans CJK TC" w:cs="Noto Sans CJK TC"/>
                <w:color w:val="1A202C"/>
                <w:sz w:val="18"/>
                <w:szCs w:val="18"/>
              </w:rPr>
              <w:t>4</w:t>
            </w:r>
            <w:r>
              <w:rPr>
                <w:rFonts w:ascii="Noto Sans CJK TC" w:eastAsia="Noto Sans CJK TC" w:hAnsi="Noto Sans CJK TC" w:cs="Noto Sans CJK TC"/>
                <w:color w:val="1A202C"/>
                <w:sz w:val="18"/>
                <w:szCs w:val="18"/>
              </w:rPr>
              <w:t>條第</w:t>
            </w:r>
            <w:r>
              <w:rPr>
                <w:rFonts w:ascii="Noto Sans CJK TC" w:eastAsia="Noto Sans CJK TC" w:hAnsi="Noto Sans CJK TC" w:cs="Noto Sans CJK TC"/>
                <w:color w:val="1A202C"/>
                <w:sz w:val="18"/>
                <w:szCs w:val="18"/>
              </w:rPr>
              <w:t>2</w:t>
            </w:r>
            <w:r>
              <w:rPr>
                <w:rFonts w:ascii="Noto Sans CJK TC" w:eastAsia="Noto Sans CJK TC" w:hAnsi="Noto Sans CJK TC" w:cs="Noto Sans CJK TC"/>
                <w:color w:val="1A202C"/>
                <w:sz w:val="18"/>
                <w:szCs w:val="18"/>
              </w:rPr>
              <w:t>款為原則宣示，無明文否決或停止機制</w:t>
            </w:r>
          </w:p>
        </w:tc>
        <w:tc>
          <w:tcPr>
            <w:tcW w:w="2500" w:type="dxa"/>
            <w:shd w:val="clear" w:color="auto" w:fill="F7FAFC"/>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第</w:t>
            </w:r>
            <w:r>
              <w:rPr>
                <w:rFonts w:ascii="Noto Sans CJK TC" w:eastAsia="Noto Sans CJK TC" w:hAnsi="Noto Sans CJK TC" w:cs="Noto Sans CJK TC"/>
                <w:color w:val="1A202C"/>
                <w:sz w:val="18"/>
                <w:szCs w:val="18"/>
              </w:rPr>
              <w:t>14</w:t>
            </w:r>
            <w:r>
              <w:rPr>
                <w:rFonts w:ascii="Noto Sans CJK TC" w:eastAsia="Noto Sans CJK TC" w:hAnsi="Noto Sans CJK TC" w:cs="Noto Sans CJK TC"/>
                <w:color w:val="1A202C"/>
                <w:sz w:val="18"/>
                <w:szCs w:val="18"/>
              </w:rPr>
              <w:t>條明文規定監督、否決、推翻、停止機制</w:t>
            </w:r>
          </w:p>
        </w:tc>
        <w:tc>
          <w:tcPr>
            <w:tcW w:w="2500" w:type="dxa"/>
            <w:shd w:val="clear" w:color="auto" w:fill="F7FAFC"/>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僅第三、四級要求人工決定點，第一、二級得全自動化</w:t>
            </w:r>
          </w:p>
        </w:tc>
      </w:tr>
      <w:tr w:rsidR="00FF05A2">
        <w:tblPrEx>
          <w:tblCellMar>
            <w:top w:w="0" w:type="dxa"/>
            <w:bottom w:w="0" w:type="dxa"/>
          </w:tblCellMar>
        </w:tblPrEx>
        <w:tc>
          <w:tcPr>
            <w:tcW w:w="1500" w:type="dxa"/>
            <w:shd w:val="clear" w:color="auto" w:fill="FFFFFF"/>
            <w:tcMar>
              <w:top w:w="60" w:type="dxa"/>
              <w:left w:w="100" w:type="dxa"/>
              <w:bottom w:w="60" w:type="dxa"/>
              <w:right w:w="100" w:type="dxa"/>
            </w:tcMar>
            <w:vAlign w:val="center"/>
          </w:tcPr>
          <w:p w:rsidR="00FF05A2" w:rsidRDefault="00EE6916">
            <w:pPr>
              <w:spacing w:line="260" w:lineRule="auto"/>
            </w:pPr>
            <w:proofErr w:type="gramStart"/>
            <w:r>
              <w:rPr>
                <w:rFonts w:ascii="Noto Sans CJK TC" w:eastAsia="Noto Sans CJK TC" w:hAnsi="Noto Sans CJK TC" w:cs="Noto Sans CJK TC"/>
                <w:color w:val="1A202C"/>
                <w:sz w:val="18"/>
                <w:szCs w:val="18"/>
              </w:rPr>
              <w:t>課責能力</w:t>
            </w:r>
            <w:proofErr w:type="gramEnd"/>
            <w:r>
              <w:rPr>
                <w:rFonts w:ascii="Noto Sans CJK TC" w:eastAsia="Noto Sans CJK TC" w:hAnsi="Noto Sans CJK TC" w:cs="Noto Sans CJK TC"/>
                <w:color w:val="1A202C"/>
                <w:sz w:val="18"/>
                <w:szCs w:val="18"/>
              </w:rPr>
              <w:t>與救濟</w:t>
            </w:r>
          </w:p>
        </w:tc>
        <w:tc>
          <w:tcPr>
            <w:tcW w:w="25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第</w:t>
            </w:r>
            <w:r>
              <w:rPr>
                <w:rFonts w:ascii="Noto Sans CJK TC" w:eastAsia="Noto Sans CJK TC" w:hAnsi="Noto Sans CJK TC" w:cs="Noto Sans CJK TC"/>
                <w:color w:val="1A202C"/>
                <w:sz w:val="18"/>
                <w:szCs w:val="18"/>
              </w:rPr>
              <w:t>17</w:t>
            </w:r>
            <w:r>
              <w:rPr>
                <w:rFonts w:ascii="Noto Sans CJK TC" w:eastAsia="Noto Sans CJK TC" w:hAnsi="Noto Sans CJK TC" w:cs="Noto Sans CJK TC"/>
                <w:color w:val="1A202C"/>
                <w:sz w:val="18"/>
                <w:szCs w:val="18"/>
              </w:rPr>
              <w:t>條要求「建立」救濟機制，具體內容委由子法</w:t>
            </w:r>
          </w:p>
        </w:tc>
        <w:tc>
          <w:tcPr>
            <w:tcW w:w="25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第</w:t>
            </w:r>
            <w:r>
              <w:rPr>
                <w:rFonts w:ascii="Noto Sans CJK TC" w:eastAsia="Noto Sans CJK TC" w:hAnsi="Noto Sans CJK TC" w:cs="Noto Sans CJK TC"/>
                <w:color w:val="1A202C"/>
                <w:sz w:val="18"/>
                <w:szCs w:val="18"/>
              </w:rPr>
              <w:t>27</w:t>
            </w:r>
            <w:r>
              <w:rPr>
                <w:rFonts w:ascii="Noto Sans CJK TC" w:eastAsia="Noto Sans CJK TC" w:hAnsi="Noto Sans CJK TC" w:cs="Noto Sans CJK TC"/>
                <w:color w:val="1A202C"/>
                <w:sz w:val="18"/>
                <w:szCs w:val="18"/>
              </w:rPr>
              <w:t>條要求公部門作為部署者履行基本權利影響評估</w:t>
            </w:r>
          </w:p>
        </w:tc>
        <w:tc>
          <w:tcPr>
            <w:tcW w:w="25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僅告知並銜接既有行政救濟，未創設獨立新救濟權</w:t>
            </w:r>
          </w:p>
        </w:tc>
      </w:tr>
      <w:tr w:rsidR="00FF05A2">
        <w:tblPrEx>
          <w:tblCellMar>
            <w:top w:w="0" w:type="dxa"/>
            <w:bottom w:w="0" w:type="dxa"/>
          </w:tblCellMar>
        </w:tblPrEx>
        <w:tc>
          <w:tcPr>
            <w:tcW w:w="1500" w:type="dxa"/>
            <w:shd w:val="clear" w:color="auto" w:fill="F7FAFC"/>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執行與裁罰</w:t>
            </w:r>
          </w:p>
        </w:tc>
        <w:tc>
          <w:tcPr>
            <w:tcW w:w="2500" w:type="dxa"/>
            <w:shd w:val="clear" w:color="auto" w:fill="F7FAFC"/>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現行文</w:t>
            </w:r>
            <w:proofErr w:type="gramStart"/>
            <w:r>
              <w:rPr>
                <w:rFonts w:ascii="Noto Sans CJK TC" w:eastAsia="Noto Sans CJK TC" w:hAnsi="Noto Sans CJK TC" w:cs="Noto Sans CJK TC"/>
                <w:color w:val="1A202C"/>
                <w:sz w:val="18"/>
                <w:szCs w:val="18"/>
              </w:rPr>
              <w:t>本未見具體裁</w:t>
            </w:r>
            <w:proofErr w:type="gramEnd"/>
            <w:r>
              <w:rPr>
                <w:rFonts w:ascii="Noto Sans CJK TC" w:eastAsia="Noto Sans CJK TC" w:hAnsi="Noto Sans CJK TC" w:cs="Noto Sans CJK TC"/>
                <w:color w:val="1A202C"/>
                <w:sz w:val="18"/>
                <w:szCs w:val="18"/>
              </w:rPr>
              <w:t>罰規定</w:t>
            </w:r>
          </w:p>
        </w:tc>
        <w:tc>
          <w:tcPr>
            <w:tcW w:w="2500" w:type="dxa"/>
            <w:shd w:val="clear" w:color="auto" w:fill="F7FAFC"/>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第</w:t>
            </w:r>
            <w:r>
              <w:rPr>
                <w:rFonts w:ascii="Noto Sans CJK TC" w:eastAsia="Noto Sans CJK TC" w:hAnsi="Noto Sans CJK TC" w:cs="Noto Sans CJK TC"/>
                <w:color w:val="1A202C"/>
                <w:sz w:val="18"/>
                <w:szCs w:val="18"/>
              </w:rPr>
              <w:t>99</w:t>
            </w:r>
            <w:r>
              <w:rPr>
                <w:rFonts w:ascii="Noto Sans CJK TC" w:eastAsia="Noto Sans CJK TC" w:hAnsi="Noto Sans CJK TC" w:cs="Noto Sans CJK TC"/>
                <w:color w:val="1A202C"/>
                <w:sz w:val="18"/>
                <w:szCs w:val="18"/>
              </w:rPr>
              <w:t>條設定明確罰鍰上限，惟對公部門裁罰規則留予會員國</w:t>
            </w:r>
          </w:p>
        </w:tc>
        <w:tc>
          <w:tcPr>
            <w:tcW w:w="2500" w:type="dxa"/>
            <w:shd w:val="clear" w:color="auto" w:fill="F7FAFC"/>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僅行政糾正，無金錢罰則機制</w:t>
            </w:r>
          </w:p>
        </w:tc>
      </w:tr>
      <w:tr w:rsidR="00FF05A2">
        <w:tblPrEx>
          <w:tblCellMar>
            <w:top w:w="0" w:type="dxa"/>
            <w:bottom w:w="0" w:type="dxa"/>
          </w:tblCellMar>
        </w:tblPrEx>
        <w:tc>
          <w:tcPr>
            <w:tcW w:w="15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對民間供應商之拘束力</w:t>
            </w:r>
          </w:p>
        </w:tc>
        <w:tc>
          <w:tcPr>
            <w:tcW w:w="25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現行文</w:t>
            </w:r>
            <w:proofErr w:type="gramStart"/>
            <w:r>
              <w:rPr>
                <w:rFonts w:ascii="Noto Sans CJK TC" w:eastAsia="Noto Sans CJK TC" w:hAnsi="Noto Sans CJK TC" w:cs="Noto Sans CJK TC"/>
                <w:color w:val="1A202C"/>
                <w:sz w:val="18"/>
                <w:szCs w:val="18"/>
              </w:rPr>
              <w:t>本未</w:t>
            </w:r>
            <w:proofErr w:type="gramEnd"/>
            <w:r>
              <w:rPr>
                <w:rFonts w:ascii="Noto Sans CJK TC" w:eastAsia="Noto Sans CJK TC" w:hAnsi="Noto Sans CJK TC" w:cs="Noto Sans CJK TC"/>
                <w:color w:val="1A202C"/>
                <w:sz w:val="18"/>
                <w:szCs w:val="18"/>
              </w:rPr>
              <w:t>見採購或供應商契約相關條款</w:t>
            </w:r>
          </w:p>
        </w:tc>
        <w:tc>
          <w:tcPr>
            <w:tcW w:w="25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明確區分供應商與部署者義務，供應商負較重之技術文件責任</w:t>
            </w:r>
          </w:p>
        </w:tc>
        <w:tc>
          <w:tcPr>
            <w:tcW w:w="25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要求委外開發系統同樣完成</w:t>
            </w:r>
            <w:r>
              <w:rPr>
                <w:rFonts w:ascii="Noto Sans CJK TC" w:eastAsia="Noto Sans CJK TC" w:hAnsi="Noto Sans CJK TC" w:cs="Noto Sans CJK TC"/>
                <w:color w:val="1A202C"/>
                <w:sz w:val="18"/>
                <w:szCs w:val="18"/>
              </w:rPr>
              <w:t>AIA</w:t>
            </w:r>
            <w:r>
              <w:rPr>
                <w:rFonts w:ascii="Noto Sans CJK TC" w:eastAsia="Noto Sans CJK TC" w:hAnsi="Noto Sans CJK TC" w:cs="Noto Sans CJK TC"/>
                <w:color w:val="1A202C"/>
                <w:sz w:val="18"/>
                <w:szCs w:val="18"/>
              </w:rPr>
              <w:t>，惟未見供應商專屬條款</w:t>
            </w:r>
          </w:p>
        </w:tc>
      </w:tr>
      <w:tr w:rsidR="00FF05A2">
        <w:tblPrEx>
          <w:tblCellMar>
            <w:top w:w="0" w:type="dxa"/>
            <w:bottom w:w="0" w:type="dxa"/>
          </w:tblCellMar>
        </w:tblPrEx>
        <w:tc>
          <w:tcPr>
            <w:tcW w:w="1500" w:type="dxa"/>
            <w:shd w:val="clear" w:color="auto" w:fill="F7FAFC"/>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修正／變動之政治門檻</w:t>
            </w:r>
          </w:p>
        </w:tc>
        <w:tc>
          <w:tcPr>
            <w:tcW w:w="2500" w:type="dxa"/>
            <w:shd w:val="clear" w:color="auto" w:fill="F7FAFC"/>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修法須經立法院；子法由行政機關訂定，門檻較低</w:t>
            </w:r>
          </w:p>
        </w:tc>
        <w:tc>
          <w:tcPr>
            <w:tcW w:w="2500" w:type="dxa"/>
            <w:shd w:val="clear" w:color="auto" w:fill="F7FAFC"/>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修法須經歐洲議會與理事會（如</w:t>
            </w:r>
            <w:r>
              <w:rPr>
                <w:rFonts w:ascii="Noto Sans CJK TC" w:eastAsia="Noto Sans CJK TC" w:hAnsi="Noto Sans CJK TC" w:cs="Noto Sans CJK TC"/>
                <w:color w:val="1A202C"/>
                <w:sz w:val="18"/>
                <w:szCs w:val="18"/>
              </w:rPr>
              <w:t>Digital Omnibus</w:t>
            </w:r>
            <w:r>
              <w:rPr>
                <w:rFonts w:ascii="Noto Sans CJK TC" w:eastAsia="Noto Sans CJK TC" w:hAnsi="Noto Sans CJK TC" w:cs="Noto Sans CJK TC"/>
                <w:color w:val="1A202C"/>
                <w:sz w:val="18"/>
                <w:szCs w:val="18"/>
              </w:rPr>
              <w:t>之修正程序）</w:t>
            </w:r>
          </w:p>
        </w:tc>
        <w:tc>
          <w:tcPr>
            <w:tcW w:w="2500" w:type="dxa"/>
            <w:shd w:val="clear" w:color="auto" w:fill="F7FAFC"/>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指令由財政部本部單方訂定與修正，門檻最低</w:t>
            </w:r>
          </w:p>
        </w:tc>
      </w:tr>
      <w:tr w:rsidR="00FF05A2">
        <w:tblPrEx>
          <w:tblCellMar>
            <w:top w:w="0" w:type="dxa"/>
            <w:bottom w:w="0" w:type="dxa"/>
          </w:tblCellMar>
        </w:tblPrEx>
        <w:tc>
          <w:tcPr>
            <w:tcW w:w="15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人工介入實際層級（貳</w:t>
            </w:r>
            <w:r>
              <w:rPr>
                <w:rFonts w:ascii="Noto Sans CJK TC" w:eastAsia="Noto Sans CJK TC" w:hAnsi="Noto Sans CJK TC" w:cs="Noto Sans CJK TC"/>
                <w:color w:val="1A202C"/>
                <w:sz w:val="18"/>
                <w:szCs w:val="18"/>
              </w:rPr>
              <w:t>-</w:t>
            </w:r>
            <w:r>
              <w:rPr>
                <w:rFonts w:ascii="Noto Sans CJK TC" w:eastAsia="Noto Sans CJK TC" w:hAnsi="Noto Sans CJK TC" w:cs="Noto Sans CJK TC"/>
                <w:color w:val="1A202C"/>
                <w:sz w:val="18"/>
                <w:szCs w:val="18"/>
              </w:rPr>
              <w:t>六六層強度）</w:t>
            </w:r>
          </w:p>
        </w:tc>
        <w:tc>
          <w:tcPr>
            <w:tcW w:w="25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第</w:t>
            </w:r>
            <w:r>
              <w:rPr>
                <w:rFonts w:ascii="Noto Sans CJK TC" w:eastAsia="Noto Sans CJK TC" w:hAnsi="Noto Sans CJK TC" w:cs="Noto Sans CJK TC"/>
                <w:color w:val="1A202C"/>
                <w:sz w:val="18"/>
                <w:szCs w:val="18"/>
              </w:rPr>
              <w:t>4</w:t>
            </w:r>
            <w:r>
              <w:rPr>
                <w:rFonts w:ascii="Noto Sans CJK TC" w:eastAsia="Noto Sans CJK TC" w:hAnsi="Noto Sans CJK TC" w:cs="Noto Sans CJK TC"/>
                <w:color w:val="1A202C"/>
                <w:sz w:val="18"/>
                <w:szCs w:val="18"/>
              </w:rPr>
              <w:t>條第</w:t>
            </w:r>
            <w:r>
              <w:rPr>
                <w:rFonts w:ascii="Noto Sans CJK TC" w:eastAsia="Noto Sans CJK TC" w:hAnsi="Noto Sans CJK TC" w:cs="Noto Sans CJK TC"/>
                <w:color w:val="1A202C"/>
                <w:sz w:val="18"/>
                <w:szCs w:val="18"/>
              </w:rPr>
              <w:t>2</w:t>
            </w:r>
            <w:r>
              <w:rPr>
                <w:rFonts w:ascii="Noto Sans CJK TC" w:eastAsia="Noto Sans CJK TC" w:hAnsi="Noto Sans CJK TC" w:cs="Noto Sans CJK TC"/>
                <w:color w:val="1A202C"/>
                <w:sz w:val="18"/>
                <w:szCs w:val="18"/>
              </w:rPr>
              <w:t>款文</w:t>
            </w:r>
            <w:proofErr w:type="gramStart"/>
            <w:r>
              <w:rPr>
                <w:rFonts w:ascii="Noto Sans CJK TC" w:eastAsia="Noto Sans CJK TC" w:hAnsi="Noto Sans CJK TC" w:cs="Noto Sans CJK TC"/>
                <w:color w:val="1A202C"/>
                <w:sz w:val="18"/>
                <w:szCs w:val="18"/>
              </w:rPr>
              <w:t>義僅達第</w:t>
            </w:r>
            <w:proofErr w:type="gramEnd"/>
            <w:r>
              <w:rPr>
                <w:rFonts w:ascii="Noto Sans CJK TC" w:eastAsia="Noto Sans CJK TC" w:hAnsi="Noto Sans CJK TC" w:cs="Noto Sans CJK TC"/>
                <w:color w:val="1A202C"/>
                <w:sz w:val="18"/>
                <w:szCs w:val="18"/>
              </w:rPr>
              <w:t>二層「人工監督」，未觸及覆核、否決或重新作成</w:t>
            </w:r>
          </w:p>
        </w:tc>
        <w:tc>
          <w:tcPr>
            <w:tcW w:w="25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第</w:t>
            </w:r>
            <w:r>
              <w:rPr>
                <w:rFonts w:ascii="Noto Sans CJK TC" w:eastAsia="Noto Sans CJK TC" w:hAnsi="Noto Sans CJK TC" w:cs="Noto Sans CJK TC"/>
                <w:color w:val="1A202C"/>
                <w:sz w:val="18"/>
                <w:szCs w:val="18"/>
              </w:rPr>
              <w:t>14</w:t>
            </w:r>
            <w:r>
              <w:rPr>
                <w:rFonts w:ascii="Noto Sans CJK TC" w:eastAsia="Noto Sans CJK TC" w:hAnsi="Noto Sans CJK TC" w:cs="Noto Sans CJK TC"/>
                <w:color w:val="1A202C"/>
                <w:sz w:val="18"/>
                <w:szCs w:val="18"/>
              </w:rPr>
              <w:t>條第</w:t>
            </w:r>
            <w:r>
              <w:rPr>
                <w:rFonts w:ascii="Noto Sans CJK TC" w:eastAsia="Noto Sans CJK TC" w:hAnsi="Noto Sans CJK TC" w:cs="Noto Sans CJK TC"/>
                <w:color w:val="1A202C"/>
                <w:sz w:val="18"/>
                <w:szCs w:val="18"/>
              </w:rPr>
              <w:t>4</w:t>
            </w:r>
            <w:r>
              <w:rPr>
                <w:rFonts w:ascii="Noto Sans CJK TC" w:eastAsia="Noto Sans CJK TC" w:hAnsi="Noto Sans CJK TC" w:cs="Noto Sans CJK TC"/>
                <w:color w:val="1A202C"/>
                <w:sz w:val="18"/>
                <w:szCs w:val="18"/>
              </w:rPr>
              <w:t>項橫跨第二至第五層：監督（</w:t>
            </w:r>
            <w:r>
              <w:rPr>
                <w:rFonts w:ascii="Noto Sans CJK TC" w:eastAsia="Noto Sans CJK TC" w:hAnsi="Noto Sans CJK TC" w:cs="Noto Sans CJK TC"/>
                <w:color w:val="1A202C"/>
                <w:sz w:val="18"/>
                <w:szCs w:val="18"/>
              </w:rPr>
              <w:t>(a)</w:t>
            </w:r>
            <w:r>
              <w:rPr>
                <w:rFonts w:ascii="Noto Sans CJK TC" w:eastAsia="Noto Sans CJK TC" w:hAnsi="Noto Sans CJK TC" w:cs="Noto Sans CJK TC"/>
                <w:color w:val="1A202C"/>
                <w:sz w:val="18"/>
                <w:szCs w:val="18"/>
              </w:rPr>
              <w:t>款）、覆核（</w:t>
            </w:r>
            <w:r>
              <w:rPr>
                <w:rFonts w:ascii="Noto Sans CJK TC" w:eastAsia="Noto Sans CJK TC" w:hAnsi="Noto Sans CJK TC" w:cs="Noto Sans CJK TC"/>
                <w:color w:val="1A202C"/>
                <w:sz w:val="18"/>
                <w:szCs w:val="18"/>
              </w:rPr>
              <w:t>(c)</w:t>
            </w:r>
            <w:r>
              <w:rPr>
                <w:rFonts w:ascii="Noto Sans CJK TC" w:eastAsia="Noto Sans CJK TC" w:hAnsi="Noto Sans CJK TC" w:cs="Noto Sans CJK TC"/>
                <w:color w:val="1A202C"/>
                <w:sz w:val="18"/>
                <w:szCs w:val="18"/>
              </w:rPr>
              <w:t>款）、否決（</w:t>
            </w:r>
            <w:r>
              <w:rPr>
                <w:rFonts w:ascii="Noto Sans CJK TC" w:eastAsia="Noto Sans CJK TC" w:hAnsi="Noto Sans CJK TC" w:cs="Noto Sans CJK TC"/>
                <w:color w:val="1A202C"/>
                <w:sz w:val="18"/>
                <w:szCs w:val="18"/>
              </w:rPr>
              <w:t>(d)</w:t>
            </w:r>
            <w:r>
              <w:rPr>
                <w:rFonts w:ascii="Noto Sans CJK TC" w:eastAsia="Noto Sans CJK TC" w:hAnsi="Noto Sans CJK TC" w:cs="Noto Sans CJK TC"/>
                <w:color w:val="1A202C"/>
                <w:sz w:val="18"/>
                <w:szCs w:val="18"/>
              </w:rPr>
              <w:t>款）、重新作成（</w:t>
            </w:r>
            <w:r>
              <w:rPr>
                <w:rFonts w:ascii="Noto Sans CJK TC" w:eastAsia="Noto Sans CJK TC" w:hAnsi="Noto Sans CJK TC" w:cs="Noto Sans CJK TC"/>
                <w:color w:val="1A202C"/>
                <w:sz w:val="18"/>
                <w:szCs w:val="18"/>
              </w:rPr>
              <w:t>(e)</w:t>
            </w:r>
            <w:r>
              <w:rPr>
                <w:rFonts w:ascii="Noto Sans CJK TC" w:eastAsia="Noto Sans CJK TC" w:hAnsi="Noto Sans CJK TC" w:cs="Noto Sans CJK TC"/>
                <w:color w:val="1A202C"/>
                <w:sz w:val="18"/>
                <w:szCs w:val="18"/>
              </w:rPr>
              <w:t>款）</w:t>
            </w:r>
          </w:p>
        </w:tc>
        <w:tc>
          <w:tcPr>
            <w:tcW w:w="25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第三、四級達第四、五層（否決、重新作成）；第一、二級無強制人工介入層級可言</w:t>
            </w:r>
          </w:p>
        </w:tc>
      </w:tr>
    </w:tbl>
    <w:p w:rsidR="00FF05A2" w:rsidRDefault="00EE6916">
      <w:pPr>
        <w:spacing w:after="180" w:line="340" w:lineRule="auto"/>
        <w:jc w:val="both"/>
      </w:pPr>
      <w:r>
        <w:rPr>
          <w:rFonts w:eastAsia="Noto Serif CJK TC"/>
          <w:color w:val="1A202C"/>
        </w:rPr>
        <w:t>這一列的目的，是把「人類監督」一詞在三份文本中實際對應的介入強度並列呈現：三</w:t>
      </w:r>
      <w:proofErr w:type="gramStart"/>
      <w:r>
        <w:rPr>
          <w:rFonts w:eastAsia="Noto Serif CJK TC"/>
          <w:color w:val="1A202C"/>
        </w:rPr>
        <w:t>法域字面</w:t>
      </w:r>
      <w:proofErr w:type="gramEnd"/>
      <w:r>
        <w:rPr>
          <w:rFonts w:eastAsia="Noto Serif CJK TC"/>
          <w:color w:val="1A202C"/>
        </w:rPr>
        <w:t>上都使用了近似「人類監督」的措辭，但實際</w:t>
      </w:r>
      <w:proofErr w:type="gramStart"/>
      <w:r>
        <w:rPr>
          <w:rFonts w:eastAsia="Noto Serif CJK TC"/>
          <w:color w:val="1A202C"/>
        </w:rPr>
        <w:t>落於</w:t>
      </w:r>
      <w:proofErr w:type="gramEnd"/>
      <w:r>
        <w:rPr>
          <w:rFonts w:eastAsia="Noto Serif CJK TC"/>
          <w:color w:val="1A202C"/>
        </w:rPr>
        <w:t>貳</w:t>
      </w:r>
      <w:r>
        <w:rPr>
          <w:rFonts w:eastAsia="Noto Serif CJK TC"/>
          <w:color w:val="1A202C"/>
        </w:rPr>
        <w:t>-</w:t>
      </w:r>
      <w:r>
        <w:rPr>
          <w:rFonts w:eastAsia="Noto Serif CJK TC"/>
          <w:color w:val="1A202C"/>
        </w:rPr>
        <w:t>六節六層強度中的哪一層，彼此差異顯著</w:t>
      </w:r>
      <w:r>
        <w:rPr>
          <w:rFonts w:eastAsia="Noto Serif CJK TC"/>
          <w:color w:val="1A202C"/>
        </w:rPr>
        <w:t>——</w:t>
      </w:r>
      <w:r>
        <w:rPr>
          <w:rFonts w:eastAsia="Noto Serif CJK TC"/>
          <w:color w:val="1A202C"/>
        </w:rPr>
        <w:t>這正是貳</w:t>
      </w:r>
      <w:r>
        <w:rPr>
          <w:rFonts w:eastAsia="Noto Serif CJK TC"/>
          <w:color w:val="1A202C"/>
        </w:rPr>
        <w:t>-</w:t>
      </w:r>
      <w:r>
        <w:rPr>
          <w:rFonts w:eastAsia="Noto Serif CJK TC"/>
          <w:color w:val="1A202C"/>
        </w:rPr>
        <w:t>六節所欲避免的「表面對稱、實質不對稱」問題之具體化。</w:t>
      </w:r>
    </w:p>
    <w:p w:rsidR="00FF05A2" w:rsidRDefault="00EE6916">
      <w:pPr>
        <w:pStyle w:val="2"/>
        <w:spacing w:before="280" w:after="140" w:line="340" w:lineRule="auto"/>
      </w:pPr>
      <w:r>
        <w:rPr>
          <w:rFonts w:ascii="Noto Sans CJK TC" w:eastAsia="Noto Sans CJK TC" w:hAnsi="Noto Sans CJK TC" w:cs="Noto Sans CJK TC"/>
          <w:b/>
          <w:bCs/>
          <w:color w:val="1A365D"/>
          <w:sz w:val="27"/>
          <w:szCs w:val="27"/>
        </w:rPr>
        <w:t>二、初步命題檢驗：</w:t>
      </w:r>
      <w:r>
        <w:rPr>
          <w:rFonts w:ascii="Noto Sans CJK TC" w:eastAsia="Noto Sans CJK TC" w:hAnsi="Noto Sans CJK TC" w:cs="Noto Sans CJK TC"/>
          <w:b/>
          <w:bCs/>
          <w:color w:val="1A365D"/>
          <w:sz w:val="27"/>
          <w:szCs w:val="27"/>
        </w:rPr>
        <w:t>032 P3</w:t>
      </w:r>
      <w:r>
        <w:rPr>
          <w:rFonts w:ascii="Noto Sans CJK TC" w:eastAsia="Noto Sans CJK TC" w:hAnsi="Noto Sans CJK TC" w:cs="Noto Sans CJK TC"/>
          <w:b/>
          <w:bCs/>
          <w:color w:val="1A365D"/>
          <w:sz w:val="27"/>
          <w:szCs w:val="27"/>
        </w:rPr>
        <w:t>、</w:t>
      </w:r>
      <w:r>
        <w:rPr>
          <w:rFonts w:ascii="Noto Sans CJK TC" w:eastAsia="Noto Sans CJK TC" w:hAnsi="Noto Sans CJK TC" w:cs="Noto Sans CJK TC"/>
          <w:b/>
          <w:bCs/>
          <w:color w:val="1A365D"/>
          <w:sz w:val="27"/>
          <w:szCs w:val="27"/>
        </w:rPr>
        <w:t xml:space="preserve">P4 </w:t>
      </w:r>
      <w:r>
        <w:rPr>
          <w:rFonts w:ascii="Noto Sans CJK TC" w:eastAsia="Noto Sans CJK TC" w:hAnsi="Noto Sans CJK TC" w:cs="Noto Sans CJK TC"/>
          <w:b/>
          <w:bCs/>
          <w:color w:val="1A365D"/>
          <w:sz w:val="27"/>
          <w:szCs w:val="27"/>
        </w:rPr>
        <w:t>在文本層次的初步印證</w:t>
      </w:r>
    </w:p>
    <w:p w:rsidR="00FF05A2" w:rsidRDefault="00EE6916">
      <w:pPr>
        <w:spacing w:after="180" w:line="340" w:lineRule="auto"/>
        <w:jc w:val="both"/>
      </w:pPr>
      <w:r>
        <w:rPr>
          <w:rFonts w:eastAsia="Noto Serif CJK TC"/>
          <w:color w:val="1A202C"/>
        </w:rPr>
        <w:t>對照</w:t>
      </w:r>
      <w:r>
        <w:rPr>
          <w:rFonts w:eastAsia="Noto Serif CJK TC"/>
          <w:color w:val="1A202C"/>
        </w:rPr>
        <w:t xml:space="preserve"> 032 </w:t>
      </w:r>
      <w:r>
        <w:rPr>
          <w:rFonts w:eastAsia="Noto Serif CJK TC"/>
          <w:color w:val="1A202C"/>
        </w:rPr>
        <w:t>之</w:t>
      </w:r>
      <w:r>
        <w:rPr>
          <w:rFonts w:eastAsia="Noto Serif CJK TC"/>
          <w:color w:val="1A202C"/>
        </w:rPr>
        <w:t xml:space="preserve"> P3 </w:t>
      </w:r>
      <w:r>
        <w:rPr>
          <w:rFonts w:eastAsia="Noto Serif CJK TC"/>
          <w:color w:val="1A202C"/>
        </w:rPr>
        <w:t>再介入能力命題，本文的文本審計為其提供了文本層次的初步支持，但尚不構成命題之完整驗證：三法域中，唯有明文規定事中否決、推翻與停止機制者（歐盟第</w:t>
      </w:r>
      <w:r>
        <w:rPr>
          <w:rFonts w:eastAsia="Noto Serif CJK TC"/>
          <w:color w:val="1A202C"/>
        </w:rPr>
        <w:t>14</w:t>
      </w:r>
      <w:r>
        <w:rPr>
          <w:rFonts w:eastAsia="Noto Serif CJK TC"/>
          <w:color w:val="1A202C"/>
        </w:rPr>
        <w:t>條），其決策能力的審計結果為「條文已明定具體機制」；僅有事後救濟或原則性宣示者（臺灣第</w:t>
      </w:r>
      <w:r>
        <w:rPr>
          <w:rFonts w:eastAsia="Noto Serif CJK TC"/>
          <w:color w:val="1A202C"/>
        </w:rPr>
        <w:t>4</w:t>
      </w:r>
      <w:r>
        <w:rPr>
          <w:rFonts w:eastAsia="Noto Serif CJK TC"/>
          <w:color w:val="1A202C"/>
        </w:rPr>
        <w:t>條第</w:t>
      </w:r>
      <w:r>
        <w:rPr>
          <w:rFonts w:eastAsia="Noto Serif CJK TC"/>
          <w:color w:val="1A202C"/>
        </w:rPr>
        <w:t>2</w:t>
      </w:r>
      <w:r>
        <w:rPr>
          <w:rFonts w:eastAsia="Noto Serif CJK TC"/>
          <w:color w:val="1A202C"/>
        </w:rPr>
        <w:t>款、加拿大第一、二級系統），其決策能力審計結果則明顯較弱</w:t>
      </w:r>
      <w:proofErr w:type="gramStart"/>
      <w:r>
        <w:rPr>
          <w:rFonts w:eastAsia="Noto Serif CJK TC"/>
          <w:color w:val="1A202C"/>
        </w:rPr>
        <w:t>—</w:t>
      </w:r>
      <w:proofErr w:type="gramEnd"/>
      <w:r>
        <w:rPr>
          <w:rFonts w:eastAsia="Noto Serif CJK TC"/>
          <w:color w:val="1A202C"/>
        </w:rPr>
        <w:t>—</w:t>
      </w:r>
      <w:r>
        <w:rPr>
          <w:rFonts w:eastAsia="Noto Serif CJK TC"/>
          <w:color w:val="1A202C"/>
        </w:rPr>
        <w:t>這與</w:t>
      </w:r>
      <w:r>
        <w:rPr>
          <w:rFonts w:eastAsia="Noto Serif CJK TC"/>
          <w:color w:val="1A202C"/>
        </w:rPr>
        <w:t xml:space="preserve"> P3 </w:t>
      </w:r>
      <w:r>
        <w:rPr>
          <w:rFonts w:eastAsia="Noto Serif CJK TC"/>
          <w:color w:val="1A202C"/>
        </w:rPr>
        <w:t>所預測的方向一致：事中權限的有無，是決定性的差異，而非事後救濟是否存在。</w:t>
      </w:r>
      <w:proofErr w:type="gramStart"/>
      <w:r>
        <w:rPr>
          <w:rFonts w:eastAsia="Noto Serif CJK TC"/>
          <w:color w:val="1A202C"/>
        </w:rPr>
        <w:t>惟如貳</w:t>
      </w:r>
      <w:proofErr w:type="gramEnd"/>
      <w:r>
        <w:rPr>
          <w:rFonts w:eastAsia="Noto Serif CJK TC"/>
          <w:color w:val="1A202C"/>
        </w:rPr>
        <w:t>-</w:t>
      </w:r>
      <w:r>
        <w:rPr>
          <w:rFonts w:eastAsia="Noto Serif CJK TC"/>
          <w:color w:val="1A202C"/>
        </w:rPr>
        <w:t>五節所述，本文提供的僅是規範性實質能力層次的初步支持，顯示</w:t>
      </w:r>
      <w:r>
        <w:rPr>
          <w:rFonts w:eastAsia="Noto Serif CJK TC"/>
          <w:color w:val="1A202C"/>
        </w:rPr>
        <w:t xml:space="preserve"> P3 </w:t>
      </w:r>
      <w:r>
        <w:rPr>
          <w:rFonts w:eastAsia="Noto Serif CJK TC"/>
          <w:color w:val="1A202C"/>
        </w:rPr>
        <w:t>命題具有制度分析上的可用性；</w:t>
      </w:r>
      <w:r>
        <w:rPr>
          <w:rFonts w:eastAsia="Noto Serif CJK TC"/>
          <w:color w:val="1A202C"/>
        </w:rPr>
        <w:t>P</w:t>
      </w:r>
      <w:r>
        <w:rPr>
          <w:rFonts w:eastAsia="Noto Serif CJK TC"/>
          <w:color w:val="1A202C"/>
        </w:rPr>
        <w:t xml:space="preserve">3 </w:t>
      </w:r>
      <w:r>
        <w:rPr>
          <w:rFonts w:eastAsia="Noto Serif CJK TC"/>
          <w:color w:val="1A202C"/>
        </w:rPr>
        <w:t>命題所稱的「充分的</w:t>
      </w:r>
      <w:r>
        <w:rPr>
          <w:rFonts w:eastAsia="Noto Serif CJK TC"/>
          <w:color w:val="1A202C"/>
        </w:rPr>
        <w:t xml:space="preserve"> UCPR</w:t>
      </w:r>
      <w:r>
        <w:rPr>
          <w:rFonts w:eastAsia="Noto Serif CJK TC"/>
          <w:color w:val="1A202C"/>
        </w:rPr>
        <w:t>」最終仍須以系統是否被實際行使該等權限之經驗資料檢驗，本文對此不作進一步宣稱，亦不以本文之發現替代該項經驗檢驗。</w:t>
      </w:r>
    </w:p>
    <w:p w:rsidR="00FF05A2" w:rsidRDefault="00EE6916">
      <w:pPr>
        <w:spacing w:after="180" w:line="340" w:lineRule="auto"/>
        <w:jc w:val="both"/>
      </w:pPr>
      <w:r>
        <w:rPr>
          <w:rFonts w:eastAsia="Noto Serif CJK TC"/>
          <w:color w:val="1A202C"/>
        </w:rPr>
        <w:t>對照</w:t>
      </w:r>
      <w:r>
        <w:rPr>
          <w:rFonts w:eastAsia="Noto Serif CJK TC"/>
          <w:color w:val="1A202C"/>
        </w:rPr>
        <w:t xml:space="preserve"> P4 </w:t>
      </w:r>
      <w:r>
        <w:rPr>
          <w:rFonts w:eastAsia="Noto Serif CJK TC"/>
          <w:color w:val="1A202C"/>
        </w:rPr>
        <w:t>外包風險命題，本文的發現同樣提供文本層次的初步支持，且提供了一個</w:t>
      </w:r>
      <w:r>
        <w:rPr>
          <w:rFonts w:eastAsia="Noto Serif CJK TC"/>
          <w:color w:val="1A202C"/>
        </w:rPr>
        <w:t xml:space="preserve"> 032 </w:t>
      </w:r>
      <w:r>
        <w:rPr>
          <w:rFonts w:eastAsia="Noto Serif CJK TC"/>
          <w:color w:val="1A202C"/>
        </w:rPr>
        <w:t>原本未及處理的制度設計面向：歐盟人工智慧法透過供應商與部</w:t>
      </w:r>
      <w:proofErr w:type="gramStart"/>
      <w:r>
        <w:rPr>
          <w:rFonts w:eastAsia="Noto Serif CJK TC"/>
          <w:color w:val="1A202C"/>
        </w:rPr>
        <w:t>署者</w:t>
      </w:r>
      <w:proofErr w:type="gramEnd"/>
      <w:r>
        <w:rPr>
          <w:rFonts w:eastAsia="Noto Serif CJK TC"/>
          <w:color w:val="1A202C"/>
        </w:rPr>
        <w:t>的義務分工，試圖以法律明文要求供應商配合部署者的認知需求，這可理解為一種針對</w:t>
      </w:r>
      <w:r>
        <w:rPr>
          <w:rFonts w:eastAsia="Noto Serif CJK TC"/>
          <w:color w:val="1A202C"/>
        </w:rPr>
        <w:t xml:space="preserve"> P4 </w:t>
      </w:r>
      <w:r>
        <w:rPr>
          <w:rFonts w:eastAsia="Noto Serif CJK TC"/>
          <w:color w:val="1A202C"/>
        </w:rPr>
        <w:t>風險的制度性回應嘗試；而就本文所選定之《人工智慧基本法》文本而言，現行條文全文未見任何供應商或採購契約之相關規定，意味著這部文本目前未提</w:t>
      </w:r>
      <w:r>
        <w:rPr>
          <w:rFonts w:eastAsia="Noto Serif CJK TC"/>
          <w:color w:val="1A202C"/>
        </w:rPr>
        <w:t>供防止</w:t>
      </w:r>
      <w:r>
        <w:rPr>
          <w:rFonts w:eastAsia="Noto Serif CJK TC"/>
          <w:color w:val="1A202C"/>
        </w:rPr>
        <w:t xml:space="preserve"> P4 </w:t>
      </w:r>
      <w:r>
        <w:rPr>
          <w:rFonts w:eastAsia="Noto Serif CJK TC"/>
          <w:color w:val="1A202C"/>
        </w:rPr>
        <w:t>所描述之認知與決策能力脫</w:t>
      </w:r>
      <w:proofErr w:type="gramStart"/>
      <w:r>
        <w:rPr>
          <w:rFonts w:eastAsia="Noto Serif CJK TC"/>
          <w:color w:val="1A202C"/>
        </w:rPr>
        <w:t>鉤</w:t>
      </w:r>
      <w:proofErr w:type="gramEnd"/>
      <w:r>
        <w:rPr>
          <w:rFonts w:eastAsia="Noto Serif CJK TC"/>
          <w:color w:val="1A202C"/>
        </w:rPr>
        <w:t>的明文機制</w:t>
      </w:r>
      <w:r>
        <w:rPr>
          <w:rFonts w:eastAsia="Noto Serif CJK TC"/>
          <w:color w:val="1A202C"/>
        </w:rPr>
        <w:t>——</w:t>
      </w:r>
      <w:r>
        <w:rPr>
          <w:rFonts w:eastAsia="Noto Serif CJK TC"/>
          <w:color w:val="1A202C"/>
        </w:rPr>
        <w:t>這是</w:t>
      </w:r>
      <w:proofErr w:type="gramStart"/>
      <w:r>
        <w:rPr>
          <w:rFonts w:eastAsia="Noto Serif CJK TC"/>
          <w:color w:val="1A202C"/>
        </w:rPr>
        <w:t>本文捌</w:t>
      </w:r>
      <w:r>
        <w:rPr>
          <w:rFonts w:eastAsia="Noto Serif CJK TC"/>
          <w:color w:val="1A202C"/>
        </w:rPr>
        <w:lastRenderedPageBreak/>
        <w:t>章列</w:t>
      </w:r>
      <w:proofErr w:type="gramEnd"/>
      <w:r>
        <w:rPr>
          <w:rFonts w:eastAsia="Noto Serif CJK TC"/>
          <w:color w:val="1A202C"/>
        </w:rPr>
        <w:t>為「結構性缺口」的項目之一。本文須強調，這項</w:t>
      </w:r>
      <w:proofErr w:type="gramStart"/>
      <w:r>
        <w:rPr>
          <w:rFonts w:eastAsia="Noto Serif CJK TC"/>
          <w:color w:val="1A202C"/>
        </w:rPr>
        <w:t>發現說的是</w:t>
      </w:r>
      <w:proofErr w:type="gramEnd"/>
      <w:r>
        <w:rPr>
          <w:rFonts w:eastAsia="Noto Serif CJK TC"/>
          <w:color w:val="1A202C"/>
        </w:rPr>
        <w:t>「本文所選定文本目前未見」，而非「臺灣制度完全沒有」：臺灣是否透過政府採購法、個別採購契約範本或其他非本文分析範圍內之規範填補此一空白，須另行查證，非本文法源範圍所能回答。</w:t>
      </w:r>
    </w:p>
    <w:p w:rsidR="00FF05A2" w:rsidRDefault="00EE6916">
      <w:pPr>
        <w:pStyle w:val="2"/>
        <w:spacing w:before="280" w:after="140" w:line="340" w:lineRule="auto"/>
      </w:pPr>
      <w:r>
        <w:rPr>
          <w:rFonts w:ascii="Noto Sans CJK TC" w:eastAsia="Noto Sans CJK TC" w:hAnsi="Noto Sans CJK TC" w:cs="Noto Sans CJK TC"/>
          <w:b/>
          <w:bCs/>
          <w:color w:val="1A365D"/>
          <w:sz w:val="27"/>
          <w:szCs w:val="27"/>
        </w:rPr>
        <w:t>三、與既有比較研究的對話</w:t>
      </w:r>
    </w:p>
    <w:p w:rsidR="00FF05A2" w:rsidRDefault="00EE6916">
      <w:pPr>
        <w:spacing w:after="180" w:line="340" w:lineRule="auto"/>
        <w:jc w:val="both"/>
      </w:pPr>
      <w:r>
        <w:rPr>
          <w:rFonts w:eastAsia="Noto Serif CJK TC"/>
          <w:color w:val="1A202C"/>
        </w:rPr>
        <w:t>本文所</w:t>
      </w:r>
      <w:proofErr w:type="gramStart"/>
      <w:r>
        <w:rPr>
          <w:rFonts w:eastAsia="Noto Serif CJK TC"/>
          <w:color w:val="1A202C"/>
        </w:rPr>
        <w:t>採</w:t>
      </w:r>
      <w:proofErr w:type="gramEnd"/>
      <w:r>
        <w:rPr>
          <w:rFonts w:eastAsia="Noto Serif CJK TC"/>
          <w:color w:val="1A202C"/>
        </w:rPr>
        <w:t>之逐條文本審計方法，並非在真空中提出。歐洲理事會（</w:t>
      </w:r>
      <w:r>
        <w:rPr>
          <w:rFonts w:eastAsia="Noto Serif CJK TC"/>
          <w:color w:val="1A202C"/>
        </w:rPr>
        <w:t>Council of Europe</w:t>
      </w:r>
      <w:r>
        <w:rPr>
          <w:rFonts w:eastAsia="Noto Serif CJK TC"/>
          <w:color w:val="1A202C"/>
        </w:rPr>
        <w:t>）法律合作委員會於</w:t>
      </w:r>
      <w:r>
        <w:rPr>
          <w:rFonts w:eastAsia="Noto Serif CJK TC"/>
          <w:color w:val="1A202C"/>
        </w:rPr>
        <w:t>2022</w:t>
      </w:r>
      <w:r>
        <w:rPr>
          <w:rFonts w:eastAsia="Noto Serif CJK TC"/>
          <w:color w:val="1A202C"/>
        </w:rPr>
        <w:t>年委託</w:t>
      </w:r>
      <w:r>
        <w:rPr>
          <w:rFonts w:eastAsia="Noto Serif CJK TC"/>
          <w:color w:val="1A202C"/>
        </w:rPr>
        <w:t xml:space="preserve"> </w:t>
      </w:r>
      <w:proofErr w:type="spellStart"/>
      <w:r>
        <w:rPr>
          <w:rFonts w:eastAsia="Noto Serif CJK TC"/>
          <w:color w:val="1A202C"/>
        </w:rPr>
        <w:t>Wolswinkel</w:t>
      </w:r>
      <w:proofErr w:type="spellEnd"/>
      <w:r>
        <w:rPr>
          <w:rFonts w:eastAsia="Noto Serif CJK TC"/>
          <w:color w:val="1A202C"/>
        </w:rPr>
        <w:t xml:space="preserve"> </w:t>
      </w:r>
      <w:r>
        <w:rPr>
          <w:rFonts w:eastAsia="Noto Serif CJK TC"/>
          <w:color w:val="1A202C"/>
        </w:rPr>
        <w:t>就</w:t>
      </w:r>
      <w:r>
        <w:rPr>
          <w:rFonts w:eastAsia="Noto Serif CJK TC"/>
          <w:color w:val="1A202C"/>
        </w:rPr>
        <w:t>24</w:t>
      </w:r>
      <w:r>
        <w:rPr>
          <w:rFonts w:eastAsia="Noto Serif CJK TC"/>
          <w:color w:val="1A202C"/>
        </w:rPr>
        <w:t>個會員國之人工智慧與行政法互動關係進</w:t>
      </w:r>
      <w:r>
        <w:rPr>
          <w:rFonts w:eastAsia="Noto Serif CJK TC"/>
          <w:color w:val="1A202C"/>
        </w:rPr>
        <w:t>行比較研究（</w:t>
      </w:r>
      <w:proofErr w:type="spellStart"/>
      <w:r>
        <w:rPr>
          <w:rFonts w:eastAsia="Noto Serif CJK TC"/>
          <w:color w:val="1A202C"/>
        </w:rPr>
        <w:t>Wolswinkel</w:t>
      </w:r>
      <w:proofErr w:type="spellEnd"/>
      <w:r>
        <w:rPr>
          <w:rFonts w:eastAsia="Noto Serif CJK TC"/>
          <w:color w:val="1A202C"/>
        </w:rPr>
        <w:t>, 2022</w:t>
      </w:r>
      <w:r>
        <w:rPr>
          <w:rFonts w:eastAsia="Noto Serif CJK TC"/>
          <w:color w:val="1A202C"/>
        </w:rPr>
        <w:t>），該研究之比較廣度遠大於本文</w:t>
      </w:r>
      <w:proofErr w:type="gramStart"/>
      <w:r>
        <w:rPr>
          <w:rFonts w:eastAsia="Noto Serif CJK TC"/>
          <w:color w:val="1A202C"/>
        </w:rPr>
        <w:t>—</w:t>
      </w:r>
      <w:proofErr w:type="gramEnd"/>
      <w:r>
        <w:rPr>
          <w:rFonts w:eastAsia="Noto Serif CJK TC"/>
          <w:color w:val="1A202C"/>
        </w:rPr>
        <w:t>—</w:t>
      </w:r>
      <w:r>
        <w:rPr>
          <w:rFonts w:eastAsia="Noto Serif CJK TC"/>
          <w:color w:val="1A202C"/>
        </w:rPr>
        <w:t>涵蓋</w:t>
      </w:r>
      <w:r>
        <w:rPr>
          <w:rFonts w:eastAsia="Noto Serif CJK TC"/>
          <w:color w:val="1A202C"/>
        </w:rPr>
        <w:t>24</w:t>
      </w:r>
      <w:r>
        <w:rPr>
          <w:rFonts w:eastAsia="Noto Serif CJK TC"/>
          <w:color w:val="1A202C"/>
        </w:rPr>
        <w:t>個法域</w:t>
      </w:r>
      <w:r>
        <w:rPr>
          <w:rFonts w:eastAsia="Noto Serif CJK TC"/>
          <w:color w:val="1A202C"/>
        </w:rPr>
        <w:t>——</w:t>
      </w:r>
      <w:r>
        <w:rPr>
          <w:rFonts w:eastAsia="Noto Serif CJK TC"/>
          <w:color w:val="1A202C"/>
        </w:rPr>
        <w:t>但深度上採取的是一般性類型化，未如本文以</w:t>
      </w:r>
      <w:proofErr w:type="gramStart"/>
      <w:r>
        <w:rPr>
          <w:rFonts w:eastAsia="Noto Serif CJK TC"/>
          <w:color w:val="1A202C"/>
        </w:rPr>
        <w:t>單一構</w:t>
      </w:r>
      <w:proofErr w:type="gramEnd"/>
      <w:r>
        <w:rPr>
          <w:rFonts w:eastAsia="Noto Serif CJK TC"/>
          <w:color w:val="1A202C"/>
        </w:rPr>
        <w:t>念（</w:t>
      </w:r>
      <w:r>
        <w:rPr>
          <w:rFonts w:eastAsia="Noto Serif CJK TC"/>
          <w:color w:val="1A202C"/>
        </w:rPr>
        <w:t xml:space="preserve">UCPR </w:t>
      </w:r>
      <w:r>
        <w:rPr>
          <w:rFonts w:eastAsia="Noto Serif CJK TC"/>
          <w:color w:val="1A202C"/>
        </w:rPr>
        <w:t>三種能力）逐條丈量特定文本；本文之貢獻，即在於以較窄的三</w:t>
      </w:r>
      <w:proofErr w:type="gramStart"/>
      <w:r>
        <w:rPr>
          <w:rFonts w:eastAsia="Noto Serif CJK TC"/>
          <w:color w:val="1A202C"/>
        </w:rPr>
        <w:t>法域範圍</w:t>
      </w:r>
      <w:proofErr w:type="gramEnd"/>
      <w:r>
        <w:rPr>
          <w:rFonts w:eastAsia="Noto Serif CJK TC"/>
          <w:color w:val="1A202C"/>
        </w:rPr>
        <w:t>換取逐條、逐能力之比較深度，兩種研究</w:t>
      </w:r>
      <w:proofErr w:type="gramStart"/>
      <w:r>
        <w:rPr>
          <w:rFonts w:eastAsia="Noto Serif CJK TC"/>
          <w:color w:val="1A202C"/>
        </w:rPr>
        <w:t>取徑可視</w:t>
      </w:r>
      <w:proofErr w:type="gramEnd"/>
      <w:r>
        <w:rPr>
          <w:rFonts w:eastAsia="Noto Serif CJK TC"/>
          <w:color w:val="1A202C"/>
        </w:rPr>
        <w:t>為互補而非競爭關係。就方法論本身而言，本文採取的比較單位是「文本承擔之治理功能」而非「文本之形式位階」，這與</w:t>
      </w:r>
      <w:r>
        <w:rPr>
          <w:rFonts w:eastAsia="Noto Serif CJK TC"/>
          <w:color w:val="1A202C"/>
        </w:rPr>
        <w:t xml:space="preserve"> Rose-Ackerman </w:t>
      </w:r>
      <w:r>
        <w:rPr>
          <w:rFonts w:eastAsia="Noto Serif CJK TC"/>
          <w:color w:val="1A202C"/>
        </w:rPr>
        <w:t>等人所主張的比較行政法方法論一致（</w:t>
      </w:r>
      <w:r>
        <w:rPr>
          <w:rFonts w:eastAsia="Noto Serif CJK TC"/>
          <w:color w:val="1A202C"/>
        </w:rPr>
        <w:t xml:space="preserve">Rose-Ackerman, </w:t>
      </w:r>
      <w:proofErr w:type="spellStart"/>
      <w:r>
        <w:rPr>
          <w:rFonts w:eastAsia="Noto Serif CJK TC"/>
          <w:color w:val="1A202C"/>
        </w:rPr>
        <w:t>Lindseth</w:t>
      </w:r>
      <w:proofErr w:type="spellEnd"/>
      <w:r>
        <w:rPr>
          <w:rFonts w:eastAsia="Noto Serif CJK TC"/>
          <w:color w:val="1A202C"/>
        </w:rPr>
        <w:t>, &amp; Emerson, 20</w:t>
      </w:r>
      <w:r>
        <w:rPr>
          <w:rFonts w:eastAsia="Noto Serif CJK TC"/>
          <w:color w:val="1A202C"/>
        </w:rPr>
        <w:t>17</w:t>
      </w:r>
      <w:r>
        <w:rPr>
          <w:rFonts w:eastAsia="Noto Serif CJK TC"/>
          <w:color w:val="1A202C"/>
        </w:rPr>
        <w:t>，見貳</w:t>
      </w:r>
      <w:r>
        <w:rPr>
          <w:rFonts w:eastAsia="Noto Serif CJK TC"/>
          <w:color w:val="1A202C"/>
        </w:rPr>
        <w:t>-</w:t>
      </w:r>
      <w:r>
        <w:rPr>
          <w:rFonts w:eastAsia="Noto Serif CJK TC"/>
          <w:color w:val="1A202C"/>
        </w:rPr>
        <w:t>八節）。</w:t>
      </w:r>
    </w:p>
    <w:p w:rsidR="00FF05A2" w:rsidRDefault="00EE6916">
      <w:pPr>
        <w:spacing w:after="180" w:line="340" w:lineRule="auto"/>
        <w:jc w:val="both"/>
      </w:pPr>
      <w:r>
        <w:rPr>
          <w:rFonts w:eastAsia="Noto Serif CJK TC"/>
          <w:color w:val="1A202C"/>
        </w:rPr>
        <w:t>在既有法學文獻中，</w:t>
      </w:r>
      <w:r>
        <w:rPr>
          <w:rFonts w:eastAsia="Noto Serif CJK TC"/>
          <w:color w:val="1A202C"/>
        </w:rPr>
        <w:t>Caputo</w:t>
      </w:r>
      <w:r>
        <w:rPr>
          <w:rFonts w:eastAsia="Noto Serif CJK TC"/>
          <w:color w:val="1A202C"/>
        </w:rPr>
        <w:t>（</w:t>
      </w:r>
      <w:r>
        <w:rPr>
          <w:rFonts w:eastAsia="Noto Serif CJK TC"/>
          <w:color w:val="1A202C"/>
        </w:rPr>
        <w:t>2025</w:t>
      </w:r>
      <w:r>
        <w:rPr>
          <w:rFonts w:eastAsia="Noto Serif CJK TC"/>
          <w:color w:val="1A202C"/>
        </w:rPr>
        <w:t>）由行政法上的</w:t>
      </w:r>
      <w:r>
        <w:rPr>
          <w:rFonts w:eastAsia="Noto Serif CJK TC"/>
          <w:color w:val="1A202C"/>
        </w:rPr>
        <w:t xml:space="preserve"> nondelegation doctrine </w:t>
      </w:r>
      <w:r>
        <w:rPr>
          <w:rFonts w:eastAsia="Noto Serif CJK TC"/>
          <w:color w:val="1A202C"/>
        </w:rPr>
        <w:t>出發，探討「是否、以及在何種條件下，可將</w:t>
      </w:r>
      <w:r>
        <w:rPr>
          <w:rFonts w:eastAsia="Noto Serif CJK TC"/>
          <w:color w:val="1A202C"/>
        </w:rPr>
        <w:t xml:space="preserve"> AI </w:t>
      </w:r>
      <w:r>
        <w:rPr>
          <w:rFonts w:eastAsia="Noto Serif CJK TC"/>
          <w:color w:val="1A202C"/>
        </w:rPr>
        <w:t>治理本身委託給</w:t>
      </w:r>
      <w:r>
        <w:rPr>
          <w:rFonts w:eastAsia="Noto Serif CJK TC"/>
          <w:color w:val="1A202C"/>
        </w:rPr>
        <w:t xml:space="preserve"> AI</w:t>
      </w:r>
      <w:r>
        <w:rPr>
          <w:rFonts w:eastAsia="Noto Serif CJK TC"/>
          <w:color w:val="1A202C"/>
        </w:rPr>
        <w:t>」，這與本文及系列姊妹篇〈不可外包的行政〉（</w:t>
      </w:r>
      <w:r>
        <w:rPr>
          <w:rFonts w:eastAsia="Noto Serif CJK TC"/>
          <w:color w:val="1A202C"/>
        </w:rPr>
        <w:t>029</w:t>
      </w:r>
      <w:r>
        <w:rPr>
          <w:rFonts w:eastAsia="Noto Serif CJK TC"/>
          <w:color w:val="1A202C"/>
        </w:rPr>
        <w:t>）援引</w:t>
      </w:r>
      <w:r>
        <w:rPr>
          <w:rFonts w:eastAsia="Noto Serif CJK TC"/>
          <w:color w:val="1A202C"/>
        </w:rPr>
        <w:t xml:space="preserve"> nondelegation doctrine </w:t>
      </w:r>
      <w:r>
        <w:rPr>
          <w:rFonts w:eastAsia="Noto Serif CJK TC"/>
          <w:color w:val="1A202C"/>
        </w:rPr>
        <w:t>分析技術選擇之規範</w:t>
      </w:r>
      <w:proofErr w:type="gramStart"/>
      <w:r>
        <w:rPr>
          <w:rFonts w:eastAsia="Noto Serif CJK TC"/>
          <w:color w:val="1A202C"/>
        </w:rPr>
        <w:t>外部化</w:t>
      </w:r>
      <w:proofErr w:type="gramEnd"/>
      <w:r>
        <w:rPr>
          <w:rFonts w:eastAsia="Noto Serif CJK TC"/>
          <w:color w:val="1A202C"/>
        </w:rPr>
        <w:t>風險，構成同一比較法資源在不同問題意識下的平行運用，可作為後續研究對話的起點。</w:t>
      </w:r>
      <w:proofErr w:type="spellStart"/>
      <w:r>
        <w:rPr>
          <w:rFonts w:eastAsia="Noto Serif CJK TC"/>
          <w:color w:val="1A202C"/>
        </w:rPr>
        <w:t>Scassa</w:t>
      </w:r>
      <w:proofErr w:type="spellEnd"/>
      <w:r>
        <w:rPr>
          <w:rFonts w:eastAsia="Noto Serif CJK TC"/>
          <w:color w:val="1A202C"/>
        </w:rPr>
        <w:t>（</w:t>
      </w:r>
      <w:r>
        <w:rPr>
          <w:rFonts w:eastAsia="Noto Serif CJK TC"/>
          <w:color w:val="1A202C"/>
        </w:rPr>
        <w:t>2021</w:t>
      </w:r>
      <w:r>
        <w:rPr>
          <w:rFonts w:eastAsia="Noto Serif CJK TC"/>
          <w:color w:val="1A202C"/>
        </w:rPr>
        <w:t>）針對加拿大自動化決策指令本身提出批判性檢視，指出該指令作為行政法上之「</w:t>
      </w:r>
      <w:proofErr w:type="gramStart"/>
      <w:r>
        <w:rPr>
          <w:rFonts w:eastAsia="Noto Serif CJK TC"/>
          <w:color w:val="1A202C"/>
        </w:rPr>
        <w:t>軟法</w:t>
      </w:r>
      <w:proofErr w:type="gramEnd"/>
      <w:r>
        <w:rPr>
          <w:rFonts w:eastAsia="Noto Serif CJK TC"/>
          <w:color w:val="1A202C"/>
        </w:rPr>
        <w:t>」工具，</w:t>
      </w:r>
      <w:proofErr w:type="gramStart"/>
      <w:r>
        <w:rPr>
          <w:rFonts w:eastAsia="Noto Serif CJK TC"/>
          <w:color w:val="1A202C"/>
        </w:rPr>
        <w:t>其課</w:t>
      </w:r>
      <w:proofErr w:type="gramEnd"/>
      <w:r>
        <w:rPr>
          <w:rFonts w:eastAsia="Noto Serif CJK TC"/>
          <w:color w:val="1A202C"/>
        </w:rPr>
        <w:t>責機</w:t>
      </w:r>
      <w:r>
        <w:rPr>
          <w:rFonts w:eastAsia="Noto Serif CJK TC"/>
          <w:color w:val="1A202C"/>
        </w:rPr>
        <w:t>制相對於傳統行政法上之正當程序保障仍有落差，這項既有批評與本文伍章之發現方向一致，可為本文伍章之審計結果提供既有文獻上的佐證。</w:t>
      </w:r>
      <w:proofErr w:type="spellStart"/>
      <w:r>
        <w:rPr>
          <w:rFonts w:eastAsia="Noto Serif CJK TC"/>
          <w:color w:val="1A202C"/>
        </w:rPr>
        <w:t>Selbst</w:t>
      </w:r>
      <w:proofErr w:type="spellEnd"/>
      <w:r>
        <w:rPr>
          <w:rFonts w:eastAsia="Noto Serif CJK TC"/>
          <w:color w:val="1A202C"/>
        </w:rPr>
        <w:t>（</w:t>
      </w:r>
      <w:r>
        <w:rPr>
          <w:rFonts w:eastAsia="Noto Serif CJK TC"/>
          <w:color w:val="1A202C"/>
        </w:rPr>
        <w:t>2021</w:t>
      </w:r>
      <w:r>
        <w:rPr>
          <w:rFonts w:eastAsia="Noto Serif CJK TC"/>
          <w:color w:val="1A202C"/>
        </w:rPr>
        <w:t>）從制度設計角度分析演算法影響評估（</w:t>
      </w:r>
      <w:r>
        <w:rPr>
          <w:rFonts w:eastAsia="Noto Serif CJK TC"/>
          <w:color w:val="1A202C"/>
        </w:rPr>
        <w:t>AIA</w:t>
      </w:r>
      <w:r>
        <w:rPr>
          <w:rFonts w:eastAsia="Noto Serif CJK TC"/>
          <w:color w:val="1A202C"/>
        </w:rPr>
        <w:t>）作為一種治理工具的優劣，其分析架構可用以檢視本文伍</w:t>
      </w:r>
      <w:r>
        <w:rPr>
          <w:rFonts w:eastAsia="Noto Serif CJK TC"/>
          <w:color w:val="1A202C"/>
        </w:rPr>
        <w:t>-</w:t>
      </w:r>
      <w:r>
        <w:rPr>
          <w:rFonts w:eastAsia="Noto Serif CJK TC"/>
          <w:color w:val="1A202C"/>
        </w:rPr>
        <w:t>二節所述加拿大</w:t>
      </w:r>
      <w:r>
        <w:rPr>
          <w:rFonts w:eastAsia="Noto Serif CJK TC"/>
          <w:color w:val="1A202C"/>
        </w:rPr>
        <w:t xml:space="preserve"> AIA </w:t>
      </w:r>
      <w:r>
        <w:rPr>
          <w:rFonts w:eastAsia="Noto Serif CJK TC"/>
          <w:color w:val="1A202C"/>
        </w:rPr>
        <w:t>制度是否僅止於「文件產出」而未必然伴隨</w:t>
      </w:r>
      <w:proofErr w:type="gramStart"/>
      <w:r>
        <w:rPr>
          <w:rFonts w:eastAsia="Noto Serif CJK TC"/>
          <w:color w:val="1A202C"/>
        </w:rPr>
        <w:t>實質課責效果</w:t>
      </w:r>
      <w:proofErr w:type="gramEnd"/>
      <w:r>
        <w:rPr>
          <w:rFonts w:eastAsia="Noto Serif CJK TC"/>
          <w:color w:val="1A202C"/>
        </w:rPr>
        <w:t>，此一問題本文文本審計本身無法回答，留待後續研究。</w:t>
      </w:r>
      <w:proofErr w:type="gramStart"/>
      <w:r>
        <w:rPr>
          <w:rFonts w:eastAsia="Noto Serif CJK TC"/>
          <w:color w:val="1A202C"/>
        </w:rPr>
        <w:t>此外，</w:t>
      </w:r>
      <w:proofErr w:type="gramEnd"/>
      <w:r>
        <w:rPr>
          <w:rFonts w:eastAsia="Noto Serif CJK TC"/>
          <w:color w:val="1A202C"/>
        </w:rPr>
        <w:t>Dragomir</w:t>
      </w:r>
      <w:r>
        <w:rPr>
          <w:rFonts w:eastAsia="Noto Serif CJK TC"/>
          <w:color w:val="1A202C"/>
        </w:rPr>
        <w:t>、</w:t>
      </w:r>
      <w:proofErr w:type="spellStart"/>
      <w:r>
        <w:rPr>
          <w:rFonts w:eastAsia="Noto Serif CJK TC"/>
          <w:color w:val="1A202C"/>
        </w:rPr>
        <w:t>Bulea</w:t>
      </w:r>
      <w:proofErr w:type="spellEnd"/>
      <w:r>
        <w:rPr>
          <w:rFonts w:eastAsia="Noto Serif CJK TC"/>
          <w:color w:val="1A202C"/>
        </w:rPr>
        <w:t xml:space="preserve"> </w:t>
      </w:r>
      <w:r>
        <w:rPr>
          <w:rFonts w:eastAsia="Noto Serif CJK TC"/>
          <w:color w:val="1A202C"/>
        </w:rPr>
        <w:t>與</w:t>
      </w:r>
      <w:r>
        <w:rPr>
          <w:rFonts w:eastAsia="Noto Serif CJK TC"/>
          <w:color w:val="1A202C"/>
        </w:rPr>
        <w:t xml:space="preserve"> </w:t>
      </w:r>
      <w:proofErr w:type="spellStart"/>
      <w:r>
        <w:rPr>
          <w:rFonts w:eastAsia="Noto Serif CJK TC"/>
          <w:color w:val="1A202C"/>
        </w:rPr>
        <w:t>Tarnu</w:t>
      </w:r>
      <w:proofErr w:type="spellEnd"/>
      <w:r>
        <w:rPr>
          <w:rFonts w:eastAsia="Noto Serif CJK TC"/>
          <w:color w:val="1A202C"/>
        </w:rPr>
        <w:t xml:space="preserve"> </w:t>
      </w:r>
      <w:r>
        <w:rPr>
          <w:rFonts w:eastAsia="Noto Serif CJK TC"/>
          <w:color w:val="1A202C"/>
        </w:rPr>
        <w:t>於本文完稿前後發表之六維人類中心治理框架（</w:t>
      </w:r>
      <w:r>
        <w:rPr>
          <w:rFonts w:eastAsia="Noto Serif CJK TC"/>
          <w:color w:val="1A202C"/>
        </w:rPr>
        <w:t>legal anchoring</w:t>
      </w:r>
      <w:r>
        <w:rPr>
          <w:rFonts w:eastAsia="Noto Serif CJK TC"/>
          <w:color w:val="1A202C"/>
        </w:rPr>
        <w:t>、</w:t>
      </w:r>
      <w:r>
        <w:rPr>
          <w:rFonts w:eastAsia="Noto Serif CJK TC"/>
          <w:color w:val="1A202C"/>
        </w:rPr>
        <w:t>accountab</w:t>
      </w:r>
      <w:r>
        <w:rPr>
          <w:rFonts w:eastAsia="Noto Serif CJK TC"/>
          <w:color w:val="1A202C"/>
        </w:rPr>
        <w:t>le discretion</w:t>
      </w:r>
      <w:r>
        <w:rPr>
          <w:rFonts w:eastAsia="Noto Serif CJK TC"/>
          <w:color w:val="1A202C"/>
        </w:rPr>
        <w:t>、</w:t>
      </w:r>
      <w:r>
        <w:rPr>
          <w:rFonts w:eastAsia="Noto Serif CJK TC"/>
          <w:color w:val="1A202C"/>
        </w:rPr>
        <w:t>fundamental rights by design</w:t>
      </w:r>
      <w:r>
        <w:rPr>
          <w:rFonts w:eastAsia="Noto Serif CJK TC"/>
          <w:color w:val="1A202C"/>
        </w:rPr>
        <w:t>、</w:t>
      </w:r>
      <w:r>
        <w:rPr>
          <w:rFonts w:eastAsia="Noto Serif CJK TC"/>
          <w:color w:val="1A202C"/>
        </w:rPr>
        <w:t>meaningful human oversight</w:t>
      </w:r>
      <w:r>
        <w:rPr>
          <w:rFonts w:eastAsia="Noto Serif CJK TC"/>
          <w:color w:val="1A202C"/>
        </w:rPr>
        <w:t>、</w:t>
      </w:r>
      <w:r>
        <w:rPr>
          <w:rFonts w:eastAsia="Noto Serif CJK TC"/>
          <w:color w:val="1A202C"/>
        </w:rPr>
        <w:t>contestability and justification</w:t>
      </w:r>
      <w:r>
        <w:rPr>
          <w:rFonts w:eastAsia="Noto Serif CJK TC"/>
          <w:color w:val="1A202C"/>
        </w:rPr>
        <w:t>、</w:t>
      </w:r>
      <w:r>
        <w:rPr>
          <w:rFonts w:eastAsia="Noto Serif CJK TC"/>
          <w:color w:val="1A202C"/>
        </w:rPr>
        <w:t>institutional resilience</w:t>
      </w:r>
      <w:r>
        <w:rPr>
          <w:rFonts w:eastAsia="Noto Serif CJK TC"/>
          <w:color w:val="1A202C"/>
        </w:rPr>
        <w:t>）（</w:t>
      </w:r>
      <w:r>
        <w:rPr>
          <w:rFonts w:eastAsia="Noto Serif CJK TC"/>
          <w:color w:val="1A202C"/>
        </w:rPr>
        <w:t xml:space="preserve">Dragomir, </w:t>
      </w:r>
      <w:proofErr w:type="spellStart"/>
      <w:r>
        <w:rPr>
          <w:rFonts w:eastAsia="Noto Serif CJK TC"/>
          <w:color w:val="1A202C"/>
        </w:rPr>
        <w:t>Bulea</w:t>
      </w:r>
      <w:proofErr w:type="spellEnd"/>
      <w:r>
        <w:rPr>
          <w:rFonts w:eastAsia="Noto Serif CJK TC"/>
          <w:color w:val="1A202C"/>
        </w:rPr>
        <w:t xml:space="preserve">, &amp; </w:t>
      </w:r>
      <w:proofErr w:type="spellStart"/>
      <w:r>
        <w:rPr>
          <w:rFonts w:eastAsia="Noto Serif CJK TC"/>
          <w:color w:val="1A202C"/>
        </w:rPr>
        <w:t>Tarnu</w:t>
      </w:r>
      <w:proofErr w:type="spellEnd"/>
      <w:r>
        <w:rPr>
          <w:rFonts w:eastAsia="Noto Serif CJK TC"/>
          <w:color w:val="1A202C"/>
        </w:rPr>
        <w:t>, 2026</w:t>
      </w:r>
      <w:r>
        <w:rPr>
          <w:rFonts w:eastAsia="Noto Serif CJK TC"/>
          <w:color w:val="1A202C"/>
        </w:rPr>
        <w:t>），與本文之</w:t>
      </w:r>
      <w:r>
        <w:rPr>
          <w:rFonts w:eastAsia="Noto Serif CJK TC"/>
          <w:color w:val="1A202C"/>
        </w:rPr>
        <w:t xml:space="preserve"> UCPR </w:t>
      </w:r>
      <w:r>
        <w:rPr>
          <w:rFonts w:eastAsia="Noto Serif CJK TC"/>
          <w:color w:val="1A202C"/>
        </w:rPr>
        <w:t>三能力及貳</w:t>
      </w:r>
      <w:r>
        <w:rPr>
          <w:rFonts w:eastAsia="Noto Serif CJK TC"/>
          <w:color w:val="1A202C"/>
        </w:rPr>
        <w:t>-</w:t>
      </w:r>
      <w:r>
        <w:rPr>
          <w:rFonts w:eastAsia="Noto Serif CJK TC"/>
          <w:color w:val="1A202C"/>
        </w:rPr>
        <w:t>六節六層人工介入強度框架，在問題意識上高度重疊，是本文完稿階段幾乎同步出現的平行研究，兩者之異同與是否可相互對照轉譯，本文因完稿</w:t>
      </w:r>
      <w:proofErr w:type="gramStart"/>
      <w:r>
        <w:rPr>
          <w:rFonts w:eastAsia="Noto Serif CJK TC"/>
          <w:color w:val="1A202C"/>
        </w:rPr>
        <w:t>時程所</w:t>
      </w:r>
      <w:proofErr w:type="gramEnd"/>
      <w:r>
        <w:rPr>
          <w:rFonts w:eastAsia="Noto Serif CJK TC"/>
          <w:color w:val="1A202C"/>
        </w:rPr>
        <w:t>限，僅能在此標注，留待後</w:t>
      </w:r>
      <w:r>
        <w:rPr>
          <w:rFonts w:eastAsia="Noto Serif CJK TC"/>
          <w:color w:val="1A202C"/>
        </w:rPr>
        <w:t>續研究處理。</w:t>
      </w:r>
    </w:p>
    <w:p w:rsidR="00FF05A2" w:rsidRDefault="00EE6916">
      <w:pPr>
        <w:pStyle w:val="1"/>
        <w:spacing w:before="360" w:after="200" w:line="360" w:lineRule="auto"/>
      </w:pPr>
      <w:proofErr w:type="gramStart"/>
      <w:r>
        <w:rPr>
          <w:rFonts w:ascii="Noto Sans CJK TC" w:eastAsia="Noto Sans CJK TC" w:hAnsi="Noto Sans CJK TC" w:cs="Noto Sans CJK TC"/>
          <w:b/>
          <w:bCs/>
          <w:color w:val="1A365D"/>
        </w:rPr>
        <w:t>柒</w:t>
      </w:r>
      <w:proofErr w:type="gramEnd"/>
      <w:r>
        <w:rPr>
          <w:rFonts w:ascii="Noto Sans CJK TC" w:eastAsia="Noto Sans CJK TC" w:hAnsi="Noto Sans CJK TC" w:cs="Noto Sans CJK TC"/>
          <w:b/>
          <w:bCs/>
          <w:color w:val="1A365D"/>
        </w:rPr>
        <w:t>、形式再介入與實質再介入：有權限</w:t>
      </w:r>
      <w:r>
        <w:rPr>
          <w:rFonts w:ascii="Noto Sans CJK TC" w:eastAsia="Noto Sans CJK TC" w:hAnsi="Noto Sans CJK TC" w:cs="Noto Sans CJK TC"/>
          <w:b/>
          <w:bCs/>
          <w:color w:val="1A365D"/>
        </w:rPr>
        <w:t>≠</w:t>
      </w:r>
      <w:r>
        <w:rPr>
          <w:rFonts w:ascii="Noto Sans CJK TC" w:eastAsia="Noto Sans CJK TC" w:hAnsi="Noto Sans CJK TC" w:cs="Noto Sans CJK TC"/>
          <w:b/>
          <w:bCs/>
          <w:color w:val="1A365D"/>
        </w:rPr>
        <w:t>有能力</w:t>
      </w:r>
    </w:p>
    <w:p w:rsidR="00FF05A2" w:rsidRDefault="00EE6916">
      <w:pPr>
        <w:spacing w:after="180" w:line="340" w:lineRule="auto"/>
        <w:jc w:val="both"/>
      </w:pPr>
      <w:r>
        <w:rPr>
          <w:rFonts w:eastAsia="Noto Serif CJK TC"/>
          <w:color w:val="1A202C"/>
        </w:rPr>
        <w:t>本章要正式提出貫穿本文的核心分析裝置：法律文本賦予機關的「形式再介入權限」，與機關實際能夠行使的「實質再介入能力」，二者之間可能存在系統性落差。此處須先重申貳</w:t>
      </w:r>
      <w:r>
        <w:rPr>
          <w:rFonts w:eastAsia="Noto Serif CJK TC"/>
          <w:color w:val="1A202C"/>
        </w:rPr>
        <w:t>-</w:t>
      </w:r>
      <w:r>
        <w:rPr>
          <w:rFonts w:eastAsia="Noto Serif CJK TC"/>
          <w:color w:val="1A202C"/>
        </w:rPr>
        <w:t>五節已界定之範圍：以下討論所稱「實質能力」，除非另行標明，均限於「規範性實質能力」</w:t>
      </w:r>
      <w:proofErr w:type="gramStart"/>
      <w:r>
        <w:rPr>
          <w:rFonts w:eastAsia="Noto Serif CJK TC"/>
          <w:color w:val="1A202C"/>
        </w:rPr>
        <w:t>—</w:t>
      </w:r>
      <w:proofErr w:type="gramEnd"/>
      <w:r>
        <w:rPr>
          <w:rFonts w:eastAsia="Noto Serif CJK TC"/>
          <w:color w:val="1A202C"/>
        </w:rPr>
        <w:t>—</w:t>
      </w:r>
      <w:r>
        <w:rPr>
          <w:rFonts w:eastAsia="Noto Serif CJK TC"/>
          <w:color w:val="1A202C"/>
        </w:rPr>
        <w:lastRenderedPageBreak/>
        <w:t>即法律文本是否配置了足以支持實際行使該權限的可觀察落實條件，例如專責人力、明確期限、罰則，或獨立於既有救濟之外的新救濟權；至於機關在實務上是否真正具備、行使或有效運用這項權限（「經驗性實質能力」），本章雖會引</w:t>
      </w:r>
      <w:r>
        <w:rPr>
          <w:rFonts w:eastAsia="Noto Serif CJK TC"/>
          <w:color w:val="1A202C"/>
        </w:rPr>
        <w:t>用</w:t>
      </w:r>
      <w:r>
        <w:rPr>
          <w:rFonts w:eastAsia="Noto Serif CJK TC"/>
          <w:color w:val="1A202C"/>
        </w:rPr>
        <w:t xml:space="preserve"> 032 </w:t>
      </w:r>
      <w:r>
        <w:rPr>
          <w:rFonts w:eastAsia="Noto Serif CJK TC"/>
          <w:color w:val="1A202C"/>
        </w:rPr>
        <w:t>之相關命題加以推測，但這些推測本身仍未經任何執行資料驗證，讀者不應將本章之討論理解為對三</w:t>
      </w:r>
      <w:proofErr w:type="gramStart"/>
      <w:r>
        <w:rPr>
          <w:rFonts w:eastAsia="Noto Serif CJK TC"/>
          <w:color w:val="1A202C"/>
        </w:rPr>
        <w:t>法域實際</w:t>
      </w:r>
      <w:proofErr w:type="gramEnd"/>
      <w:r>
        <w:rPr>
          <w:rFonts w:eastAsia="Noto Serif CJK TC"/>
          <w:color w:val="1A202C"/>
        </w:rPr>
        <w:t>執行狀況的經驗性宣稱。</w:t>
      </w:r>
    </w:p>
    <w:p w:rsidR="00FF05A2" w:rsidRDefault="00EE6916">
      <w:pPr>
        <w:spacing w:after="180" w:line="340" w:lineRule="auto"/>
        <w:jc w:val="both"/>
      </w:pPr>
      <w:r>
        <w:rPr>
          <w:rFonts w:eastAsia="Noto Serif CJK TC"/>
          <w:color w:val="1A202C"/>
        </w:rPr>
        <w:t>三</w:t>
      </w:r>
      <w:proofErr w:type="gramStart"/>
      <w:r>
        <w:rPr>
          <w:rFonts w:eastAsia="Noto Serif CJK TC"/>
          <w:color w:val="1A202C"/>
        </w:rPr>
        <w:t>法域的</w:t>
      </w:r>
      <w:proofErr w:type="gramEnd"/>
      <w:r>
        <w:rPr>
          <w:rFonts w:eastAsia="Noto Serif CJK TC"/>
          <w:color w:val="1A202C"/>
        </w:rPr>
        <w:t>文本都提供了這種落差的具體範例。臺灣人工智慧基本法第十七條要求政府「建立」高風險應用之救濟機制，這是一項形式上明確的立法義務，但條文未規定「建立」之期限、未規定機制之最低內容標準，本文完稿時，這項「建立」義務尚停留在委由子法訂定的階段</w:t>
      </w:r>
      <w:proofErr w:type="gramStart"/>
      <w:r>
        <w:rPr>
          <w:rFonts w:eastAsia="Noto Serif CJK TC"/>
          <w:color w:val="1A202C"/>
        </w:rPr>
        <w:t>—</w:t>
      </w:r>
      <w:proofErr w:type="gramEnd"/>
      <w:r>
        <w:rPr>
          <w:rFonts w:eastAsia="Noto Serif CJK TC"/>
          <w:color w:val="1A202C"/>
        </w:rPr>
        <w:t>—</w:t>
      </w:r>
      <w:r>
        <w:rPr>
          <w:rFonts w:eastAsia="Noto Serif CJK TC"/>
          <w:color w:val="1A202C"/>
        </w:rPr>
        <w:t>形式權限已經存在，但實質能力（人民得實際主張並獲得的具體救濟）尚未成形。歐盟人工智慧法第十四條賦予部署者推翻、否決或停止系統輸出的形式</w:t>
      </w:r>
      <w:r>
        <w:rPr>
          <w:rFonts w:eastAsia="Noto Serif CJK TC"/>
          <w:color w:val="1A202C"/>
        </w:rPr>
        <w:t>權限，這是三法域中規定最具體者，但</w:t>
      </w:r>
      <w:r>
        <w:rPr>
          <w:rFonts w:eastAsia="Noto Serif CJK TC"/>
          <w:color w:val="1A202C"/>
        </w:rPr>
        <w:t xml:space="preserve"> 032 </w:t>
      </w:r>
      <w:r>
        <w:rPr>
          <w:rFonts w:eastAsia="Noto Serif CJK TC"/>
          <w:color w:val="1A202C"/>
        </w:rPr>
        <w:t>已透過</w:t>
      </w:r>
      <w:r>
        <w:rPr>
          <w:rFonts w:eastAsia="Noto Serif CJK TC"/>
          <w:color w:val="1A202C"/>
        </w:rPr>
        <w:t xml:space="preserve"> P5 </w:t>
      </w:r>
      <w:r>
        <w:rPr>
          <w:rFonts w:eastAsia="Noto Serif CJK TC"/>
          <w:color w:val="1A202C"/>
        </w:rPr>
        <w:t>介面中介命題指出，覆核者的實際遵從率會因介面設計呈現建議之方式而產生系統性差異，並非單純取決於建議是否來自演算法</w:t>
      </w:r>
      <w:proofErr w:type="gramStart"/>
      <w:r>
        <w:rPr>
          <w:rFonts w:eastAsia="Noto Serif CJK TC"/>
          <w:color w:val="1A202C"/>
        </w:rPr>
        <w:t>—</w:t>
      </w:r>
      <w:proofErr w:type="gramEnd"/>
      <w:r>
        <w:rPr>
          <w:rFonts w:eastAsia="Noto Serif CJK TC"/>
          <w:color w:val="1A202C"/>
        </w:rPr>
        <w:t>—</w:t>
      </w:r>
      <w:r>
        <w:rPr>
          <w:rFonts w:eastAsia="Noto Serif CJK TC"/>
          <w:color w:val="1A202C"/>
        </w:rPr>
        <w:t>第十四條第四項</w:t>
      </w:r>
      <w:r>
        <w:rPr>
          <w:rFonts w:eastAsia="Noto Serif CJK TC"/>
          <w:color w:val="1A202C"/>
        </w:rPr>
        <w:t>(b)</w:t>
      </w:r>
      <w:proofErr w:type="gramStart"/>
      <w:r>
        <w:rPr>
          <w:rFonts w:eastAsia="Noto Serif CJK TC"/>
          <w:color w:val="1A202C"/>
        </w:rPr>
        <w:t>款雖</w:t>
      </w:r>
      <w:proofErr w:type="gramEnd"/>
      <w:r>
        <w:rPr>
          <w:rFonts w:eastAsia="Noto Serif CJK TC"/>
          <w:color w:val="1A202C"/>
        </w:rPr>
        <w:t>已意識到這項風險，明文要求部署者具備「辨識</w:t>
      </w:r>
      <w:proofErr w:type="gramStart"/>
      <w:r>
        <w:rPr>
          <w:rFonts w:eastAsia="Noto Serif CJK TC"/>
          <w:color w:val="1A202C"/>
        </w:rPr>
        <w:t>自動化偏誤傾</w:t>
      </w:r>
      <w:proofErr w:type="gramEnd"/>
      <w:r>
        <w:rPr>
          <w:rFonts w:eastAsia="Noto Serif CJK TC"/>
          <w:color w:val="1A202C"/>
        </w:rPr>
        <w:t>向」之能力，但條文本身無法保證這項能力在實務上被真正培養與行使，形式上的否決權存在，不保證覆核者會在面對系統建議時實際行使它。加拿大自動化決策指令對第三、四級系統要求的人工決定點，同樣面臨類似問題：條文規定「至少一名審查人員」或「兩名專家」參與，</w:t>
      </w:r>
      <w:proofErr w:type="gramStart"/>
      <w:r>
        <w:rPr>
          <w:rFonts w:eastAsia="Noto Serif CJK TC"/>
          <w:color w:val="1A202C"/>
        </w:rPr>
        <w:t>依貳</w:t>
      </w:r>
      <w:proofErr w:type="gramEnd"/>
      <w:r>
        <w:rPr>
          <w:rFonts w:eastAsia="Noto Serif CJK TC"/>
          <w:color w:val="1A202C"/>
        </w:rPr>
        <w:t>-</w:t>
      </w:r>
      <w:r>
        <w:rPr>
          <w:rFonts w:eastAsia="Noto Serif CJK TC"/>
          <w:color w:val="1A202C"/>
        </w:rPr>
        <w:t>六節之六</w:t>
      </w:r>
      <w:r>
        <w:rPr>
          <w:rFonts w:eastAsia="Noto Serif CJK TC"/>
          <w:color w:val="1A202C"/>
        </w:rPr>
        <w:t>層區分，這已達否決乃至重新作成之較高強度，是形式權限的具體化，但審查人員是否具備充分的時間、資訊與誘因去進行實質而非形式的審查，條文本身無法保證</w:t>
      </w:r>
      <w:r>
        <w:rPr>
          <w:rFonts w:eastAsia="Noto Serif CJK TC"/>
          <w:color w:val="1A202C"/>
        </w:rPr>
        <w:t>——</w:t>
      </w:r>
      <w:r>
        <w:rPr>
          <w:rFonts w:eastAsia="Noto Serif CJK TC"/>
          <w:color w:val="1A202C"/>
        </w:rPr>
        <w:t>換言之，即使就介入強度之「形式層級」而言已屬三法域中較高者，仍不能直接推論其「經驗性實質能力」同樣充分。</w:t>
      </w:r>
    </w:p>
    <w:p w:rsidR="00FF05A2" w:rsidRDefault="00EE6916">
      <w:pPr>
        <w:spacing w:after="180" w:line="340" w:lineRule="auto"/>
        <w:jc w:val="both"/>
      </w:pPr>
      <w:r>
        <w:rPr>
          <w:rFonts w:eastAsia="Noto Serif CJK TC"/>
          <w:color w:val="1A202C"/>
        </w:rPr>
        <w:t>這三</w:t>
      </w:r>
      <w:proofErr w:type="gramStart"/>
      <w:r>
        <w:rPr>
          <w:rFonts w:eastAsia="Noto Serif CJK TC"/>
          <w:color w:val="1A202C"/>
        </w:rPr>
        <w:t>個</w:t>
      </w:r>
      <w:proofErr w:type="gramEnd"/>
      <w:r>
        <w:rPr>
          <w:rFonts w:eastAsia="Noto Serif CJK TC"/>
          <w:color w:val="1A202C"/>
        </w:rPr>
        <w:t>範例共同指向一個方法論上的結論：法律文本審計能夠告訴我們一個</w:t>
      </w:r>
      <w:proofErr w:type="gramStart"/>
      <w:r>
        <w:rPr>
          <w:rFonts w:eastAsia="Noto Serif CJK TC"/>
          <w:color w:val="1A202C"/>
        </w:rPr>
        <w:t>法域「</w:t>
      </w:r>
      <w:proofErr w:type="gramEnd"/>
      <w:r>
        <w:rPr>
          <w:rFonts w:eastAsia="Noto Serif CJK TC"/>
          <w:color w:val="1A202C"/>
        </w:rPr>
        <w:t>形式上」提供了何種再介入權限，也能藉由審視期限、罰則、獨立救濟權等「落實條件」是否存在，初步推估形式權限轉化為實質能力的可能性，但無法直接證明該權限在實務上是否被真正行使。這正是本文作為</w:t>
      </w:r>
      <w:r>
        <w:rPr>
          <w:rFonts w:eastAsia="Noto Serif CJK TC"/>
          <w:color w:val="1A202C"/>
        </w:rPr>
        <w:t>法律文本審計研究，相對於</w:t>
      </w:r>
      <w:r>
        <w:rPr>
          <w:rFonts w:eastAsia="Noto Serif CJK TC"/>
          <w:color w:val="1A202C"/>
        </w:rPr>
        <w:t xml:space="preserve"> 031 </w:t>
      </w:r>
      <w:r>
        <w:rPr>
          <w:rFonts w:eastAsia="Noto Serif CJK TC"/>
          <w:color w:val="1A202C"/>
        </w:rPr>
        <w:t>個案研究方法的根本限制所在，也是本文</w:t>
      </w:r>
      <w:proofErr w:type="gramStart"/>
      <w:r>
        <w:rPr>
          <w:rFonts w:eastAsia="Noto Serif CJK TC"/>
          <w:color w:val="1A202C"/>
        </w:rPr>
        <w:t>在拾章結論</w:t>
      </w:r>
      <w:proofErr w:type="gramEnd"/>
      <w:r>
        <w:rPr>
          <w:rFonts w:eastAsia="Noto Serif CJK TC"/>
          <w:color w:val="1A202C"/>
        </w:rPr>
        <w:t>中，明確將「形式權限如何轉化為實質能力」列為留待後續實證研究處理之問題的原因。</w:t>
      </w:r>
    </w:p>
    <w:p w:rsidR="00FF05A2" w:rsidRDefault="00EE6916">
      <w:pPr>
        <w:spacing w:after="180" w:line="340" w:lineRule="auto"/>
        <w:jc w:val="both"/>
      </w:pPr>
      <w:r>
        <w:rPr>
          <w:rFonts w:eastAsia="Noto Serif CJK TC"/>
          <w:color w:val="1A202C"/>
        </w:rPr>
        <w:t>此一「形式權限</w:t>
      </w:r>
      <w:r>
        <w:rPr>
          <w:rFonts w:eastAsia="Noto Serif CJK TC"/>
          <w:color w:val="1A202C"/>
        </w:rPr>
        <w:t>≠</w:t>
      </w:r>
      <w:r>
        <w:rPr>
          <w:rFonts w:eastAsia="Noto Serif CJK TC"/>
          <w:color w:val="1A202C"/>
        </w:rPr>
        <w:t>實質能力」的分析裝置，與系列姊妹篇〈規範何以轉換〉（工作稿編號</w:t>
      </w:r>
      <w:r>
        <w:rPr>
          <w:rFonts w:eastAsia="Noto Serif CJK TC"/>
          <w:color w:val="1A202C"/>
        </w:rPr>
        <w:t xml:space="preserve"> 035</w:t>
      </w:r>
      <w:r>
        <w:rPr>
          <w:rFonts w:eastAsia="Noto Serif CJK TC"/>
          <w:color w:val="1A202C"/>
        </w:rPr>
        <w:t>）所提出之「安全閥」與規範轉換強度矩陣，形成互補的雙層診斷。</w:t>
      </w:r>
      <w:r>
        <w:rPr>
          <w:rFonts w:eastAsia="Noto Serif CJK TC"/>
          <w:color w:val="1A202C"/>
        </w:rPr>
        <w:t xml:space="preserve">035 </w:t>
      </w:r>
      <w:r>
        <w:rPr>
          <w:rFonts w:eastAsia="Noto Serif CJK TC"/>
          <w:color w:val="1A202C"/>
        </w:rPr>
        <w:t>主張價值條件為門檻，理由、例外、責任三項條件則為一組安全閥</w:t>
      </w:r>
      <w:proofErr w:type="gramStart"/>
      <w:r>
        <w:rPr>
          <w:rFonts w:eastAsia="Noto Serif CJK TC"/>
          <w:color w:val="1A202C"/>
        </w:rPr>
        <w:t>—</w:t>
      </w:r>
      <w:proofErr w:type="gramEnd"/>
      <w:r>
        <w:rPr>
          <w:rFonts w:eastAsia="Noto Serif CJK TC"/>
          <w:color w:val="1A202C"/>
        </w:rPr>
        <w:t>—</w:t>
      </w:r>
      <w:r>
        <w:rPr>
          <w:rFonts w:eastAsia="Noto Serif CJK TC"/>
          <w:color w:val="1A202C"/>
        </w:rPr>
        <w:t>只要其中一項仍具功能，技術選擇便僅構成中度的行政規範風險（型態二），唯有三項安全閥同時失效，才構成實質規範轉換（型態三）。</w:t>
      </w:r>
      <w:r>
        <w:rPr>
          <w:rFonts w:eastAsia="Noto Serif CJK TC"/>
          <w:color w:val="1A202C"/>
        </w:rPr>
        <w:t xml:space="preserve">034 </w:t>
      </w:r>
      <w:r>
        <w:rPr>
          <w:rFonts w:eastAsia="Noto Serif CJK TC"/>
          <w:color w:val="1A202C"/>
        </w:rPr>
        <w:t>的形式</w:t>
      </w:r>
      <w:r>
        <w:rPr>
          <w:rFonts w:eastAsia="Noto Serif CJK TC"/>
          <w:color w:val="1A202C"/>
        </w:rPr>
        <w:t>／實質區分，正是在追問這些安全閥（尤其是例外條件所對應的事中否決／停止權，以及責任條件所對應的課責機制）究竟是「寫在紙上的權限」，還是「機關與人民實際能夠啟動的能力」。換言之，</w:t>
      </w:r>
      <w:r>
        <w:rPr>
          <w:rFonts w:eastAsia="Noto Serif CJK TC"/>
          <w:color w:val="1A202C"/>
        </w:rPr>
        <w:t xml:space="preserve">035 </w:t>
      </w:r>
      <w:r>
        <w:rPr>
          <w:rFonts w:eastAsia="Noto Serif CJK TC"/>
          <w:color w:val="1A202C"/>
        </w:rPr>
        <w:t>診斷的是技術選擇本身在規範光譜上走了多遠；</w:t>
      </w:r>
      <w:r>
        <w:rPr>
          <w:rFonts w:eastAsia="Noto Serif CJK TC"/>
          <w:color w:val="1A202C"/>
        </w:rPr>
        <w:t xml:space="preserve">034 </w:t>
      </w:r>
      <w:r>
        <w:rPr>
          <w:rFonts w:eastAsia="Noto Serif CJK TC"/>
          <w:color w:val="1A202C"/>
        </w:rPr>
        <w:t>診斷的是公共權威是否仍保有把選擇從</w:t>
      </w:r>
      <w:proofErr w:type="gramStart"/>
      <w:r>
        <w:rPr>
          <w:rFonts w:eastAsia="Noto Serif CJK TC"/>
          <w:color w:val="1A202C"/>
        </w:rPr>
        <w:t>光譜右端拉回</w:t>
      </w:r>
      <w:proofErr w:type="gramEnd"/>
      <w:r>
        <w:rPr>
          <w:rFonts w:eastAsia="Noto Serif CJK TC"/>
          <w:color w:val="1A202C"/>
        </w:rPr>
        <w:t>的</w:t>
      </w:r>
      <w:r>
        <w:rPr>
          <w:rFonts w:eastAsia="Noto Serif CJK TC"/>
          <w:color w:val="1A202C"/>
        </w:rPr>
        <w:t xml:space="preserve"> UCPR</w:t>
      </w:r>
      <w:r>
        <w:rPr>
          <w:rFonts w:eastAsia="Noto Serif CJK TC"/>
          <w:color w:val="1A202C"/>
        </w:rPr>
        <w:t>。兩者合併使用時，可先以</w:t>
      </w:r>
      <w:r>
        <w:rPr>
          <w:rFonts w:eastAsia="Noto Serif CJK TC"/>
          <w:color w:val="1A202C"/>
        </w:rPr>
        <w:t xml:space="preserve"> 035 </w:t>
      </w:r>
      <w:r>
        <w:rPr>
          <w:rFonts w:eastAsia="Noto Serif CJK TC"/>
          <w:color w:val="1A202C"/>
        </w:rPr>
        <w:t>的五步編碼程序與強度矩陣判定一項技術選擇的型態，再以本文的文本審計結果檢視</w:t>
      </w:r>
      <w:proofErr w:type="gramStart"/>
      <w:r>
        <w:rPr>
          <w:rFonts w:eastAsia="Noto Serif CJK TC"/>
          <w:color w:val="1A202C"/>
        </w:rPr>
        <w:t>該法域是否</w:t>
      </w:r>
      <w:proofErr w:type="gramEnd"/>
      <w:r>
        <w:rPr>
          <w:rFonts w:eastAsia="Noto Serif CJK TC"/>
          <w:color w:val="1A202C"/>
        </w:rPr>
        <w:t>已將對應的安全閥制度化，並進一步區分其為形式權限或實質能力。此一分工亦呼應</w:t>
      </w:r>
      <w:r>
        <w:rPr>
          <w:rFonts w:eastAsia="Noto Serif CJK TC"/>
          <w:color w:val="1A202C"/>
        </w:rPr>
        <w:t xml:space="preserve"> 035 </w:t>
      </w:r>
      <w:proofErr w:type="gramStart"/>
      <w:r>
        <w:rPr>
          <w:rFonts w:eastAsia="Noto Serif CJK TC"/>
          <w:color w:val="1A202C"/>
        </w:rPr>
        <w:t>玖章所釐</w:t>
      </w:r>
      <w:proofErr w:type="gramEnd"/>
      <w:r>
        <w:rPr>
          <w:rFonts w:eastAsia="Noto Serif CJK TC"/>
          <w:color w:val="1A202C"/>
        </w:rPr>
        <w:t>清的關</w:t>
      </w:r>
      <w:r>
        <w:rPr>
          <w:rFonts w:eastAsia="Noto Serif CJK TC"/>
          <w:color w:val="1A202C"/>
        </w:rPr>
        <w:lastRenderedPageBreak/>
        <w:t>係：</w:t>
      </w:r>
      <w:r>
        <w:rPr>
          <w:rFonts w:eastAsia="Noto Serif CJK TC"/>
          <w:color w:val="1A202C"/>
        </w:rPr>
        <w:t>規範轉換診斷風險，</w:t>
      </w:r>
      <w:r>
        <w:rPr>
          <w:rFonts w:eastAsia="Noto Serif CJK TC"/>
          <w:color w:val="1A202C"/>
        </w:rPr>
        <w:t xml:space="preserve">UCPR </w:t>
      </w:r>
      <w:r>
        <w:rPr>
          <w:rFonts w:eastAsia="Noto Serif CJK TC"/>
          <w:color w:val="1A202C"/>
        </w:rPr>
        <w:t>評估回應能力，而</w:t>
      </w:r>
      <w:proofErr w:type="gramStart"/>
      <w:r>
        <w:rPr>
          <w:rFonts w:eastAsia="Noto Serif CJK TC"/>
          <w:color w:val="1A202C"/>
        </w:rPr>
        <w:t>裁量場之</w:t>
      </w:r>
      <w:proofErr w:type="gramEnd"/>
      <w:r>
        <w:rPr>
          <w:rFonts w:eastAsia="Noto Serif CJK TC"/>
          <w:color w:val="1A202C"/>
        </w:rPr>
        <w:t>人類覆核節點則問這個空間是否被實際使用。</w:t>
      </w:r>
    </w:p>
    <w:p w:rsidR="00FF05A2" w:rsidRDefault="00EE6916">
      <w:pPr>
        <w:pStyle w:val="1"/>
        <w:spacing w:before="360" w:after="200" w:line="360" w:lineRule="auto"/>
      </w:pPr>
      <w:r>
        <w:rPr>
          <w:rFonts w:ascii="Noto Sans CJK TC" w:eastAsia="Noto Sans CJK TC" w:hAnsi="Noto Sans CJK TC" w:cs="Noto Sans CJK TC"/>
          <w:b/>
          <w:bCs/>
          <w:color w:val="1A365D"/>
        </w:rPr>
        <w:t>捌、臺灣制度的制度缺口</w:t>
      </w:r>
    </w:p>
    <w:p w:rsidR="00FF05A2" w:rsidRDefault="00EE6916">
      <w:pPr>
        <w:spacing w:after="180" w:line="340" w:lineRule="auto"/>
        <w:jc w:val="both"/>
      </w:pPr>
      <w:r>
        <w:rPr>
          <w:rFonts w:eastAsia="Noto Serif CJK TC"/>
          <w:color w:val="1A202C"/>
        </w:rPr>
        <w:t>綜合以上各章之審計結果，本文將臺灣人工智慧基本法現行文本相對於歐盟、加拿大現行機制的差距，歸納為七項具體缺口，並依</w:t>
      </w:r>
      <w:r>
        <w:rPr>
          <w:rFonts w:eastAsia="Noto Serif CJK TC"/>
          <w:color w:val="1A202C"/>
        </w:rPr>
        <w:t xml:space="preserve"> RQ5 </w:t>
      </w:r>
      <w:r>
        <w:rPr>
          <w:rFonts w:eastAsia="Noto Serif CJK TC"/>
          <w:color w:val="1A202C"/>
        </w:rPr>
        <w:t>之提問，逐一判定其屬於「暫時性」（本文完稿時尚待子法或後續立法填補）或「結構性」（現行文本設計本身未處理，須修法始能填補）：</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0"/>
        <w:gridCol w:w="4400"/>
        <w:gridCol w:w="3100"/>
      </w:tblGrid>
      <w:tr w:rsidR="00FF05A2">
        <w:tblPrEx>
          <w:tblCellMar>
            <w:top w:w="0" w:type="dxa"/>
            <w:bottom w:w="0" w:type="dxa"/>
          </w:tblCellMar>
        </w:tblPrEx>
        <w:trPr>
          <w:tblHeader/>
        </w:trPr>
        <w:tc>
          <w:tcPr>
            <w:tcW w:w="1500" w:type="dxa"/>
            <w:shd w:val="clear" w:color="auto" w:fill="1A365D"/>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b/>
                <w:bCs/>
                <w:color w:val="FFFFFF"/>
                <w:sz w:val="18"/>
                <w:szCs w:val="18"/>
              </w:rPr>
              <w:t>制度缺口</w:t>
            </w:r>
          </w:p>
        </w:tc>
        <w:tc>
          <w:tcPr>
            <w:tcW w:w="4400" w:type="dxa"/>
            <w:shd w:val="clear" w:color="auto" w:fill="1A365D"/>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b/>
                <w:bCs/>
                <w:color w:val="FFFFFF"/>
                <w:sz w:val="18"/>
                <w:szCs w:val="18"/>
              </w:rPr>
              <w:t>現行文本狀態（節錄）</w:t>
            </w:r>
          </w:p>
        </w:tc>
        <w:tc>
          <w:tcPr>
            <w:tcW w:w="3100" w:type="dxa"/>
            <w:shd w:val="clear" w:color="auto" w:fill="1A365D"/>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b/>
                <w:bCs/>
                <w:color w:val="FFFFFF"/>
                <w:sz w:val="18"/>
                <w:szCs w:val="18"/>
              </w:rPr>
              <w:t>屬性判定</w:t>
            </w:r>
          </w:p>
        </w:tc>
      </w:tr>
      <w:tr w:rsidR="00FF05A2">
        <w:tblPrEx>
          <w:tblCellMar>
            <w:top w:w="0" w:type="dxa"/>
            <w:bottom w:w="0" w:type="dxa"/>
          </w:tblCellMar>
        </w:tblPrEx>
        <w:tc>
          <w:tcPr>
            <w:tcW w:w="15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1</w:t>
            </w:r>
            <w:r>
              <w:rPr>
                <w:rFonts w:ascii="Noto Sans CJK TC" w:eastAsia="Noto Sans CJK TC" w:hAnsi="Noto Sans CJK TC" w:cs="Noto Sans CJK TC"/>
                <w:color w:val="1A202C"/>
                <w:sz w:val="18"/>
                <w:szCs w:val="18"/>
              </w:rPr>
              <w:t xml:space="preserve">　認知能力缺口</w:t>
            </w:r>
          </w:p>
        </w:tc>
        <w:tc>
          <w:tcPr>
            <w:tcW w:w="44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第</w:t>
            </w:r>
            <w:r>
              <w:rPr>
                <w:rFonts w:ascii="Noto Sans CJK TC" w:eastAsia="Noto Sans CJK TC" w:hAnsi="Noto Sans CJK TC" w:cs="Noto Sans CJK TC"/>
                <w:color w:val="1A202C"/>
                <w:sz w:val="18"/>
                <w:szCs w:val="18"/>
              </w:rPr>
              <w:t>19</w:t>
            </w:r>
            <w:r>
              <w:rPr>
                <w:rFonts w:ascii="Noto Sans CJK TC" w:eastAsia="Noto Sans CJK TC" w:hAnsi="Noto Sans CJK TC" w:cs="Noto Sans CJK TC"/>
                <w:color w:val="1A202C"/>
                <w:sz w:val="18"/>
                <w:szCs w:val="18"/>
              </w:rPr>
              <w:t>條要求風險評估，惟未明定方法、頻率、期限或公開發布義務</w:t>
            </w:r>
          </w:p>
        </w:tc>
        <w:tc>
          <w:tcPr>
            <w:tcW w:w="31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偏暫時性：子法可補充操作細節，惟「應否公開發布」屬立法選擇，亦具結構性成分</w:t>
            </w:r>
          </w:p>
        </w:tc>
      </w:tr>
      <w:tr w:rsidR="00FF05A2">
        <w:tblPrEx>
          <w:tblCellMar>
            <w:top w:w="0" w:type="dxa"/>
            <w:bottom w:w="0" w:type="dxa"/>
          </w:tblCellMar>
        </w:tblPrEx>
        <w:tc>
          <w:tcPr>
            <w:tcW w:w="1500" w:type="dxa"/>
            <w:shd w:val="clear" w:color="auto" w:fill="F7FAFC"/>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2</w:t>
            </w:r>
            <w:r>
              <w:rPr>
                <w:rFonts w:ascii="Noto Sans CJK TC" w:eastAsia="Noto Sans CJK TC" w:hAnsi="Noto Sans CJK TC" w:cs="Noto Sans CJK TC"/>
                <w:color w:val="1A202C"/>
                <w:sz w:val="18"/>
                <w:szCs w:val="18"/>
              </w:rPr>
              <w:t xml:space="preserve">　決策能力缺口</w:t>
            </w:r>
          </w:p>
        </w:tc>
        <w:tc>
          <w:tcPr>
            <w:tcW w:w="4400" w:type="dxa"/>
            <w:shd w:val="clear" w:color="auto" w:fill="F7FAFC"/>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第</w:t>
            </w:r>
            <w:r>
              <w:rPr>
                <w:rFonts w:ascii="Noto Sans CJK TC" w:eastAsia="Noto Sans CJK TC" w:hAnsi="Noto Sans CJK TC" w:cs="Noto Sans CJK TC"/>
                <w:color w:val="1A202C"/>
                <w:sz w:val="18"/>
                <w:szCs w:val="18"/>
              </w:rPr>
              <w:t>4</w:t>
            </w:r>
            <w:r>
              <w:rPr>
                <w:rFonts w:ascii="Noto Sans CJK TC" w:eastAsia="Noto Sans CJK TC" w:hAnsi="Noto Sans CJK TC" w:cs="Noto Sans CJK TC"/>
                <w:color w:val="1A202C"/>
                <w:sz w:val="18"/>
                <w:szCs w:val="18"/>
              </w:rPr>
              <w:t>條第</w:t>
            </w:r>
            <w:r>
              <w:rPr>
                <w:rFonts w:ascii="Noto Sans CJK TC" w:eastAsia="Noto Sans CJK TC" w:hAnsi="Noto Sans CJK TC" w:cs="Noto Sans CJK TC"/>
                <w:color w:val="1A202C"/>
                <w:sz w:val="18"/>
                <w:szCs w:val="18"/>
              </w:rPr>
              <w:t>2</w:t>
            </w:r>
            <w:r>
              <w:rPr>
                <w:rFonts w:ascii="Noto Sans CJK TC" w:eastAsia="Noto Sans CJK TC" w:hAnsi="Noto Sans CJK TC" w:cs="Noto Sans CJK TC"/>
                <w:color w:val="1A202C"/>
                <w:sz w:val="18"/>
                <w:szCs w:val="18"/>
              </w:rPr>
              <w:t>款僅為原則性宣示，全文未見明文否決、推翻或停止系統之操作性條款</w:t>
            </w:r>
          </w:p>
        </w:tc>
        <w:tc>
          <w:tcPr>
            <w:tcW w:w="3100" w:type="dxa"/>
            <w:shd w:val="clear" w:color="auto" w:fill="F7FAFC"/>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結構性：現行條文本身未設計此類機制，須修法</w:t>
            </w:r>
            <w:proofErr w:type="gramStart"/>
            <w:r>
              <w:rPr>
                <w:rFonts w:ascii="Noto Sans CJK TC" w:eastAsia="Noto Sans CJK TC" w:hAnsi="Noto Sans CJK TC" w:cs="Noto Sans CJK TC"/>
                <w:color w:val="1A202C"/>
                <w:sz w:val="18"/>
                <w:szCs w:val="18"/>
              </w:rPr>
              <w:t>或於子法</w:t>
            </w:r>
            <w:proofErr w:type="gramEnd"/>
            <w:r>
              <w:rPr>
                <w:rFonts w:ascii="Noto Sans CJK TC" w:eastAsia="Noto Sans CJK TC" w:hAnsi="Noto Sans CJK TC" w:cs="Noto Sans CJK TC"/>
                <w:color w:val="1A202C"/>
                <w:sz w:val="18"/>
                <w:szCs w:val="18"/>
              </w:rPr>
              <w:t>中明確創設</w:t>
            </w:r>
          </w:p>
        </w:tc>
      </w:tr>
      <w:tr w:rsidR="00FF05A2">
        <w:tblPrEx>
          <w:tblCellMar>
            <w:top w:w="0" w:type="dxa"/>
            <w:bottom w:w="0" w:type="dxa"/>
          </w:tblCellMar>
        </w:tblPrEx>
        <w:tc>
          <w:tcPr>
            <w:tcW w:w="15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3</w:t>
            </w:r>
            <w:r>
              <w:rPr>
                <w:rFonts w:ascii="Noto Sans CJK TC" w:eastAsia="Noto Sans CJK TC" w:hAnsi="Noto Sans CJK TC" w:cs="Noto Sans CJK TC"/>
                <w:color w:val="1A202C"/>
                <w:sz w:val="18"/>
                <w:szCs w:val="18"/>
              </w:rPr>
              <w:t xml:space="preserve">　</w:t>
            </w:r>
            <w:proofErr w:type="gramStart"/>
            <w:r>
              <w:rPr>
                <w:rFonts w:ascii="Noto Sans CJK TC" w:eastAsia="Noto Sans CJK TC" w:hAnsi="Noto Sans CJK TC" w:cs="Noto Sans CJK TC"/>
                <w:color w:val="1A202C"/>
                <w:sz w:val="18"/>
                <w:szCs w:val="18"/>
              </w:rPr>
              <w:t>課責能力</w:t>
            </w:r>
            <w:proofErr w:type="gramEnd"/>
            <w:r>
              <w:rPr>
                <w:rFonts w:ascii="Noto Sans CJK TC" w:eastAsia="Noto Sans CJK TC" w:hAnsi="Noto Sans CJK TC" w:cs="Noto Sans CJK TC"/>
                <w:color w:val="1A202C"/>
                <w:sz w:val="18"/>
                <w:szCs w:val="18"/>
              </w:rPr>
              <w:t>缺口</w:t>
            </w:r>
          </w:p>
        </w:tc>
        <w:tc>
          <w:tcPr>
            <w:tcW w:w="44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第</w:t>
            </w:r>
            <w:r>
              <w:rPr>
                <w:rFonts w:ascii="Noto Sans CJK TC" w:eastAsia="Noto Sans CJK TC" w:hAnsi="Noto Sans CJK TC" w:cs="Noto Sans CJK TC"/>
                <w:color w:val="1A202C"/>
                <w:sz w:val="18"/>
                <w:szCs w:val="18"/>
              </w:rPr>
              <w:t>17</w:t>
            </w:r>
            <w:r>
              <w:rPr>
                <w:rFonts w:ascii="Noto Sans CJK TC" w:eastAsia="Noto Sans CJK TC" w:hAnsi="Noto Sans CJK TC" w:cs="Noto Sans CJK TC"/>
                <w:color w:val="1A202C"/>
                <w:sz w:val="18"/>
                <w:szCs w:val="18"/>
              </w:rPr>
              <w:t>條要求「建立」救濟補償保險機制，具體內容、期限與最低標準均未明定</w:t>
            </w:r>
          </w:p>
        </w:tc>
        <w:tc>
          <w:tcPr>
            <w:tcW w:w="31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暫時性偏結構性：子法可能填補具體內容，但「是否創設獨立於既有救濟外之新救濟權」屬立法選擇</w:t>
            </w:r>
          </w:p>
        </w:tc>
      </w:tr>
      <w:tr w:rsidR="00FF05A2">
        <w:tblPrEx>
          <w:tblCellMar>
            <w:top w:w="0" w:type="dxa"/>
            <w:bottom w:w="0" w:type="dxa"/>
          </w:tblCellMar>
        </w:tblPrEx>
        <w:tc>
          <w:tcPr>
            <w:tcW w:w="1500" w:type="dxa"/>
            <w:shd w:val="clear" w:color="auto" w:fill="F7FAFC"/>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4</w:t>
            </w:r>
            <w:r>
              <w:rPr>
                <w:rFonts w:ascii="Noto Sans CJK TC" w:eastAsia="Noto Sans CJK TC" w:hAnsi="Noto Sans CJK TC" w:cs="Noto Sans CJK TC"/>
                <w:color w:val="1A202C"/>
                <w:sz w:val="18"/>
                <w:szCs w:val="18"/>
              </w:rPr>
              <w:t xml:space="preserve">　採購契約缺口</w:t>
            </w:r>
          </w:p>
        </w:tc>
        <w:tc>
          <w:tcPr>
            <w:tcW w:w="4400" w:type="dxa"/>
            <w:shd w:val="clear" w:color="auto" w:fill="F7FAFC"/>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全文二十條未見任何規範政府採購人工智慧系統或供應商契約義務之條款</w:t>
            </w:r>
          </w:p>
        </w:tc>
        <w:tc>
          <w:tcPr>
            <w:tcW w:w="3100" w:type="dxa"/>
            <w:shd w:val="clear" w:color="auto" w:fill="F7FAFC"/>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結構性：現行文本對此軸線完全空白，</w:t>
            </w:r>
            <w:proofErr w:type="gramStart"/>
            <w:r>
              <w:rPr>
                <w:rFonts w:ascii="Noto Sans CJK TC" w:eastAsia="Noto Sans CJK TC" w:hAnsi="Noto Sans CJK TC" w:cs="Noto Sans CJK TC"/>
                <w:color w:val="1A202C"/>
                <w:sz w:val="18"/>
                <w:szCs w:val="18"/>
              </w:rPr>
              <w:t>非子法</w:t>
            </w:r>
            <w:proofErr w:type="gramEnd"/>
            <w:r>
              <w:rPr>
                <w:rFonts w:ascii="Noto Sans CJK TC" w:eastAsia="Noto Sans CJK TC" w:hAnsi="Noto Sans CJK TC" w:cs="Noto Sans CJK TC"/>
                <w:color w:val="1A202C"/>
                <w:sz w:val="18"/>
                <w:szCs w:val="18"/>
              </w:rPr>
              <w:t>可單獨填補之操作細節問題</w:t>
            </w:r>
          </w:p>
        </w:tc>
      </w:tr>
      <w:tr w:rsidR="00FF05A2">
        <w:tblPrEx>
          <w:tblCellMar>
            <w:top w:w="0" w:type="dxa"/>
            <w:bottom w:w="0" w:type="dxa"/>
          </w:tblCellMar>
        </w:tblPrEx>
        <w:tc>
          <w:tcPr>
            <w:tcW w:w="15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5</w:t>
            </w:r>
            <w:r>
              <w:rPr>
                <w:rFonts w:ascii="Noto Sans CJK TC" w:eastAsia="Noto Sans CJK TC" w:hAnsi="Noto Sans CJK TC" w:cs="Noto Sans CJK TC"/>
                <w:color w:val="1A202C"/>
                <w:sz w:val="18"/>
                <w:szCs w:val="18"/>
              </w:rPr>
              <w:t xml:space="preserve">　系統停止權缺口</w:t>
            </w:r>
          </w:p>
        </w:tc>
        <w:tc>
          <w:tcPr>
            <w:tcW w:w="44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無如歐盟第</w:t>
            </w:r>
            <w:r>
              <w:rPr>
                <w:rFonts w:ascii="Noto Sans CJK TC" w:eastAsia="Noto Sans CJK TC" w:hAnsi="Noto Sans CJK TC" w:cs="Noto Sans CJK TC"/>
                <w:color w:val="1A202C"/>
                <w:sz w:val="18"/>
                <w:szCs w:val="18"/>
              </w:rPr>
              <w:t>14</w:t>
            </w:r>
            <w:r>
              <w:rPr>
                <w:rFonts w:ascii="Noto Sans CJK TC" w:eastAsia="Noto Sans CJK TC" w:hAnsi="Noto Sans CJK TC" w:cs="Noto Sans CJK TC"/>
                <w:color w:val="1A202C"/>
                <w:sz w:val="18"/>
                <w:szCs w:val="18"/>
              </w:rPr>
              <w:t>條「停止鍵」機制或加拿大人工決定點之明文規定</w:t>
            </w:r>
          </w:p>
        </w:tc>
        <w:tc>
          <w:tcPr>
            <w:tcW w:w="31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結構性：與缺口</w:t>
            </w:r>
            <w:r>
              <w:rPr>
                <w:rFonts w:ascii="Noto Sans CJK TC" w:eastAsia="Noto Sans CJK TC" w:hAnsi="Noto Sans CJK TC" w:cs="Noto Sans CJK TC"/>
                <w:color w:val="1A202C"/>
                <w:sz w:val="18"/>
                <w:szCs w:val="18"/>
              </w:rPr>
              <w:t>2</w:t>
            </w:r>
            <w:r>
              <w:rPr>
                <w:rFonts w:ascii="Noto Sans CJK TC" w:eastAsia="Noto Sans CJK TC" w:hAnsi="Noto Sans CJK TC" w:cs="Noto Sans CJK TC"/>
                <w:color w:val="1A202C"/>
                <w:sz w:val="18"/>
                <w:szCs w:val="18"/>
              </w:rPr>
              <w:t>同源，須修法</w:t>
            </w:r>
            <w:proofErr w:type="gramStart"/>
            <w:r>
              <w:rPr>
                <w:rFonts w:ascii="Noto Sans CJK TC" w:eastAsia="Noto Sans CJK TC" w:hAnsi="Noto Sans CJK TC" w:cs="Noto Sans CJK TC"/>
                <w:color w:val="1A202C"/>
                <w:sz w:val="18"/>
                <w:szCs w:val="18"/>
              </w:rPr>
              <w:t>或於子法</w:t>
            </w:r>
            <w:proofErr w:type="gramEnd"/>
            <w:r>
              <w:rPr>
                <w:rFonts w:ascii="Noto Sans CJK TC" w:eastAsia="Noto Sans CJK TC" w:hAnsi="Noto Sans CJK TC" w:cs="Noto Sans CJK TC"/>
                <w:color w:val="1A202C"/>
                <w:sz w:val="18"/>
                <w:szCs w:val="18"/>
              </w:rPr>
              <w:t>創設具體之停止／否決機制</w:t>
            </w:r>
          </w:p>
        </w:tc>
      </w:tr>
      <w:tr w:rsidR="00FF05A2">
        <w:tblPrEx>
          <w:tblCellMar>
            <w:top w:w="0" w:type="dxa"/>
            <w:bottom w:w="0" w:type="dxa"/>
          </w:tblCellMar>
        </w:tblPrEx>
        <w:tc>
          <w:tcPr>
            <w:tcW w:w="1500" w:type="dxa"/>
            <w:shd w:val="clear" w:color="auto" w:fill="F7FAFC"/>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6</w:t>
            </w:r>
            <w:r>
              <w:rPr>
                <w:rFonts w:ascii="Noto Sans CJK TC" w:eastAsia="Noto Sans CJK TC" w:hAnsi="Noto Sans CJK TC" w:cs="Noto Sans CJK TC"/>
                <w:color w:val="1A202C"/>
                <w:sz w:val="18"/>
                <w:szCs w:val="18"/>
              </w:rPr>
              <w:t xml:space="preserve">　審計權缺口</w:t>
            </w:r>
          </w:p>
        </w:tc>
        <w:tc>
          <w:tcPr>
            <w:tcW w:w="4400" w:type="dxa"/>
            <w:shd w:val="clear" w:color="auto" w:fill="F7FAFC"/>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無如歐盟第</w:t>
            </w:r>
            <w:r>
              <w:rPr>
                <w:rFonts w:ascii="Noto Sans CJK TC" w:eastAsia="Noto Sans CJK TC" w:hAnsi="Noto Sans CJK TC" w:cs="Noto Sans CJK TC"/>
                <w:color w:val="1A202C"/>
                <w:sz w:val="18"/>
                <w:szCs w:val="18"/>
              </w:rPr>
              <w:t>11</w:t>
            </w:r>
            <w:r>
              <w:rPr>
                <w:rFonts w:ascii="Noto Sans CJK TC" w:eastAsia="Noto Sans CJK TC" w:hAnsi="Noto Sans CJK TC" w:cs="Noto Sans CJK TC"/>
                <w:color w:val="1A202C"/>
                <w:sz w:val="18"/>
                <w:szCs w:val="18"/>
              </w:rPr>
              <w:t>、</w:t>
            </w:r>
            <w:r>
              <w:rPr>
                <w:rFonts w:ascii="Noto Sans CJK TC" w:eastAsia="Noto Sans CJK TC" w:hAnsi="Noto Sans CJK TC" w:cs="Noto Sans CJK TC"/>
                <w:color w:val="1A202C"/>
                <w:sz w:val="18"/>
                <w:szCs w:val="18"/>
              </w:rPr>
              <w:t>12</w:t>
            </w:r>
            <w:r>
              <w:rPr>
                <w:rFonts w:ascii="Noto Sans CJK TC" w:eastAsia="Noto Sans CJK TC" w:hAnsi="Noto Sans CJK TC" w:cs="Noto Sans CJK TC"/>
                <w:color w:val="1A202C"/>
                <w:sz w:val="18"/>
                <w:szCs w:val="18"/>
              </w:rPr>
              <w:t>條技術文件與日誌義務、或第</w:t>
            </w:r>
            <w:r>
              <w:rPr>
                <w:rFonts w:ascii="Noto Sans CJK TC" w:eastAsia="Noto Sans CJK TC" w:hAnsi="Noto Sans CJK TC" w:cs="Noto Sans CJK TC"/>
                <w:color w:val="1A202C"/>
                <w:sz w:val="18"/>
                <w:szCs w:val="18"/>
              </w:rPr>
              <w:t>27</w:t>
            </w:r>
            <w:r>
              <w:rPr>
                <w:rFonts w:ascii="Noto Sans CJK TC" w:eastAsia="Noto Sans CJK TC" w:hAnsi="Noto Sans CJK TC" w:cs="Noto Sans CJK TC"/>
                <w:color w:val="1A202C"/>
                <w:sz w:val="18"/>
                <w:szCs w:val="18"/>
              </w:rPr>
              <w:t>條基本權利影響評估之明文對應規定</w:t>
            </w:r>
          </w:p>
        </w:tc>
        <w:tc>
          <w:tcPr>
            <w:tcW w:w="3100" w:type="dxa"/>
            <w:shd w:val="clear" w:color="auto" w:fill="F7FAFC"/>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結構性：現行文</w:t>
            </w:r>
            <w:proofErr w:type="gramStart"/>
            <w:r>
              <w:rPr>
                <w:rFonts w:ascii="Noto Sans CJK TC" w:eastAsia="Noto Sans CJK TC" w:hAnsi="Noto Sans CJK TC" w:cs="Noto Sans CJK TC"/>
                <w:color w:val="1A202C"/>
                <w:sz w:val="18"/>
                <w:szCs w:val="18"/>
              </w:rPr>
              <w:t>本未</w:t>
            </w:r>
            <w:proofErr w:type="gramEnd"/>
            <w:r>
              <w:rPr>
                <w:rFonts w:ascii="Noto Sans CJK TC" w:eastAsia="Noto Sans CJK TC" w:hAnsi="Noto Sans CJK TC" w:cs="Noto Sans CJK TC"/>
                <w:color w:val="1A202C"/>
                <w:sz w:val="18"/>
                <w:szCs w:val="18"/>
              </w:rPr>
              <w:t>建立要求機關或供應商備置可供稽核之技術文件與紀錄之義務</w:t>
            </w:r>
          </w:p>
        </w:tc>
      </w:tr>
      <w:tr w:rsidR="00FF05A2">
        <w:tblPrEx>
          <w:tblCellMar>
            <w:top w:w="0" w:type="dxa"/>
            <w:bottom w:w="0" w:type="dxa"/>
          </w:tblCellMar>
        </w:tblPrEx>
        <w:tc>
          <w:tcPr>
            <w:tcW w:w="15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7</w:t>
            </w:r>
            <w:r>
              <w:rPr>
                <w:rFonts w:ascii="Noto Sans CJK TC" w:eastAsia="Noto Sans CJK TC" w:hAnsi="Noto Sans CJK TC" w:cs="Noto Sans CJK TC"/>
                <w:color w:val="1A202C"/>
                <w:sz w:val="18"/>
                <w:szCs w:val="18"/>
              </w:rPr>
              <w:t xml:space="preserve">　救濟銜接缺口</w:t>
            </w:r>
          </w:p>
        </w:tc>
        <w:tc>
          <w:tcPr>
            <w:tcW w:w="44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未明訂人工智慧決定之救濟途徑與既有訴願、行政訴訟制度如何銜接、是否創設特別程序</w:t>
            </w:r>
          </w:p>
        </w:tc>
        <w:tc>
          <w:tcPr>
            <w:tcW w:w="3100" w:type="dxa"/>
            <w:shd w:val="clear" w:color="auto" w:fill="FFFFFF"/>
            <w:tcMar>
              <w:top w:w="60" w:type="dxa"/>
              <w:left w:w="100" w:type="dxa"/>
              <w:bottom w:w="60" w:type="dxa"/>
              <w:right w:w="100" w:type="dxa"/>
            </w:tcMar>
            <w:vAlign w:val="center"/>
          </w:tcPr>
          <w:p w:rsidR="00FF05A2" w:rsidRDefault="00EE6916">
            <w:pPr>
              <w:spacing w:line="260" w:lineRule="auto"/>
            </w:pPr>
            <w:r>
              <w:rPr>
                <w:rFonts w:ascii="Noto Sans CJK TC" w:eastAsia="Noto Sans CJK TC" w:hAnsi="Noto Sans CJK TC" w:cs="Noto Sans CJK TC"/>
                <w:color w:val="1A202C"/>
                <w:sz w:val="18"/>
                <w:szCs w:val="18"/>
              </w:rPr>
              <w:t>暫時性偏結構性：子法可能部分填補，惟是否創設特別救濟程序仍屬立法選擇</w:t>
            </w:r>
          </w:p>
        </w:tc>
      </w:tr>
    </w:tbl>
    <w:p w:rsidR="00FF05A2" w:rsidRDefault="00EE6916">
      <w:pPr>
        <w:spacing w:after="180" w:line="340" w:lineRule="auto"/>
        <w:jc w:val="both"/>
      </w:pPr>
      <w:r>
        <w:rPr>
          <w:rFonts w:eastAsia="Noto Serif CJK TC"/>
          <w:color w:val="1A202C"/>
        </w:rPr>
        <w:t>七項缺口中，第</w:t>
      </w:r>
      <w:r>
        <w:rPr>
          <w:rFonts w:eastAsia="Noto Serif CJK TC"/>
          <w:color w:val="1A202C"/>
        </w:rPr>
        <w:t>2</w:t>
      </w:r>
      <w:r>
        <w:rPr>
          <w:rFonts w:eastAsia="Noto Serif CJK TC"/>
          <w:color w:val="1A202C"/>
        </w:rPr>
        <w:t>、</w:t>
      </w:r>
      <w:r>
        <w:rPr>
          <w:rFonts w:eastAsia="Noto Serif CJK TC"/>
          <w:color w:val="1A202C"/>
        </w:rPr>
        <w:t>4</w:t>
      </w:r>
      <w:r>
        <w:rPr>
          <w:rFonts w:eastAsia="Noto Serif CJK TC"/>
          <w:color w:val="1A202C"/>
        </w:rPr>
        <w:t>、</w:t>
      </w:r>
      <w:r>
        <w:rPr>
          <w:rFonts w:eastAsia="Noto Serif CJK TC"/>
          <w:color w:val="1A202C"/>
        </w:rPr>
        <w:t>5</w:t>
      </w:r>
      <w:r>
        <w:rPr>
          <w:rFonts w:eastAsia="Noto Serif CJK TC"/>
          <w:color w:val="1A202C"/>
        </w:rPr>
        <w:t>、</w:t>
      </w:r>
      <w:r>
        <w:rPr>
          <w:rFonts w:eastAsia="Noto Serif CJK TC"/>
          <w:color w:val="1A202C"/>
        </w:rPr>
        <w:t>6</w:t>
      </w:r>
      <w:r>
        <w:rPr>
          <w:rFonts w:eastAsia="Noto Serif CJK TC"/>
          <w:color w:val="1A202C"/>
        </w:rPr>
        <w:t>項本文判定為結構性缺口，意即即使本文</w:t>
      </w:r>
      <w:proofErr w:type="gramStart"/>
      <w:r>
        <w:rPr>
          <w:rFonts w:eastAsia="Noto Serif CJK TC"/>
          <w:color w:val="1A202C"/>
        </w:rPr>
        <w:t>完稿後子法</w:t>
      </w:r>
      <w:proofErr w:type="gramEnd"/>
      <w:r>
        <w:rPr>
          <w:rFonts w:eastAsia="Noto Serif CJK TC"/>
          <w:color w:val="1A202C"/>
        </w:rPr>
        <w:t>陸續發布，這幾項缺口若現行母法文本本身未修正，子法恐怕也難以逾越母法框架逕行創設</w:t>
      </w:r>
      <w:r>
        <w:rPr>
          <w:rFonts w:eastAsia="Noto Serif CJK TC"/>
          <w:color w:val="1A202C"/>
        </w:rPr>
        <w:t>——</w:t>
      </w:r>
      <w:r>
        <w:rPr>
          <w:rFonts w:eastAsia="Noto Serif CJK TC"/>
          <w:color w:val="1A202C"/>
        </w:rPr>
        <w:t>例如子法通常不能在母法未授權的情況下，逕行對政府採購契約課予新義務，或逕行創設母法未規定之停止權。第</w:t>
      </w:r>
      <w:r>
        <w:rPr>
          <w:rFonts w:eastAsia="Noto Serif CJK TC"/>
          <w:color w:val="1A202C"/>
        </w:rPr>
        <w:t>1</w:t>
      </w:r>
      <w:r>
        <w:rPr>
          <w:rFonts w:eastAsia="Noto Serif CJK TC"/>
          <w:color w:val="1A202C"/>
        </w:rPr>
        <w:t>、</w:t>
      </w:r>
      <w:r>
        <w:rPr>
          <w:rFonts w:eastAsia="Noto Serif CJK TC"/>
          <w:color w:val="1A202C"/>
        </w:rPr>
        <w:t>3</w:t>
      </w:r>
      <w:r>
        <w:rPr>
          <w:rFonts w:eastAsia="Noto Serif CJK TC"/>
          <w:color w:val="1A202C"/>
        </w:rPr>
        <w:t>、</w:t>
      </w:r>
      <w:r>
        <w:rPr>
          <w:rFonts w:eastAsia="Noto Serif CJK TC"/>
          <w:color w:val="1A202C"/>
        </w:rPr>
        <w:t>7</w:t>
      </w:r>
      <w:r>
        <w:rPr>
          <w:rFonts w:eastAsia="Noto Serif CJK TC"/>
          <w:color w:val="1A202C"/>
        </w:rPr>
        <w:t>項則兼具暫時性與結構性成分，其最終走向取決於後續子法的具體設計方向與立法者是否進一步修法。</w:t>
      </w:r>
    </w:p>
    <w:p w:rsidR="00FF05A2" w:rsidRDefault="00EE6916">
      <w:pPr>
        <w:spacing w:after="180" w:line="340" w:lineRule="auto"/>
        <w:jc w:val="both"/>
      </w:pPr>
      <w:r>
        <w:rPr>
          <w:rFonts w:eastAsia="Noto Serif CJK TC"/>
          <w:color w:val="1A202C"/>
        </w:rPr>
        <w:t>上述「結構性」判定所依循的，是行政法上「子法不得逾越母法授權範圍」之一般法律保留原則：子法之訂定須以母法之具體授權為前提，若母法全文未觸及某一事項（如缺口</w:t>
      </w:r>
      <w:r>
        <w:rPr>
          <w:rFonts w:eastAsia="Noto Serif CJK TC"/>
          <w:color w:val="1A202C"/>
        </w:rPr>
        <w:t>4</w:t>
      </w:r>
      <w:r>
        <w:rPr>
          <w:rFonts w:eastAsia="Noto Serif CJK TC"/>
          <w:color w:val="1A202C"/>
        </w:rPr>
        <w:t>之採購契約義務、缺口</w:t>
      </w:r>
      <w:r>
        <w:rPr>
          <w:rFonts w:eastAsia="Noto Serif CJK TC"/>
          <w:color w:val="1A202C"/>
        </w:rPr>
        <w:t>2</w:t>
      </w:r>
      <w:r>
        <w:rPr>
          <w:rFonts w:eastAsia="Noto Serif CJK TC"/>
          <w:color w:val="1A202C"/>
        </w:rPr>
        <w:t>與</w:t>
      </w:r>
      <w:r>
        <w:rPr>
          <w:rFonts w:eastAsia="Noto Serif CJK TC"/>
          <w:color w:val="1A202C"/>
        </w:rPr>
        <w:t>5</w:t>
      </w:r>
      <w:r>
        <w:rPr>
          <w:rFonts w:eastAsia="Noto Serif CJK TC"/>
          <w:color w:val="1A202C"/>
        </w:rPr>
        <w:t>之停止／否決權），子法通常不能無中生有地逕行創設對外發生拘束力之新義務或新權限，而須回頭修正母法本身，取得明確授權依據；</w:t>
      </w:r>
      <w:proofErr w:type="gramStart"/>
      <w:r>
        <w:rPr>
          <w:rFonts w:eastAsia="Noto Serif CJK TC"/>
          <w:color w:val="1A202C"/>
        </w:rPr>
        <w:t>反之，</w:t>
      </w:r>
      <w:proofErr w:type="gramEnd"/>
      <w:r>
        <w:rPr>
          <w:rFonts w:eastAsia="Noto Serif CJK TC"/>
          <w:color w:val="1A202C"/>
        </w:rPr>
        <w:t>若母法已有原則性規定但操作細節付之闕如（如缺口</w:t>
      </w:r>
      <w:r>
        <w:rPr>
          <w:rFonts w:eastAsia="Noto Serif CJK TC"/>
          <w:color w:val="1A202C"/>
        </w:rPr>
        <w:t>1</w:t>
      </w:r>
      <w:r>
        <w:rPr>
          <w:rFonts w:eastAsia="Noto Serif CJK TC"/>
          <w:color w:val="1A202C"/>
        </w:rPr>
        <w:t>、</w:t>
      </w:r>
      <w:r>
        <w:rPr>
          <w:rFonts w:eastAsia="Noto Serif CJK TC"/>
          <w:color w:val="1A202C"/>
        </w:rPr>
        <w:t>3</w:t>
      </w:r>
      <w:r>
        <w:rPr>
          <w:rFonts w:eastAsia="Noto Serif CJK TC"/>
          <w:color w:val="1A202C"/>
        </w:rPr>
        <w:t>、</w:t>
      </w:r>
      <w:r>
        <w:rPr>
          <w:rFonts w:eastAsia="Noto Serif CJK TC"/>
          <w:color w:val="1A202C"/>
        </w:rPr>
        <w:t>7</w:t>
      </w:r>
      <w:r>
        <w:rPr>
          <w:rFonts w:eastAsia="Noto Serif CJK TC"/>
          <w:color w:val="1A202C"/>
        </w:rPr>
        <w:t>），子法即可能在既有授權範圍內填補具體內容。本文</w:t>
      </w:r>
      <w:r>
        <w:rPr>
          <w:rFonts w:eastAsia="Noto Serif CJK TC"/>
          <w:color w:val="1A202C"/>
        </w:rPr>
        <w:lastRenderedPageBreak/>
        <w:t>之「暫時性／結構性」二分，即以此</w:t>
      </w:r>
      <w:proofErr w:type="gramStart"/>
      <w:r>
        <w:rPr>
          <w:rFonts w:eastAsia="Noto Serif CJK TC"/>
          <w:color w:val="1A202C"/>
        </w:rPr>
        <w:t>一</w:t>
      </w:r>
      <w:proofErr w:type="gramEnd"/>
      <w:r>
        <w:rPr>
          <w:rFonts w:eastAsia="Noto Serif CJK TC"/>
          <w:color w:val="1A202C"/>
        </w:rPr>
        <w:t>法律保留原則作為判定依據，而非本文審查者主觀認定之結果。</w:t>
      </w:r>
    </w:p>
    <w:p w:rsidR="00FF05A2" w:rsidRDefault="00EE6916">
      <w:pPr>
        <w:pStyle w:val="1"/>
        <w:spacing w:before="360" w:after="200" w:line="360" w:lineRule="auto"/>
      </w:pPr>
      <w:r>
        <w:rPr>
          <w:rFonts w:ascii="Noto Sans CJK TC" w:eastAsia="Noto Sans CJK TC" w:hAnsi="Noto Sans CJK TC" w:cs="Noto Sans CJK TC"/>
          <w:b/>
          <w:bCs/>
          <w:color w:val="1A365D"/>
        </w:rPr>
        <w:t>玖、政策</w:t>
      </w:r>
      <w:r>
        <w:rPr>
          <w:rFonts w:ascii="Noto Sans CJK TC" w:eastAsia="Noto Sans CJK TC" w:hAnsi="Noto Sans CJK TC" w:cs="Noto Sans CJK TC"/>
          <w:b/>
          <w:bCs/>
          <w:color w:val="1A365D"/>
        </w:rPr>
        <w:t>建議</w:t>
      </w:r>
    </w:p>
    <w:p w:rsidR="00FF05A2" w:rsidRDefault="00EE6916">
      <w:pPr>
        <w:spacing w:after="180" w:line="340" w:lineRule="auto"/>
        <w:jc w:val="both"/>
      </w:pPr>
      <w:r>
        <w:rPr>
          <w:rFonts w:eastAsia="Noto Serif CJK TC"/>
          <w:color w:val="1A202C"/>
        </w:rPr>
        <w:t>本文以下政策建議，</w:t>
      </w:r>
      <w:proofErr w:type="gramStart"/>
      <w:r>
        <w:rPr>
          <w:rFonts w:eastAsia="Noto Serif CJK TC"/>
          <w:color w:val="1A202C"/>
        </w:rPr>
        <w:t>均以前述</w:t>
      </w:r>
      <w:proofErr w:type="gramEnd"/>
      <w:r>
        <w:rPr>
          <w:rFonts w:eastAsia="Noto Serif CJK TC"/>
          <w:color w:val="1A202C"/>
        </w:rPr>
        <w:t>文本審計發現為基礎，並刻意維持審慎、有限度的建議範圍</w:t>
      </w:r>
      <w:r>
        <w:rPr>
          <w:rFonts w:eastAsia="Noto Serif CJK TC"/>
          <w:color w:val="1A202C"/>
        </w:rPr>
        <w:t>——</w:t>
      </w:r>
      <w:r>
        <w:rPr>
          <w:rFonts w:eastAsia="Noto Serif CJK TC"/>
          <w:color w:val="1A202C"/>
        </w:rPr>
        <w:t>本文僅審計法律文本，未涉及實際執行資料，故建議之定位是「文本層次可觀察到的具體缺口所指向的修法或立法方向」，而非涵蓋制度運作全貌的政策處方。</w:t>
      </w:r>
    </w:p>
    <w:p w:rsidR="00FF05A2" w:rsidRDefault="00EE6916">
      <w:pPr>
        <w:pStyle w:val="a4"/>
        <w:numPr>
          <w:ilvl w:val="0"/>
          <w:numId w:val="1"/>
        </w:numPr>
        <w:spacing w:after="100" w:line="320" w:lineRule="auto"/>
        <w:ind w:left="400"/>
      </w:pPr>
      <w:r>
        <w:rPr>
          <w:rFonts w:eastAsia="Noto Serif CJK TC"/>
          <w:color w:val="1A202C"/>
        </w:rPr>
        <w:t>針對決策能力缺口（缺口</w:t>
      </w:r>
      <w:r>
        <w:rPr>
          <w:rFonts w:eastAsia="Noto Serif CJK TC"/>
          <w:color w:val="1A202C"/>
        </w:rPr>
        <w:t>2</w:t>
      </w:r>
      <w:r>
        <w:rPr>
          <w:rFonts w:eastAsia="Noto Serif CJK TC"/>
          <w:color w:val="1A202C"/>
        </w:rPr>
        <w:t>、</w:t>
      </w:r>
      <w:r>
        <w:rPr>
          <w:rFonts w:eastAsia="Noto Serif CJK TC"/>
          <w:color w:val="1A202C"/>
        </w:rPr>
        <w:t>5</w:t>
      </w:r>
      <w:r>
        <w:rPr>
          <w:rFonts w:eastAsia="Noto Serif CJK TC"/>
          <w:color w:val="1A202C"/>
        </w:rPr>
        <w:t>）：建議於人工智慧基本法本法或其子法中，比照歐盟人工智慧法第</w:t>
      </w:r>
      <w:r>
        <w:rPr>
          <w:rFonts w:eastAsia="Noto Serif CJK TC"/>
          <w:color w:val="1A202C"/>
        </w:rPr>
        <w:t>14</w:t>
      </w:r>
      <w:r>
        <w:rPr>
          <w:rFonts w:eastAsia="Noto Serif CJK TC"/>
          <w:color w:val="1A202C"/>
        </w:rPr>
        <w:t>條之精神，明文規定高風險應用之人工介入權限</w:t>
      </w:r>
      <w:proofErr w:type="gramStart"/>
      <w:r>
        <w:rPr>
          <w:rFonts w:eastAsia="Noto Serif CJK TC"/>
          <w:color w:val="1A202C"/>
        </w:rPr>
        <w:t>—</w:t>
      </w:r>
      <w:proofErr w:type="gramEnd"/>
      <w:r>
        <w:rPr>
          <w:rFonts w:eastAsia="Noto Serif CJK TC"/>
          <w:color w:val="1A202C"/>
        </w:rPr>
        <w:t>—</w:t>
      </w:r>
      <w:r>
        <w:rPr>
          <w:rFonts w:eastAsia="Noto Serif CJK TC"/>
          <w:color w:val="1A202C"/>
        </w:rPr>
        <w:t>包括何人有權介入、於何種條件下介入、以及介入之最低程序要求，而非僅停留於第</w:t>
      </w:r>
      <w:r>
        <w:rPr>
          <w:rFonts w:eastAsia="Noto Serif CJK TC"/>
          <w:color w:val="1A202C"/>
        </w:rPr>
        <w:t>4</w:t>
      </w:r>
      <w:r>
        <w:rPr>
          <w:rFonts w:eastAsia="Noto Serif CJK TC"/>
          <w:color w:val="1A202C"/>
        </w:rPr>
        <w:t>條第</w:t>
      </w:r>
      <w:r>
        <w:rPr>
          <w:rFonts w:eastAsia="Noto Serif CJK TC"/>
          <w:color w:val="1A202C"/>
        </w:rPr>
        <w:t>2</w:t>
      </w:r>
      <w:r>
        <w:rPr>
          <w:rFonts w:eastAsia="Noto Serif CJK TC"/>
          <w:color w:val="1A202C"/>
        </w:rPr>
        <w:t>款之原則性宣示。</w:t>
      </w:r>
    </w:p>
    <w:p w:rsidR="00FF05A2" w:rsidRDefault="00EE6916">
      <w:pPr>
        <w:pStyle w:val="a4"/>
        <w:numPr>
          <w:ilvl w:val="0"/>
          <w:numId w:val="1"/>
        </w:numPr>
        <w:spacing w:after="100" w:line="320" w:lineRule="auto"/>
        <w:ind w:left="400"/>
      </w:pPr>
      <w:r>
        <w:rPr>
          <w:rFonts w:eastAsia="Noto Serif CJK TC"/>
          <w:color w:val="1A202C"/>
        </w:rPr>
        <w:t>針對採購契約缺口（缺口</w:t>
      </w:r>
      <w:r>
        <w:rPr>
          <w:rFonts w:eastAsia="Noto Serif CJK TC"/>
          <w:color w:val="1A202C"/>
        </w:rPr>
        <w:t>4</w:t>
      </w:r>
      <w:r>
        <w:rPr>
          <w:rFonts w:eastAsia="Noto Serif CJK TC"/>
          <w:color w:val="1A202C"/>
        </w:rPr>
        <w:t>）：建議參考加拿大自</w:t>
      </w:r>
      <w:r>
        <w:rPr>
          <w:rFonts w:eastAsia="Noto Serif CJK TC"/>
          <w:color w:val="1A202C"/>
        </w:rPr>
        <w:t>動化決策指令對委外開發系統之處理方式，</w:t>
      </w:r>
      <w:proofErr w:type="gramStart"/>
      <w:r>
        <w:rPr>
          <w:rFonts w:eastAsia="Noto Serif CJK TC"/>
          <w:color w:val="1A202C"/>
        </w:rPr>
        <w:t>於子法</w:t>
      </w:r>
      <w:proofErr w:type="gramEnd"/>
      <w:r>
        <w:rPr>
          <w:rFonts w:eastAsia="Noto Serif CJK TC"/>
          <w:color w:val="1A202C"/>
        </w:rPr>
        <w:t>中明定政府採購或委外開發人工智慧系統時，供應商應配合提供之技術文件、模型資訊與稽核配合義務，並可考慮建立標準採購契約條款範本，此一措施可直接回應</w:t>
      </w:r>
      <w:r>
        <w:rPr>
          <w:rFonts w:eastAsia="Noto Serif CJK TC"/>
          <w:color w:val="1A202C"/>
        </w:rPr>
        <w:t xml:space="preserve"> 032 P4 </w:t>
      </w:r>
      <w:r>
        <w:rPr>
          <w:rFonts w:eastAsia="Noto Serif CJK TC"/>
          <w:color w:val="1A202C"/>
        </w:rPr>
        <w:t>外包風險命題所預示之脫鉤風險。</w:t>
      </w:r>
    </w:p>
    <w:p w:rsidR="00FF05A2" w:rsidRDefault="00EE6916">
      <w:pPr>
        <w:pStyle w:val="a4"/>
        <w:numPr>
          <w:ilvl w:val="0"/>
          <w:numId w:val="1"/>
        </w:numPr>
        <w:spacing w:after="100" w:line="320" w:lineRule="auto"/>
        <w:ind w:left="400"/>
      </w:pPr>
      <w:proofErr w:type="gramStart"/>
      <w:r>
        <w:rPr>
          <w:rFonts w:eastAsia="Noto Serif CJK TC"/>
          <w:color w:val="1A202C"/>
        </w:rPr>
        <w:t>針對課責能力</w:t>
      </w:r>
      <w:proofErr w:type="gramEnd"/>
      <w:r>
        <w:rPr>
          <w:rFonts w:eastAsia="Noto Serif CJK TC"/>
          <w:color w:val="1A202C"/>
        </w:rPr>
        <w:t>缺口（缺口</w:t>
      </w:r>
      <w:r>
        <w:rPr>
          <w:rFonts w:eastAsia="Noto Serif CJK TC"/>
          <w:color w:val="1A202C"/>
        </w:rPr>
        <w:t>3</w:t>
      </w:r>
      <w:r>
        <w:rPr>
          <w:rFonts w:eastAsia="Noto Serif CJK TC"/>
          <w:color w:val="1A202C"/>
        </w:rPr>
        <w:t>、</w:t>
      </w:r>
      <w:r>
        <w:rPr>
          <w:rFonts w:eastAsia="Noto Serif CJK TC"/>
          <w:color w:val="1A202C"/>
        </w:rPr>
        <w:t>7</w:t>
      </w:r>
      <w:r>
        <w:rPr>
          <w:rFonts w:eastAsia="Noto Serif CJK TC"/>
          <w:color w:val="1A202C"/>
        </w:rPr>
        <w:t>）：建議子法明定第</w:t>
      </w:r>
      <w:r>
        <w:rPr>
          <w:rFonts w:eastAsia="Noto Serif CJK TC"/>
          <w:color w:val="1A202C"/>
        </w:rPr>
        <w:t>17</w:t>
      </w:r>
      <w:r>
        <w:rPr>
          <w:rFonts w:eastAsia="Noto Serif CJK TC"/>
          <w:color w:val="1A202C"/>
        </w:rPr>
        <w:t>條「救濟、補償或保險機制」之最低內容標準與訂定期限，並具體說明其與既有民事賠償、國家賠償及訴願、行政訴訟制度之銜接關係，避免第</w:t>
      </w:r>
      <w:r>
        <w:rPr>
          <w:rFonts w:eastAsia="Noto Serif CJK TC"/>
          <w:color w:val="1A202C"/>
        </w:rPr>
        <w:t>17</w:t>
      </w:r>
      <w:r>
        <w:rPr>
          <w:rFonts w:eastAsia="Noto Serif CJK TC"/>
          <w:color w:val="1A202C"/>
        </w:rPr>
        <w:t>條之「建立」義務長期停留於宣示層次。</w:t>
      </w:r>
    </w:p>
    <w:p w:rsidR="00FF05A2" w:rsidRDefault="00EE6916">
      <w:pPr>
        <w:pStyle w:val="a4"/>
        <w:numPr>
          <w:ilvl w:val="0"/>
          <w:numId w:val="1"/>
        </w:numPr>
        <w:spacing w:after="100" w:line="320" w:lineRule="auto"/>
        <w:ind w:left="400"/>
      </w:pPr>
      <w:r>
        <w:rPr>
          <w:rFonts w:eastAsia="Noto Serif CJK TC"/>
          <w:color w:val="1A202C"/>
        </w:rPr>
        <w:t>針對審計權缺口（缺口</w:t>
      </w:r>
      <w:r>
        <w:rPr>
          <w:rFonts w:eastAsia="Noto Serif CJK TC"/>
          <w:color w:val="1A202C"/>
        </w:rPr>
        <w:t>6</w:t>
      </w:r>
      <w:r>
        <w:rPr>
          <w:rFonts w:eastAsia="Noto Serif CJK TC"/>
          <w:color w:val="1A202C"/>
        </w:rPr>
        <w:t>）：建議參考歐盟人工智慧法第</w:t>
      </w:r>
      <w:r>
        <w:rPr>
          <w:rFonts w:eastAsia="Noto Serif CJK TC"/>
          <w:color w:val="1A202C"/>
        </w:rPr>
        <w:t>11</w:t>
      </w:r>
      <w:r>
        <w:rPr>
          <w:rFonts w:eastAsia="Noto Serif CJK TC"/>
          <w:color w:val="1A202C"/>
        </w:rPr>
        <w:t>、</w:t>
      </w:r>
      <w:r>
        <w:rPr>
          <w:rFonts w:eastAsia="Noto Serif CJK TC"/>
          <w:color w:val="1A202C"/>
        </w:rPr>
        <w:t>1</w:t>
      </w:r>
      <w:r>
        <w:rPr>
          <w:rFonts w:eastAsia="Noto Serif CJK TC"/>
          <w:color w:val="1A202C"/>
        </w:rPr>
        <w:t>2</w:t>
      </w:r>
      <w:r>
        <w:rPr>
          <w:rFonts w:eastAsia="Noto Serif CJK TC"/>
          <w:color w:val="1A202C"/>
        </w:rPr>
        <w:t>條與加拿大之演算法影響評估公開發布機制，</w:t>
      </w:r>
      <w:proofErr w:type="gramStart"/>
      <w:r>
        <w:rPr>
          <w:rFonts w:eastAsia="Noto Serif CJK TC"/>
          <w:color w:val="1A202C"/>
        </w:rPr>
        <w:t>於子法</w:t>
      </w:r>
      <w:proofErr w:type="gramEnd"/>
      <w:r>
        <w:rPr>
          <w:rFonts w:eastAsia="Noto Serif CJK TC"/>
          <w:color w:val="1A202C"/>
        </w:rPr>
        <w:t>中要求高風險系統之技術文件與運作紀錄應予保存，並考慮是否比照加拿大模式，要求特定風險等級以上之系統於部署前公開發布風險評估結果。</w:t>
      </w:r>
    </w:p>
    <w:p w:rsidR="00FF05A2" w:rsidRDefault="00EE6916">
      <w:pPr>
        <w:pStyle w:val="a4"/>
        <w:numPr>
          <w:ilvl w:val="0"/>
          <w:numId w:val="1"/>
        </w:numPr>
        <w:spacing w:after="100" w:line="320" w:lineRule="auto"/>
        <w:ind w:left="400"/>
      </w:pPr>
      <w:r>
        <w:rPr>
          <w:rFonts w:eastAsia="Noto Serif CJK TC"/>
          <w:color w:val="1A202C"/>
        </w:rPr>
        <w:t>針對子法訂定期程本身：</w:t>
      </w:r>
      <w:proofErr w:type="gramStart"/>
      <w:r>
        <w:rPr>
          <w:rFonts w:eastAsia="Noto Serif CJK TC"/>
          <w:color w:val="1A202C"/>
        </w:rPr>
        <w:t>鑑</w:t>
      </w:r>
      <w:proofErr w:type="gramEnd"/>
      <w:r>
        <w:rPr>
          <w:rFonts w:eastAsia="Noto Serif CJK TC"/>
          <w:color w:val="1A202C"/>
        </w:rPr>
        <w:t>於第十八條所定兩年期限即將於</w:t>
      </w:r>
      <w:proofErr w:type="gramStart"/>
      <w:r>
        <w:rPr>
          <w:rFonts w:eastAsia="Noto Serif CJK TC"/>
          <w:color w:val="1A202C"/>
        </w:rPr>
        <w:t>2028</w:t>
      </w:r>
      <w:r>
        <w:rPr>
          <w:rFonts w:eastAsia="Noto Serif CJK TC"/>
          <w:color w:val="1A202C"/>
        </w:rPr>
        <w:t>年</w:t>
      </w:r>
      <w:r>
        <w:rPr>
          <w:rFonts w:eastAsia="Noto Serif CJK TC"/>
          <w:color w:val="1A202C"/>
        </w:rPr>
        <w:t>1</w:t>
      </w:r>
      <w:r>
        <w:rPr>
          <w:rFonts w:eastAsia="Noto Serif CJK TC"/>
          <w:color w:val="1A202C"/>
        </w:rPr>
        <w:t>月屆</w:t>
      </w:r>
      <w:proofErr w:type="gramEnd"/>
      <w:r>
        <w:rPr>
          <w:rFonts w:eastAsia="Noto Serif CJK TC"/>
          <w:color w:val="1A202C"/>
        </w:rPr>
        <w:t>至，且本文所列多項暫時性缺口均</w:t>
      </w:r>
      <w:proofErr w:type="gramStart"/>
      <w:r>
        <w:rPr>
          <w:rFonts w:eastAsia="Noto Serif CJK TC"/>
          <w:color w:val="1A202C"/>
        </w:rPr>
        <w:t>繫於</w:t>
      </w:r>
      <w:proofErr w:type="gramEnd"/>
      <w:r>
        <w:rPr>
          <w:rFonts w:eastAsia="Noto Serif CJK TC"/>
          <w:color w:val="1A202C"/>
        </w:rPr>
        <w:t>子法能否如期發布，建議立法院於後續監督中，將子法發布進度與具體內容納入定期追蹤事項，避免框架性基本法之操作性內容長期懸而未決。</w:t>
      </w:r>
    </w:p>
    <w:p w:rsidR="00FF05A2" w:rsidRDefault="00EE6916">
      <w:pPr>
        <w:pStyle w:val="1"/>
        <w:spacing w:before="360" w:after="200" w:line="360" w:lineRule="auto"/>
      </w:pPr>
      <w:r>
        <w:rPr>
          <w:rFonts w:ascii="Noto Sans CJK TC" w:eastAsia="Noto Sans CJK TC" w:hAnsi="Noto Sans CJK TC" w:cs="Noto Sans CJK TC"/>
          <w:b/>
          <w:bCs/>
          <w:color w:val="1A365D"/>
        </w:rPr>
        <w:t>拾、結論</w:t>
      </w:r>
    </w:p>
    <w:p w:rsidR="00FF05A2" w:rsidRDefault="00EE6916">
      <w:pPr>
        <w:spacing w:after="180" w:line="340" w:lineRule="auto"/>
        <w:jc w:val="both"/>
      </w:pPr>
      <w:r>
        <w:rPr>
          <w:rFonts w:eastAsia="Noto Serif CJK TC"/>
          <w:color w:val="1A202C"/>
        </w:rPr>
        <w:t>回到本文開頭的提問：把</w:t>
      </w:r>
      <w:r>
        <w:rPr>
          <w:rFonts w:eastAsia="Noto Serif CJK TC"/>
          <w:color w:val="1A202C"/>
        </w:rPr>
        <w:t xml:space="preserve"> UCPR </w:t>
      </w:r>
      <w:r>
        <w:rPr>
          <w:rFonts w:eastAsia="Noto Serif CJK TC"/>
          <w:color w:val="1A202C"/>
        </w:rPr>
        <w:t>三種能力當作一把量尺，逐條丈量臺灣、歐盟、加拿大現行有效的人工智慧治理法律文本，量出來的結果是什麼？答案並不是</w:t>
      </w:r>
      <w:proofErr w:type="gramStart"/>
      <w:r>
        <w:rPr>
          <w:rFonts w:eastAsia="Noto Serif CJK TC"/>
          <w:color w:val="1A202C"/>
        </w:rPr>
        <w:t>單一法域全面</w:t>
      </w:r>
      <w:proofErr w:type="gramEnd"/>
      <w:r>
        <w:rPr>
          <w:rFonts w:eastAsia="Noto Serif CJK TC"/>
          <w:color w:val="1A202C"/>
        </w:rPr>
        <w:t>領先或全面落後，而是三種不同的制度組合：歐盟人工智慧法在決策能力與執行機制上規定最具體，但對公部門自身之</w:t>
      </w:r>
      <w:proofErr w:type="gramStart"/>
      <w:r>
        <w:rPr>
          <w:rFonts w:eastAsia="Noto Serif CJK TC"/>
          <w:color w:val="1A202C"/>
        </w:rPr>
        <w:t>裁罰留予</w:t>
      </w:r>
      <w:proofErr w:type="gramEnd"/>
      <w:r>
        <w:rPr>
          <w:rFonts w:eastAsia="Noto Serif CJK TC"/>
          <w:color w:val="1A202C"/>
        </w:rPr>
        <w:t>會員國自定；加拿大自動化決策指令在認知</w:t>
      </w:r>
      <w:proofErr w:type="gramStart"/>
      <w:r>
        <w:rPr>
          <w:rFonts w:eastAsia="Noto Serif CJK TC"/>
          <w:color w:val="1A202C"/>
        </w:rPr>
        <w:t>能力與依風險</w:t>
      </w:r>
      <w:proofErr w:type="gramEnd"/>
      <w:r>
        <w:rPr>
          <w:rFonts w:eastAsia="Noto Serif CJK TC"/>
          <w:color w:val="1A202C"/>
        </w:rPr>
        <w:t>分級之決策能力上規定具體，但其法律位階本身最為脆弱，且未創設獨立於既有救濟之外的新救濟權；臺灣人工智慧基本法作為最晚近公布施行的一部，多數操作性規定仍委由子法訂定，本文</w:t>
      </w:r>
      <w:proofErr w:type="gramStart"/>
      <w:r>
        <w:rPr>
          <w:rFonts w:eastAsia="Noto Serif CJK TC"/>
          <w:color w:val="1A202C"/>
        </w:rPr>
        <w:t>完稿時子法</w:t>
      </w:r>
      <w:proofErr w:type="gramEnd"/>
      <w:r>
        <w:rPr>
          <w:rFonts w:eastAsia="Noto Serif CJK TC"/>
          <w:color w:val="1A202C"/>
        </w:rPr>
        <w:t>多尚</w:t>
      </w:r>
      <w:r>
        <w:rPr>
          <w:rFonts w:eastAsia="Noto Serif CJK TC"/>
          <w:color w:val="1A202C"/>
        </w:rPr>
        <w:lastRenderedPageBreak/>
        <w:t>未發布，現行</w:t>
      </w:r>
      <w:r>
        <w:rPr>
          <w:rFonts w:eastAsia="Noto Serif CJK TC"/>
          <w:color w:val="1A202C"/>
        </w:rPr>
        <w:t>文本在決策能力、採購契約與審計權三個面向，呈現本文判定為結構性的制度空白。</w:t>
      </w:r>
    </w:p>
    <w:p w:rsidR="00FF05A2" w:rsidRDefault="00EE6916">
      <w:pPr>
        <w:spacing w:after="180" w:line="340" w:lineRule="auto"/>
        <w:jc w:val="both"/>
      </w:pPr>
      <w:r>
        <w:rPr>
          <w:rFonts w:eastAsia="Noto Serif CJK TC"/>
          <w:color w:val="1A202C"/>
        </w:rPr>
        <w:t>本文的分析同時對</w:t>
      </w:r>
      <w:r>
        <w:rPr>
          <w:rFonts w:eastAsia="Noto Serif CJK TC"/>
          <w:color w:val="1A202C"/>
        </w:rPr>
        <w:t xml:space="preserve"> 032 </w:t>
      </w:r>
      <w:r>
        <w:rPr>
          <w:rFonts w:eastAsia="Noto Serif CJK TC"/>
          <w:color w:val="1A202C"/>
        </w:rPr>
        <w:t>之</w:t>
      </w:r>
      <w:r>
        <w:rPr>
          <w:rFonts w:eastAsia="Noto Serif CJK TC"/>
          <w:color w:val="1A202C"/>
        </w:rPr>
        <w:t xml:space="preserve"> P3</w:t>
      </w:r>
      <w:r>
        <w:rPr>
          <w:rFonts w:eastAsia="Noto Serif CJK TC"/>
          <w:color w:val="1A202C"/>
        </w:rPr>
        <w:t>、</w:t>
      </w:r>
      <w:r>
        <w:rPr>
          <w:rFonts w:eastAsia="Noto Serif CJK TC"/>
          <w:color w:val="1A202C"/>
        </w:rPr>
        <w:t xml:space="preserve">P4 </w:t>
      </w:r>
      <w:r>
        <w:rPr>
          <w:rFonts w:eastAsia="Noto Serif CJK TC"/>
          <w:color w:val="1A202C"/>
        </w:rPr>
        <w:t>命題提供了初步的文本層次佐證：事中否決、推翻與停止權限的有無，確實對應著決策能力審計結果的顯著差異；供應商掌握技術文件與模型控制權的制度安排，確實對應著認知與決策能力脫</w:t>
      </w:r>
      <w:proofErr w:type="gramStart"/>
      <w:r>
        <w:rPr>
          <w:rFonts w:eastAsia="Noto Serif CJK TC"/>
          <w:color w:val="1A202C"/>
        </w:rPr>
        <w:t>鉤</w:t>
      </w:r>
      <w:proofErr w:type="gramEnd"/>
      <w:r>
        <w:rPr>
          <w:rFonts w:eastAsia="Noto Serif CJK TC"/>
          <w:color w:val="1A202C"/>
        </w:rPr>
        <w:t>的結構性風險，而歐盟以供應商／部署者義務分工回應此一風險的設計，提供了一個具體的制度回應範例。</w:t>
      </w:r>
      <w:proofErr w:type="gramStart"/>
      <w:r>
        <w:rPr>
          <w:rFonts w:eastAsia="Noto Serif CJK TC"/>
          <w:color w:val="1A202C"/>
        </w:rPr>
        <w:t>柒</w:t>
      </w:r>
      <w:proofErr w:type="gramEnd"/>
      <w:r>
        <w:rPr>
          <w:rFonts w:eastAsia="Noto Serif CJK TC"/>
          <w:color w:val="1A202C"/>
        </w:rPr>
        <w:t>章進一步指出，即使是規定最具體的歐盟第</w:t>
      </w:r>
      <w:r>
        <w:rPr>
          <w:rFonts w:eastAsia="Noto Serif CJK TC"/>
          <w:color w:val="1A202C"/>
        </w:rPr>
        <w:t>14</w:t>
      </w:r>
      <w:r>
        <w:rPr>
          <w:rFonts w:eastAsia="Noto Serif CJK TC"/>
          <w:color w:val="1A202C"/>
        </w:rPr>
        <w:t>條，其形式權限能否轉化為部署者實際行使的實質能力，仍受介面設計、覆核誘因等因素影響</w:t>
      </w:r>
      <w:r>
        <w:rPr>
          <w:rFonts w:eastAsia="Noto Serif CJK TC"/>
          <w:color w:val="1A202C"/>
        </w:rPr>
        <w:t>——</w:t>
      </w:r>
      <w:r>
        <w:rPr>
          <w:rFonts w:eastAsia="Noto Serif CJK TC"/>
          <w:color w:val="1A202C"/>
        </w:rPr>
        <w:t>這正呼應了</w:t>
      </w:r>
      <w:r>
        <w:rPr>
          <w:rFonts w:eastAsia="Noto Serif CJK TC"/>
          <w:color w:val="1A202C"/>
        </w:rPr>
        <w:t xml:space="preserve"> 032 P5 </w:t>
      </w:r>
      <w:r>
        <w:rPr>
          <w:rFonts w:eastAsia="Noto Serif CJK TC"/>
          <w:color w:val="1A202C"/>
        </w:rPr>
        <w:t>介面中介命題的關切，也提醒我們法律文本審計本身有其</w:t>
      </w:r>
      <w:r>
        <w:rPr>
          <w:rFonts w:eastAsia="Noto Serif CJK TC"/>
          <w:color w:val="1A202C"/>
        </w:rPr>
        <w:t>方法論上的邊界。</w:t>
      </w:r>
    </w:p>
    <w:p w:rsidR="00FF05A2" w:rsidRDefault="00EE6916">
      <w:pPr>
        <w:spacing w:after="180" w:line="340" w:lineRule="auto"/>
        <w:jc w:val="both"/>
      </w:pPr>
      <w:r>
        <w:rPr>
          <w:rFonts w:eastAsia="Noto Serif CJK TC"/>
          <w:color w:val="1A202C"/>
        </w:rPr>
        <w:t>本文必須誠實重申其限制：本文僅審計法律文本本身，未蒐集任何實際執行資料，文本規定與實際行使之間的落差，仍待後續實證研究</w:t>
      </w:r>
      <w:proofErr w:type="gramStart"/>
      <w:r>
        <w:rPr>
          <w:rFonts w:eastAsia="Noto Serif CJK TC"/>
          <w:color w:val="1A202C"/>
        </w:rPr>
        <w:t>—</w:t>
      </w:r>
      <w:proofErr w:type="gramEnd"/>
      <w:r>
        <w:rPr>
          <w:rFonts w:eastAsia="Noto Serif CJK TC"/>
          <w:color w:val="1A202C"/>
        </w:rPr>
        <w:t>—</w:t>
      </w:r>
      <w:r>
        <w:rPr>
          <w:rFonts w:eastAsia="Noto Serif CJK TC"/>
          <w:color w:val="1A202C"/>
        </w:rPr>
        <w:t>尤其是</w:t>
      </w:r>
      <w:r>
        <w:rPr>
          <w:rFonts w:eastAsia="Noto Serif CJK TC"/>
          <w:color w:val="1A202C"/>
        </w:rPr>
        <w:t xml:space="preserve"> 031 </w:t>
      </w:r>
      <w:r>
        <w:rPr>
          <w:rFonts w:eastAsia="Noto Serif CJK TC"/>
          <w:color w:val="1A202C"/>
        </w:rPr>
        <w:t>已建立的個案研究方法</w:t>
      </w:r>
      <w:r>
        <w:rPr>
          <w:rFonts w:eastAsia="Noto Serif CJK TC"/>
          <w:color w:val="1A202C"/>
        </w:rPr>
        <w:t>——</w:t>
      </w:r>
      <w:r>
        <w:rPr>
          <w:rFonts w:eastAsia="Noto Serif CJK TC"/>
          <w:color w:val="1A202C"/>
        </w:rPr>
        <w:t>加以檢驗；本文對歐盟人工智慧法之審計，其比較基準是本文完稿時（</w:t>
      </w:r>
      <w:r>
        <w:rPr>
          <w:rFonts w:eastAsia="Noto Serif CJK TC"/>
          <w:color w:val="1A202C"/>
        </w:rPr>
        <w:t>2026</w:t>
      </w:r>
      <w:r>
        <w:rPr>
          <w:rFonts w:eastAsia="Noto Serif CJK TC"/>
          <w:color w:val="1A202C"/>
        </w:rPr>
        <w:t>年</w:t>
      </w:r>
      <w:r>
        <w:rPr>
          <w:rFonts w:eastAsia="Noto Serif CJK TC"/>
          <w:color w:val="1A202C"/>
        </w:rPr>
        <w:t>8</w:t>
      </w:r>
      <w:r>
        <w:rPr>
          <w:rFonts w:eastAsia="Noto Serif CJK TC"/>
          <w:color w:val="1A202C"/>
        </w:rPr>
        <w:t>月）之文本狀態，其中高風險義務生效期程甫經</w:t>
      </w:r>
      <w:r>
        <w:rPr>
          <w:rFonts w:eastAsia="Noto Serif CJK TC"/>
          <w:color w:val="1A202C"/>
        </w:rPr>
        <w:t xml:space="preserve"> Digital Omnibus </w:t>
      </w:r>
      <w:r>
        <w:rPr>
          <w:rFonts w:eastAsia="Noto Serif CJK TC"/>
          <w:color w:val="1A202C"/>
        </w:rPr>
        <w:t>修正延後，相關規定於本文完稿後仍可能持續變動；本文對臺灣制度之審計，同樣受限於子法尚未發布之現狀，</w:t>
      </w:r>
      <w:proofErr w:type="gramStart"/>
      <w:r>
        <w:rPr>
          <w:rFonts w:eastAsia="Noto Serif CJK TC"/>
          <w:color w:val="1A202C"/>
        </w:rPr>
        <w:t>捌章所</w:t>
      </w:r>
      <w:proofErr w:type="gramEnd"/>
      <w:r>
        <w:rPr>
          <w:rFonts w:eastAsia="Noto Serif CJK TC"/>
          <w:color w:val="1A202C"/>
        </w:rPr>
        <w:t>列七項缺口中屬「暫時性」者，其最終是否被填補，仍待後續追蹤。這些限制同時也劃出</w:t>
      </w:r>
      <w:r>
        <w:rPr>
          <w:rFonts w:eastAsia="Noto Serif CJK TC"/>
          <w:color w:val="1A202C"/>
        </w:rPr>
        <w:t>了本文對系列後續研究的具體貢獻：</w:t>
      </w:r>
      <w:r>
        <w:rPr>
          <w:rFonts w:eastAsia="Noto Serif CJK TC"/>
          <w:color w:val="1A202C"/>
        </w:rPr>
        <w:t xml:space="preserve">031 </w:t>
      </w:r>
      <w:r>
        <w:rPr>
          <w:rFonts w:eastAsia="Noto Serif CJK TC"/>
          <w:color w:val="1A202C"/>
        </w:rPr>
        <w:t>若進行後續個案研究，可援用</w:t>
      </w:r>
      <w:proofErr w:type="gramStart"/>
      <w:r>
        <w:rPr>
          <w:rFonts w:eastAsia="Noto Serif CJK TC"/>
          <w:color w:val="1A202C"/>
        </w:rPr>
        <w:t>本文捌章之</w:t>
      </w:r>
      <w:proofErr w:type="gramEnd"/>
      <w:r>
        <w:rPr>
          <w:rFonts w:eastAsia="Noto Serif CJK TC"/>
          <w:color w:val="1A202C"/>
        </w:rPr>
        <w:t>缺口清單，檢視特定系統之實際運作是否印證或反駁這些文本層次的預測；</w:t>
      </w:r>
      <w:r>
        <w:rPr>
          <w:rFonts w:eastAsia="Noto Serif CJK TC"/>
          <w:color w:val="1A202C"/>
        </w:rPr>
        <w:t xml:space="preserve">033 </w:t>
      </w:r>
      <w:r>
        <w:rPr>
          <w:rFonts w:eastAsia="Noto Serif CJK TC"/>
          <w:color w:val="1A202C"/>
        </w:rPr>
        <w:t>所列之法律文本審計研究策略，本文即是第一個實作案例，後續研究者可依循本文之五步驟方法，將審計範圍擴及更</w:t>
      </w:r>
      <w:proofErr w:type="gramStart"/>
      <w:r>
        <w:rPr>
          <w:rFonts w:eastAsia="Noto Serif CJK TC"/>
          <w:color w:val="1A202C"/>
        </w:rPr>
        <w:t>多法域</w:t>
      </w:r>
      <w:proofErr w:type="gramEnd"/>
      <w:r>
        <w:rPr>
          <w:rFonts w:eastAsia="Noto Serif CJK TC"/>
          <w:color w:val="1A202C"/>
        </w:rPr>
        <w:t>或更新之子法文本。</w:t>
      </w:r>
    </w:p>
    <w:p w:rsidR="00FF05A2" w:rsidRDefault="00EE6916">
      <w:pPr>
        <w:spacing w:after="180" w:line="340" w:lineRule="auto"/>
        <w:jc w:val="both"/>
      </w:pPr>
      <w:proofErr w:type="gramStart"/>
      <w:r>
        <w:rPr>
          <w:rFonts w:eastAsia="Noto Serif CJK TC"/>
          <w:color w:val="1A202C"/>
        </w:rPr>
        <w:t>此外，</w:t>
      </w:r>
      <w:proofErr w:type="gramEnd"/>
      <w:r>
        <w:rPr>
          <w:rFonts w:eastAsia="Noto Serif CJK TC"/>
          <w:color w:val="1A202C"/>
        </w:rPr>
        <w:t>本文與</w:t>
      </w:r>
      <w:r>
        <w:rPr>
          <w:rFonts w:eastAsia="Noto Serif CJK TC"/>
          <w:color w:val="1A202C"/>
        </w:rPr>
        <w:t xml:space="preserve"> 035 </w:t>
      </w:r>
      <w:r>
        <w:rPr>
          <w:rFonts w:eastAsia="Noto Serif CJK TC"/>
          <w:color w:val="1A202C"/>
        </w:rPr>
        <w:t>共同構成</w:t>
      </w:r>
      <w:r>
        <w:rPr>
          <w:rFonts w:eastAsia="Noto Serif CJK TC"/>
          <w:color w:val="1A202C"/>
        </w:rPr>
        <w:t xml:space="preserve"> GDA </w:t>
      </w:r>
      <w:r>
        <w:rPr>
          <w:rFonts w:eastAsia="Noto Serif CJK TC"/>
          <w:color w:val="1A202C"/>
        </w:rPr>
        <w:t>模型在「權威」構面上的雙層操作化工具：</w:t>
      </w:r>
      <w:r>
        <w:rPr>
          <w:rFonts w:eastAsia="Noto Serif CJK TC"/>
          <w:color w:val="1A202C"/>
        </w:rPr>
        <w:t xml:space="preserve">035 </w:t>
      </w:r>
      <w:r>
        <w:rPr>
          <w:rFonts w:eastAsia="Noto Serif CJK TC"/>
          <w:color w:val="1A202C"/>
        </w:rPr>
        <w:t>提供規範轉換的強度矩陣與安全閥判</w:t>
      </w:r>
      <w:proofErr w:type="gramStart"/>
      <w:r>
        <w:rPr>
          <w:rFonts w:eastAsia="Noto Serif CJK TC"/>
          <w:color w:val="1A202C"/>
        </w:rPr>
        <w:t>準</w:t>
      </w:r>
      <w:proofErr w:type="gramEnd"/>
      <w:r>
        <w:rPr>
          <w:rFonts w:eastAsia="Noto Serif CJK TC"/>
          <w:color w:val="1A202C"/>
        </w:rPr>
        <w:t>，用於診斷技術選擇本身的規範化風險；本文則提供</w:t>
      </w:r>
      <w:r>
        <w:rPr>
          <w:rFonts w:eastAsia="Noto Serif CJK TC"/>
          <w:color w:val="1A202C"/>
        </w:rPr>
        <w:t xml:space="preserve"> UCPR </w:t>
      </w:r>
      <w:r>
        <w:rPr>
          <w:rFonts w:eastAsia="Noto Serif CJK TC"/>
          <w:color w:val="1A202C"/>
        </w:rPr>
        <w:t>的文本審計</w:t>
      </w:r>
      <w:proofErr w:type="gramStart"/>
      <w:r>
        <w:rPr>
          <w:rFonts w:eastAsia="Noto Serif CJK TC"/>
          <w:color w:val="1A202C"/>
        </w:rPr>
        <w:t>量尺與形式</w:t>
      </w:r>
      <w:proofErr w:type="gramEnd"/>
      <w:r>
        <w:rPr>
          <w:rFonts w:eastAsia="Noto Serif CJK TC"/>
          <w:color w:val="1A202C"/>
        </w:rPr>
        <w:t>／實質區分，用於評估公共權威是否仍具</w:t>
      </w:r>
      <w:r>
        <w:rPr>
          <w:rFonts w:eastAsia="Noto Serif CJK TC"/>
          <w:color w:val="1A202C"/>
        </w:rPr>
        <w:t>備回應該風險的制度能力。後續研究者可將兩者串接使用</w:t>
      </w:r>
      <w:proofErr w:type="gramStart"/>
      <w:r>
        <w:rPr>
          <w:rFonts w:eastAsia="Noto Serif CJK TC"/>
          <w:color w:val="1A202C"/>
        </w:rPr>
        <w:t>—</w:t>
      </w:r>
      <w:proofErr w:type="gramEnd"/>
      <w:r>
        <w:rPr>
          <w:rFonts w:eastAsia="Noto Serif CJK TC"/>
          <w:color w:val="1A202C"/>
        </w:rPr>
        <w:t>—</w:t>
      </w:r>
      <w:r>
        <w:rPr>
          <w:rFonts w:eastAsia="Noto Serif CJK TC"/>
          <w:color w:val="1A202C"/>
        </w:rPr>
        <w:t>先以</w:t>
      </w:r>
      <w:r>
        <w:rPr>
          <w:rFonts w:eastAsia="Noto Serif CJK TC"/>
          <w:color w:val="1A202C"/>
        </w:rPr>
        <w:t xml:space="preserve"> 035 </w:t>
      </w:r>
      <w:r>
        <w:rPr>
          <w:rFonts w:eastAsia="Noto Serif CJK TC"/>
          <w:color w:val="1A202C"/>
        </w:rPr>
        <w:t>判定一項技術選擇落於型態一、二或三，再以本文之比較結果檢視</w:t>
      </w:r>
      <w:proofErr w:type="gramStart"/>
      <w:r>
        <w:rPr>
          <w:rFonts w:eastAsia="Noto Serif CJK TC"/>
          <w:color w:val="1A202C"/>
        </w:rPr>
        <w:t>該法域法</w:t>
      </w:r>
      <w:proofErr w:type="gramEnd"/>
      <w:r>
        <w:rPr>
          <w:rFonts w:eastAsia="Noto Serif CJK TC"/>
          <w:color w:val="1A202C"/>
        </w:rPr>
        <w:t>律文本是否已將對應的安全閥（理由說明、例外／否決、責任歸屬）予以制度化，並進一步追問其為形式權限抑或實質能力。</w:t>
      </w:r>
      <w:proofErr w:type="gramStart"/>
      <w:r>
        <w:rPr>
          <w:rFonts w:eastAsia="Noto Serif CJK TC"/>
          <w:color w:val="1A202C"/>
        </w:rPr>
        <w:t>此串接亦</w:t>
      </w:r>
      <w:proofErr w:type="gramEnd"/>
      <w:r>
        <w:rPr>
          <w:rFonts w:eastAsia="Noto Serif CJK TC"/>
          <w:color w:val="1A202C"/>
        </w:rPr>
        <w:t>使</w:t>
      </w:r>
      <w:r>
        <w:rPr>
          <w:rFonts w:eastAsia="Noto Serif CJK TC"/>
          <w:color w:val="1A202C"/>
        </w:rPr>
        <w:t xml:space="preserve"> 032 </w:t>
      </w:r>
      <w:r>
        <w:rPr>
          <w:rFonts w:eastAsia="Noto Serif CJK TC"/>
          <w:color w:val="1A202C"/>
        </w:rPr>
        <w:t>之</w:t>
      </w:r>
      <w:r>
        <w:rPr>
          <w:rFonts w:eastAsia="Noto Serif CJK TC"/>
          <w:color w:val="1A202C"/>
        </w:rPr>
        <w:t xml:space="preserve"> P3</w:t>
      </w:r>
      <w:r>
        <w:rPr>
          <w:rFonts w:eastAsia="Noto Serif CJK TC"/>
          <w:color w:val="1A202C"/>
        </w:rPr>
        <w:t>、</w:t>
      </w:r>
      <w:r>
        <w:rPr>
          <w:rFonts w:eastAsia="Noto Serif CJK TC"/>
          <w:color w:val="1A202C"/>
        </w:rPr>
        <w:t xml:space="preserve">P4 </w:t>
      </w:r>
      <w:r>
        <w:rPr>
          <w:rFonts w:eastAsia="Noto Serif CJK TC"/>
          <w:color w:val="1A202C"/>
        </w:rPr>
        <w:t>命題與</w:t>
      </w:r>
      <w:r>
        <w:rPr>
          <w:rFonts w:eastAsia="Noto Serif CJK TC"/>
          <w:color w:val="1A202C"/>
        </w:rPr>
        <w:t xml:space="preserve"> 035 </w:t>
      </w:r>
      <w:r>
        <w:rPr>
          <w:rFonts w:eastAsia="Noto Serif CJK TC"/>
          <w:color w:val="1A202C"/>
        </w:rPr>
        <w:t>之五項理論命題，在法律文本層次與個案層次之間獲得更完整的檢驗路徑。</w:t>
      </w:r>
    </w:p>
    <w:p w:rsidR="00FF05A2" w:rsidRDefault="00EE6916">
      <w:pPr>
        <w:pBdr>
          <w:left w:val="single" w:sz="12" w:space="8" w:color="2C5282"/>
        </w:pBdr>
        <w:spacing w:before="100" w:after="180" w:line="340" w:lineRule="auto"/>
        <w:ind w:left="400"/>
      </w:pPr>
      <w:r>
        <w:rPr>
          <w:rFonts w:eastAsia="Noto Serif CJK TC"/>
          <w:i/>
          <w:iCs/>
          <w:color w:val="2C5282"/>
        </w:rPr>
        <w:t>法律文本能夠告訴我們一個政府「應該」擁有什麼權限，卻無法單獨告訴我們這個政府「</w:t>
      </w:r>
      <w:proofErr w:type="gramStart"/>
      <w:r>
        <w:rPr>
          <w:rFonts w:eastAsia="Noto Serif CJK TC"/>
          <w:i/>
          <w:iCs/>
          <w:color w:val="2C5282"/>
        </w:rPr>
        <w:t>實際」</w:t>
      </w:r>
      <w:proofErr w:type="gramEnd"/>
      <w:r>
        <w:rPr>
          <w:rFonts w:eastAsia="Noto Serif CJK TC"/>
          <w:i/>
          <w:iCs/>
          <w:color w:val="2C5282"/>
        </w:rPr>
        <w:t>擁有什麼能力。</w:t>
      </w:r>
      <w:r>
        <w:rPr>
          <w:rFonts w:eastAsia="Noto Serif CJK TC"/>
          <w:i/>
          <w:iCs/>
          <w:color w:val="2C5282"/>
        </w:rPr>
        <w:t xml:space="preserve">UCPR </w:t>
      </w:r>
      <w:r>
        <w:rPr>
          <w:rFonts w:eastAsia="Noto Serif CJK TC"/>
          <w:i/>
          <w:iCs/>
          <w:color w:val="2C5282"/>
        </w:rPr>
        <w:t>文本審計的價值，正在於把這兩者之間可能存</w:t>
      </w:r>
      <w:r>
        <w:rPr>
          <w:rFonts w:eastAsia="Noto Serif CJK TC"/>
          <w:i/>
          <w:iCs/>
          <w:color w:val="2C5282"/>
        </w:rPr>
        <w:t>在的落差，從一句直覺的提醒，轉化為逐條可查核的具體問題。</w:t>
      </w:r>
    </w:p>
    <w:p w:rsidR="00FF05A2" w:rsidRDefault="00EE6916">
      <w:pPr>
        <w:pStyle w:val="1"/>
        <w:spacing w:before="360" w:after="200" w:line="360" w:lineRule="auto"/>
      </w:pPr>
      <w:r>
        <w:rPr>
          <w:rFonts w:ascii="Noto Sans CJK TC" w:eastAsia="Noto Sans CJK TC" w:hAnsi="Noto Sans CJK TC" w:cs="Noto Sans CJK TC"/>
          <w:b/>
          <w:bCs/>
          <w:color w:val="1A365D"/>
        </w:rPr>
        <w:t>參考文獻</w:t>
      </w:r>
    </w:p>
    <w:p w:rsidR="00FF05A2" w:rsidRDefault="00EE6916">
      <w:pPr>
        <w:spacing w:after="180" w:line="340" w:lineRule="auto"/>
        <w:jc w:val="both"/>
      </w:pPr>
      <w:r>
        <w:rPr>
          <w:rFonts w:eastAsia="Noto Serif CJK TC"/>
          <w:color w:val="1A202C"/>
          <w:sz w:val="20"/>
          <w:szCs w:val="20"/>
        </w:rPr>
        <w:t>中華民國總統府。（</w:t>
      </w:r>
      <w:r>
        <w:rPr>
          <w:rFonts w:eastAsia="Noto Serif CJK TC"/>
          <w:color w:val="1A202C"/>
          <w:sz w:val="20"/>
          <w:szCs w:val="20"/>
        </w:rPr>
        <w:t>2026</w:t>
      </w:r>
      <w:r>
        <w:rPr>
          <w:rFonts w:eastAsia="Noto Serif CJK TC"/>
          <w:color w:val="1A202C"/>
          <w:sz w:val="20"/>
          <w:szCs w:val="20"/>
        </w:rPr>
        <w:t>）。《人工智慧基本法》，總統</w:t>
      </w:r>
      <w:proofErr w:type="gramStart"/>
      <w:r>
        <w:rPr>
          <w:rFonts w:eastAsia="Noto Serif CJK TC"/>
          <w:color w:val="1A202C"/>
          <w:sz w:val="20"/>
          <w:szCs w:val="20"/>
        </w:rPr>
        <w:t>華總一義字第</w:t>
      </w:r>
      <w:r>
        <w:rPr>
          <w:rFonts w:eastAsia="Noto Serif CJK TC"/>
          <w:color w:val="1A202C"/>
          <w:sz w:val="20"/>
          <w:szCs w:val="20"/>
        </w:rPr>
        <w:t>11500001671</w:t>
      </w:r>
      <w:proofErr w:type="gramEnd"/>
      <w:r>
        <w:rPr>
          <w:rFonts w:eastAsia="Noto Serif CJK TC"/>
          <w:color w:val="1A202C"/>
          <w:sz w:val="20"/>
          <w:szCs w:val="20"/>
        </w:rPr>
        <w:t>號令公布，民國</w:t>
      </w:r>
      <w:r>
        <w:rPr>
          <w:rFonts w:eastAsia="Noto Serif CJK TC"/>
          <w:color w:val="1A202C"/>
          <w:sz w:val="20"/>
          <w:szCs w:val="20"/>
        </w:rPr>
        <w:t>115</w:t>
      </w:r>
      <w:r>
        <w:rPr>
          <w:rFonts w:eastAsia="Noto Serif CJK TC"/>
          <w:color w:val="1A202C"/>
          <w:sz w:val="20"/>
          <w:szCs w:val="20"/>
        </w:rPr>
        <w:t>年</w:t>
      </w:r>
      <w:r>
        <w:rPr>
          <w:rFonts w:eastAsia="Noto Serif CJK TC"/>
          <w:color w:val="1A202C"/>
          <w:sz w:val="20"/>
          <w:szCs w:val="20"/>
        </w:rPr>
        <w:t>1</w:t>
      </w:r>
      <w:r>
        <w:rPr>
          <w:rFonts w:eastAsia="Noto Serif CJK TC"/>
          <w:color w:val="1A202C"/>
          <w:sz w:val="20"/>
          <w:szCs w:val="20"/>
        </w:rPr>
        <w:t>月</w:t>
      </w:r>
      <w:r>
        <w:rPr>
          <w:rFonts w:eastAsia="Noto Serif CJK TC"/>
          <w:color w:val="1A202C"/>
          <w:sz w:val="20"/>
          <w:szCs w:val="20"/>
        </w:rPr>
        <w:t>14</w:t>
      </w:r>
      <w:r>
        <w:rPr>
          <w:rFonts w:eastAsia="Noto Serif CJK TC"/>
          <w:color w:val="1A202C"/>
          <w:sz w:val="20"/>
          <w:szCs w:val="20"/>
        </w:rPr>
        <w:t>日。</w:t>
      </w:r>
      <w:r>
        <w:rPr>
          <w:rFonts w:eastAsia="Noto Serif CJK TC"/>
          <w:color w:val="1A202C"/>
          <w:sz w:val="20"/>
          <w:szCs w:val="20"/>
        </w:rPr>
        <w:t>https://www.president.gov.tw/File/Doc/80165b6d-cb49-4b49-952f-56e1e6abe51b</w:t>
      </w:r>
    </w:p>
    <w:p w:rsidR="00FF05A2" w:rsidRDefault="00EE6916">
      <w:pPr>
        <w:spacing w:after="180" w:line="340" w:lineRule="auto"/>
        <w:jc w:val="both"/>
      </w:pPr>
      <w:r>
        <w:rPr>
          <w:rFonts w:eastAsia="Noto Serif CJK TC"/>
          <w:color w:val="1A202C"/>
          <w:sz w:val="20"/>
          <w:szCs w:val="20"/>
        </w:rPr>
        <w:lastRenderedPageBreak/>
        <w:t>財團法人民間司法改革基金會。（</w:t>
      </w:r>
      <w:r>
        <w:rPr>
          <w:rFonts w:eastAsia="Noto Serif CJK TC"/>
          <w:color w:val="1A202C"/>
          <w:sz w:val="20"/>
          <w:szCs w:val="20"/>
        </w:rPr>
        <w:t>2025</w:t>
      </w:r>
      <w:r>
        <w:rPr>
          <w:rFonts w:eastAsia="Noto Serif CJK TC"/>
          <w:color w:val="1A202C"/>
          <w:sz w:val="20"/>
          <w:szCs w:val="20"/>
        </w:rPr>
        <w:t>）。</w:t>
      </w:r>
      <w:proofErr w:type="gramStart"/>
      <w:r>
        <w:rPr>
          <w:rFonts w:eastAsia="Noto Serif CJK TC"/>
          <w:color w:val="1A202C"/>
          <w:sz w:val="20"/>
          <w:szCs w:val="20"/>
        </w:rPr>
        <w:t>〈</w:t>
      </w:r>
      <w:proofErr w:type="gramEnd"/>
      <w:r>
        <w:rPr>
          <w:rFonts w:eastAsia="Noto Serif CJK TC"/>
          <w:color w:val="1A202C"/>
          <w:sz w:val="20"/>
          <w:szCs w:val="20"/>
        </w:rPr>
        <w:t>聲明｜突破政策性宣示，即刻啟動保障人民的立法工程：司改會對立法院通過《</w:t>
      </w:r>
      <w:r>
        <w:rPr>
          <w:rFonts w:eastAsia="Noto Serif CJK TC"/>
          <w:color w:val="1A202C"/>
          <w:sz w:val="20"/>
          <w:szCs w:val="20"/>
        </w:rPr>
        <w:t>AI</w:t>
      </w:r>
      <w:r>
        <w:rPr>
          <w:rFonts w:eastAsia="Noto Serif CJK TC"/>
          <w:color w:val="1A202C"/>
          <w:sz w:val="20"/>
          <w:szCs w:val="20"/>
        </w:rPr>
        <w:t>基本法》之聲明</w:t>
      </w:r>
      <w:proofErr w:type="gramStart"/>
      <w:r>
        <w:rPr>
          <w:rFonts w:eastAsia="Noto Serif CJK TC"/>
          <w:color w:val="1A202C"/>
          <w:sz w:val="20"/>
          <w:szCs w:val="20"/>
        </w:rPr>
        <w:t>〉</w:t>
      </w:r>
      <w:proofErr w:type="gramEnd"/>
      <w:r>
        <w:rPr>
          <w:rFonts w:eastAsia="Noto Serif CJK TC"/>
          <w:color w:val="1A202C"/>
          <w:sz w:val="20"/>
          <w:szCs w:val="20"/>
        </w:rPr>
        <w:t>，</w:t>
      </w:r>
      <w:r>
        <w:rPr>
          <w:rFonts w:eastAsia="Noto Serif CJK TC"/>
          <w:color w:val="1A202C"/>
          <w:sz w:val="20"/>
          <w:szCs w:val="20"/>
        </w:rPr>
        <w:t>2025</w:t>
      </w:r>
      <w:r>
        <w:rPr>
          <w:rFonts w:eastAsia="Noto Serif CJK TC"/>
          <w:color w:val="1A202C"/>
          <w:sz w:val="20"/>
          <w:szCs w:val="20"/>
        </w:rPr>
        <w:t>年</w:t>
      </w:r>
      <w:r>
        <w:rPr>
          <w:rFonts w:eastAsia="Noto Serif CJK TC"/>
          <w:color w:val="1A202C"/>
          <w:sz w:val="20"/>
          <w:szCs w:val="20"/>
        </w:rPr>
        <w:t>12</w:t>
      </w:r>
      <w:r>
        <w:rPr>
          <w:rFonts w:eastAsia="Noto Serif CJK TC"/>
          <w:color w:val="1A202C"/>
          <w:sz w:val="20"/>
          <w:szCs w:val="20"/>
        </w:rPr>
        <w:t>月</w:t>
      </w:r>
      <w:r>
        <w:rPr>
          <w:rFonts w:eastAsia="Noto Serif CJK TC"/>
          <w:color w:val="1A202C"/>
          <w:sz w:val="20"/>
          <w:szCs w:val="20"/>
        </w:rPr>
        <w:t>23</w:t>
      </w:r>
      <w:r>
        <w:rPr>
          <w:rFonts w:eastAsia="Noto Serif CJK TC"/>
          <w:color w:val="1A202C"/>
          <w:sz w:val="20"/>
          <w:szCs w:val="20"/>
        </w:rPr>
        <w:t>日發布（</w:t>
      </w:r>
      <w:r>
        <w:rPr>
          <w:rFonts w:eastAsia="Noto Serif CJK TC"/>
          <w:color w:val="1A202C"/>
          <w:sz w:val="20"/>
          <w:szCs w:val="20"/>
        </w:rPr>
        <w:t>2026</w:t>
      </w:r>
      <w:r>
        <w:rPr>
          <w:rFonts w:eastAsia="Noto Serif CJK TC"/>
          <w:color w:val="1A202C"/>
          <w:sz w:val="20"/>
          <w:szCs w:val="20"/>
        </w:rPr>
        <w:t>年</w:t>
      </w:r>
      <w:r>
        <w:rPr>
          <w:rFonts w:eastAsia="Noto Serif CJK TC"/>
          <w:color w:val="1A202C"/>
          <w:sz w:val="20"/>
          <w:szCs w:val="20"/>
        </w:rPr>
        <w:t>3</w:t>
      </w:r>
      <w:r>
        <w:rPr>
          <w:rFonts w:eastAsia="Noto Serif CJK TC"/>
          <w:color w:val="1A202C"/>
          <w:sz w:val="20"/>
          <w:szCs w:val="20"/>
        </w:rPr>
        <w:t>月</w:t>
      </w:r>
      <w:r>
        <w:rPr>
          <w:rFonts w:eastAsia="Noto Serif CJK TC"/>
          <w:color w:val="1A202C"/>
          <w:sz w:val="20"/>
          <w:szCs w:val="20"/>
        </w:rPr>
        <w:t>17</w:t>
      </w:r>
      <w:r>
        <w:rPr>
          <w:rFonts w:eastAsia="Noto Serif CJK TC"/>
          <w:color w:val="1A202C"/>
          <w:sz w:val="20"/>
          <w:szCs w:val="20"/>
        </w:rPr>
        <w:t>日更正）。</w:t>
      </w:r>
      <w:r>
        <w:rPr>
          <w:rFonts w:eastAsia="Noto Serif CJK TC"/>
          <w:color w:val="1A202C"/>
          <w:sz w:val="20"/>
          <w:szCs w:val="20"/>
        </w:rPr>
        <w:t>https://www.jrf.org.tw/articles/3100</w:t>
      </w:r>
    </w:p>
    <w:p w:rsidR="00FF05A2" w:rsidRDefault="00EE6916">
      <w:pPr>
        <w:spacing w:after="180" w:line="340" w:lineRule="auto"/>
        <w:jc w:val="both"/>
      </w:pPr>
      <w:r>
        <w:rPr>
          <w:rFonts w:eastAsia="Noto Serif CJK TC"/>
          <w:color w:val="1A202C"/>
          <w:sz w:val="20"/>
          <w:szCs w:val="20"/>
        </w:rPr>
        <w:t xml:space="preserve">European Parliament and Council of the European Union. (2024). Regulation (EU) 2024/1689 of 13 June 2024 laying down </w:t>
      </w:r>
      <w:proofErr w:type="spellStart"/>
      <w:r>
        <w:rPr>
          <w:rFonts w:eastAsia="Noto Serif CJK TC"/>
          <w:color w:val="1A202C"/>
          <w:sz w:val="20"/>
          <w:szCs w:val="20"/>
        </w:rPr>
        <w:t>harmonised</w:t>
      </w:r>
      <w:proofErr w:type="spellEnd"/>
      <w:r>
        <w:rPr>
          <w:rFonts w:eastAsia="Noto Serif CJK TC"/>
          <w:color w:val="1A202C"/>
          <w:sz w:val="20"/>
          <w:szCs w:val="20"/>
        </w:rPr>
        <w:t xml:space="preserve"> rules on artificial intelligence (Artificial Intelligence Act). Official Journal </w:t>
      </w:r>
      <w:r>
        <w:rPr>
          <w:rFonts w:eastAsia="Noto Serif CJK TC"/>
          <w:color w:val="1A202C"/>
          <w:sz w:val="20"/>
          <w:szCs w:val="20"/>
        </w:rPr>
        <w:t xml:space="preserve">of the European </w:t>
      </w:r>
      <w:proofErr w:type="gramStart"/>
      <w:r>
        <w:rPr>
          <w:rFonts w:eastAsia="Noto Serif CJK TC"/>
          <w:color w:val="1A202C"/>
          <w:sz w:val="20"/>
          <w:szCs w:val="20"/>
        </w:rPr>
        <w:t>Union.</w:t>
      </w:r>
      <w:r>
        <w:rPr>
          <w:rFonts w:eastAsia="Noto Serif CJK TC"/>
          <w:color w:val="1A202C"/>
          <w:sz w:val="20"/>
          <w:szCs w:val="20"/>
        </w:rPr>
        <w:t>〔</w:t>
      </w:r>
      <w:proofErr w:type="gramEnd"/>
      <w:r>
        <w:rPr>
          <w:rFonts w:eastAsia="Noto Serif CJK TC"/>
          <w:color w:val="1A202C"/>
          <w:sz w:val="20"/>
          <w:szCs w:val="20"/>
        </w:rPr>
        <w:t>本文對第</w:t>
      </w:r>
      <w:r>
        <w:rPr>
          <w:rFonts w:eastAsia="Noto Serif CJK TC"/>
          <w:color w:val="1A202C"/>
          <w:sz w:val="20"/>
          <w:szCs w:val="20"/>
        </w:rPr>
        <w:t>11</w:t>
      </w:r>
      <w:r>
        <w:rPr>
          <w:rFonts w:eastAsia="Noto Serif CJK TC"/>
          <w:color w:val="1A202C"/>
          <w:sz w:val="20"/>
          <w:szCs w:val="20"/>
        </w:rPr>
        <w:t>、</w:t>
      </w:r>
      <w:r>
        <w:rPr>
          <w:rFonts w:eastAsia="Noto Serif CJK TC"/>
          <w:color w:val="1A202C"/>
          <w:sz w:val="20"/>
          <w:szCs w:val="20"/>
        </w:rPr>
        <w:t>12</w:t>
      </w:r>
      <w:r>
        <w:rPr>
          <w:rFonts w:eastAsia="Noto Serif CJK TC"/>
          <w:color w:val="1A202C"/>
          <w:sz w:val="20"/>
          <w:szCs w:val="20"/>
        </w:rPr>
        <w:t>、</w:t>
      </w:r>
      <w:r>
        <w:rPr>
          <w:rFonts w:eastAsia="Noto Serif CJK TC"/>
          <w:color w:val="1A202C"/>
          <w:sz w:val="20"/>
          <w:szCs w:val="20"/>
        </w:rPr>
        <w:t>14</w:t>
      </w:r>
      <w:r>
        <w:rPr>
          <w:rFonts w:eastAsia="Noto Serif CJK TC"/>
          <w:color w:val="1A202C"/>
          <w:sz w:val="20"/>
          <w:szCs w:val="20"/>
        </w:rPr>
        <w:t>、</w:t>
      </w:r>
      <w:r>
        <w:rPr>
          <w:rFonts w:eastAsia="Noto Serif CJK TC"/>
          <w:color w:val="1A202C"/>
          <w:sz w:val="20"/>
          <w:szCs w:val="20"/>
        </w:rPr>
        <w:t>26</w:t>
      </w:r>
      <w:r>
        <w:rPr>
          <w:rFonts w:eastAsia="Noto Serif CJK TC"/>
          <w:color w:val="1A202C"/>
          <w:sz w:val="20"/>
          <w:szCs w:val="20"/>
        </w:rPr>
        <w:t>、</w:t>
      </w:r>
      <w:r>
        <w:rPr>
          <w:rFonts w:eastAsia="Noto Serif CJK TC"/>
          <w:color w:val="1A202C"/>
          <w:sz w:val="20"/>
          <w:szCs w:val="20"/>
        </w:rPr>
        <w:t>27</w:t>
      </w:r>
      <w:r>
        <w:rPr>
          <w:rFonts w:eastAsia="Noto Serif CJK TC"/>
          <w:color w:val="1A202C"/>
          <w:sz w:val="20"/>
          <w:szCs w:val="20"/>
        </w:rPr>
        <w:t>、</w:t>
      </w:r>
      <w:r>
        <w:rPr>
          <w:rFonts w:eastAsia="Noto Serif CJK TC"/>
          <w:color w:val="1A202C"/>
          <w:sz w:val="20"/>
          <w:szCs w:val="20"/>
        </w:rPr>
        <w:t>99</w:t>
      </w:r>
      <w:r>
        <w:rPr>
          <w:rFonts w:eastAsia="Noto Serif CJK TC"/>
          <w:color w:val="1A202C"/>
          <w:sz w:val="20"/>
          <w:szCs w:val="20"/>
        </w:rPr>
        <w:t>條之逐條內容，除官方規章文本外，另交叉參照</w:t>
      </w:r>
      <w:r>
        <w:rPr>
          <w:rFonts w:eastAsia="Noto Serif CJK TC"/>
          <w:color w:val="1A202C"/>
          <w:sz w:val="20"/>
          <w:szCs w:val="20"/>
        </w:rPr>
        <w:t xml:space="preserve"> artificialintelligenceact.eu </w:t>
      </w:r>
      <w:r>
        <w:rPr>
          <w:rFonts w:eastAsia="Noto Serif CJK TC"/>
          <w:color w:val="1A202C"/>
          <w:sz w:val="20"/>
          <w:szCs w:val="20"/>
        </w:rPr>
        <w:t>與</w:t>
      </w:r>
      <w:r>
        <w:rPr>
          <w:rFonts w:eastAsia="Noto Serif CJK TC"/>
          <w:color w:val="1A202C"/>
          <w:sz w:val="20"/>
          <w:szCs w:val="20"/>
        </w:rPr>
        <w:t xml:space="preserve"> euaiact.com </w:t>
      </w:r>
      <w:r>
        <w:rPr>
          <w:rFonts w:eastAsia="Noto Serif CJK TC"/>
          <w:color w:val="1A202C"/>
          <w:sz w:val="20"/>
          <w:szCs w:val="20"/>
        </w:rPr>
        <w:t>兩個條文彙編網站進行核對，未逐句核對官方公報排版全文，讀者宜自行查證歐盟官方公報正式文本。〕</w:t>
      </w:r>
    </w:p>
    <w:p w:rsidR="00FF05A2" w:rsidRDefault="00EE6916">
      <w:pPr>
        <w:spacing w:after="180" w:line="340" w:lineRule="auto"/>
        <w:jc w:val="both"/>
      </w:pPr>
      <w:r>
        <w:rPr>
          <w:rFonts w:eastAsia="Noto Serif CJK TC"/>
          <w:color w:val="1A202C"/>
          <w:sz w:val="20"/>
          <w:szCs w:val="20"/>
        </w:rPr>
        <w:t>European Parliament and Council of the European Union. (2026). Regulation (EU) 2026/1744 amending Re</w:t>
      </w:r>
      <w:r>
        <w:rPr>
          <w:rFonts w:eastAsia="Noto Serif CJK TC"/>
          <w:color w:val="1A202C"/>
          <w:sz w:val="20"/>
          <w:szCs w:val="20"/>
        </w:rPr>
        <w:t xml:space="preserve">gulation (EU) 2024/1689 </w:t>
      </w:r>
      <w:proofErr w:type="gramStart"/>
      <w:r>
        <w:rPr>
          <w:rFonts w:eastAsia="Noto Serif CJK TC"/>
          <w:color w:val="1A202C"/>
          <w:sz w:val="20"/>
          <w:szCs w:val="20"/>
        </w:rPr>
        <w:t>as regards</w:t>
      </w:r>
      <w:proofErr w:type="gramEnd"/>
      <w:r>
        <w:rPr>
          <w:rFonts w:eastAsia="Noto Serif CJK TC"/>
          <w:color w:val="1A202C"/>
          <w:sz w:val="20"/>
          <w:szCs w:val="20"/>
        </w:rPr>
        <w:t xml:space="preserve"> certain high-risk AI system deadlines and related simplification measures (Digital Omnibus on AI). Official Journal of the European Union, published 24 July 2026, entered into force 27 July 2026.</w:t>
      </w:r>
      <w:proofErr w:type="gramStart"/>
      <w:r>
        <w:rPr>
          <w:rFonts w:eastAsia="Noto Serif CJK TC"/>
          <w:color w:val="1A202C"/>
          <w:sz w:val="20"/>
          <w:szCs w:val="20"/>
        </w:rPr>
        <w:t>〔</w:t>
      </w:r>
      <w:proofErr w:type="gramEnd"/>
      <w:r>
        <w:rPr>
          <w:rFonts w:eastAsia="Noto Serif CJK TC"/>
          <w:color w:val="1A202C"/>
          <w:sz w:val="20"/>
          <w:szCs w:val="20"/>
        </w:rPr>
        <w:t>本文僅依</w:t>
      </w:r>
      <w:r>
        <w:rPr>
          <w:rFonts w:eastAsia="Noto Serif CJK TC"/>
          <w:color w:val="1A202C"/>
          <w:sz w:val="20"/>
          <w:szCs w:val="20"/>
        </w:rPr>
        <w:t xml:space="preserve"> White &amp; Case</w:t>
      </w:r>
      <w:r>
        <w:rPr>
          <w:rFonts w:eastAsia="Noto Serif CJK TC"/>
          <w:color w:val="1A202C"/>
          <w:sz w:val="20"/>
          <w:szCs w:val="20"/>
        </w:rPr>
        <w:t>（</w:t>
      </w:r>
      <w:r>
        <w:rPr>
          <w:rFonts w:eastAsia="Noto Serif CJK TC"/>
          <w:color w:val="1A202C"/>
          <w:sz w:val="20"/>
          <w:szCs w:val="20"/>
        </w:rPr>
        <w:t>2026</w:t>
      </w:r>
      <w:r>
        <w:rPr>
          <w:rFonts w:eastAsia="Noto Serif CJK TC"/>
          <w:color w:val="1A202C"/>
          <w:sz w:val="20"/>
          <w:szCs w:val="20"/>
        </w:rPr>
        <w:t>）等法</w:t>
      </w:r>
      <w:r>
        <w:rPr>
          <w:rFonts w:eastAsia="Noto Serif CJK TC"/>
          <w:color w:val="1A202C"/>
          <w:sz w:val="20"/>
          <w:szCs w:val="20"/>
        </w:rPr>
        <w:t>律事務所之二手摘要確認此修正案之公布日期、生效日期及高風險義務延後期程，未逐條查證官方公報全文；本文完稿後相關期程仍可能因後續修正而變動。〕</w:t>
      </w:r>
    </w:p>
    <w:p w:rsidR="00FF05A2" w:rsidRDefault="00EE6916">
      <w:pPr>
        <w:spacing w:after="180" w:line="340" w:lineRule="auto"/>
        <w:jc w:val="both"/>
      </w:pPr>
      <w:r>
        <w:rPr>
          <w:rFonts w:eastAsia="Noto Serif CJK TC"/>
          <w:color w:val="1A202C"/>
          <w:sz w:val="20"/>
          <w:szCs w:val="20"/>
        </w:rPr>
        <w:t>White &amp; Case LLP. (2026). EU AI Omnibus enters into force, amending the AI Act. https://www.whitecase.com/insight-alert/eu-ai-omnibus-enters-force-amending-ai-act</w:t>
      </w:r>
    </w:p>
    <w:p w:rsidR="00FF05A2" w:rsidRDefault="00EE6916">
      <w:pPr>
        <w:spacing w:after="180" w:line="340" w:lineRule="auto"/>
        <w:jc w:val="both"/>
      </w:pPr>
      <w:r>
        <w:rPr>
          <w:rFonts w:eastAsia="Noto Serif CJK TC"/>
          <w:color w:val="1A202C"/>
          <w:sz w:val="20"/>
          <w:szCs w:val="20"/>
        </w:rPr>
        <w:t>Treasury Board of Cana</w:t>
      </w:r>
      <w:r>
        <w:rPr>
          <w:rFonts w:eastAsia="Noto Serif CJK TC"/>
          <w:color w:val="1A202C"/>
          <w:sz w:val="20"/>
          <w:szCs w:val="20"/>
        </w:rPr>
        <w:t>da Secretariat. (n.d.). Directive on Automated Decision-Making. Retrieved August 2026 from https://www.tbs-sct.canada.ca/pol/doc-eng.aspx?id=32592</w:t>
      </w:r>
      <w:r>
        <w:rPr>
          <w:rFonts w:eastAsia="Noto Serif CJK TC"/>
          <w:color w:val="1A202C"/>
          <w:sz w:val="20"/>
          <w:szCs w:val="20"/>
        </w:rPr>
        <w:t>〔本文對指令四級衝擊分類與各級人工介入要求之描述，除財政部官方文本外，另交叉參照</w:t>
      </w:r>
      <w:r>
        <w:rPr>
          <w:rFonts w:eastAsia="Noto Serif CJK TC"/>
          <w:color w:val="1A202C"/>
          <w:sz w:val="20"/>
          <w:szCs w:val="20"/>
        </w:rPr>
        <w:t xml:space="preserve"> </w:t>
      </w:r>
      <w:proofErr w:type="spellStart"/>
      <w:r>
        <w:rPr>
          <w:rFonts w:eastAsia="Noto Serif CJK TC"/>
          <w:color w:val="1A202C"/>
          <w:sz w:val="20"/>
          <w:szCs w:val="20"/>
        </w:rPr>
        <w:t>Cyberjustice</w:t>
      </w:r>
      <w:proofErr w:type="spellEnd"/>
      <w:r>
        <w:rPr>
          <w:rFonts w:eastAsia="Noto Serif CJK TC"/>
          <w:color w:val="1A202C"/>
          <w:sz w:val="20"/>
          <w:szCs w:val="20"/>
        </w:rPr>
        <w:t xml:space="preserve"> Laboratory</w:t>
      </w:r>
      <w:r>
        <w:rPr>
          <w:rFonts w:eastAsia="Noto Serif CJK TC"/>
          <w:color w:val="1A202C"/>
          <w:sz w:val="20"/>
          <w:szCs w:val="20"/>
        </w:rPr>
        <w:t>（</w:t>
      </w:r>
      <w:proofErr w:type="spellStart"/>
      <w:r>
        <w:rPr>
          <w:rFonts w:eastAsia="Noto Serif CJK TC"/>
          <w:color w:val="1A202C"/>
          <w:sz w:val="20"/>
          <w:szCs w:val="20"/>
        </w:rPr>
        <w:t>Université</w:t>
      </w:r>
      <w:proofErr w:type="spellEnd"/>
      <w:r>
        <w:rPr>
          <w:rFonts w:eastAsia="Noto Serif CJK TC"/>
          <w:color w:val="1A202C"/>
          <w:sz w:val="20"/>
          <w:szCs w:val="20"/>
        </w:rPr>
        <w:t xml:space="preserve"> de Montréal</w:t>
      </w:r>
      <w:r>
        <w:rPr>
          <w:rFonts w:eastAsia="Noto Serif CJK TC"/>
          <w:color w:val="1A202C"/>
          <w:sz w:val="20"/>
          <w:szCs w:val="20"/>
        </w:rPr>
        <w:t>）之摘要進行核對，未逐句核對政策指令全文最新修</w:t>
      </w:r>
      <w:r>
        <w:rPr>
          <w:rFonts w:eastAsia="Noto Serif CJK TC"/>
          <w:color w:val="1A202C"/>
          <w:sz w:val="20"/>
          <w:szCs w:val="20"/>
        </w:rPr>
        <w:t>正版本。〕</w:t>
      </w:r>
    </w:p>
    <w:p w:rsidR="00FF05A2" w:rsidRDefault="00EE6916">
      <w:pPr>
        <w:spacing w:after="180" w:line="340" w:lineRule="auto"/>
        <w:jc w:val="both"/>
      </w:pPr>
      <w:r>
        <w:rPr>
          <w:rFonts w:eastAsia="Noto Serif CJK TC"/>
          <w:color w:val="1A202C"/>
          <w:sz w:val="20"/>
          <w:szCs w:val="20"/>
        </w:rPr>
        <w:t>Fasken Martineau DuMoulin LLP. (2025). Prorogation’s Digital Impact: Canada’s Digital Bills Set to Die on the Order Paper. https://www.fasken.com/en/knowledge/2025/01/prorogations-digital-impact</w:t>
      </w:r>
      <w:proofErr w:type="gramStart"/>
      <w:r>
        <w:rPr>
          <w:rFonts w:eastAsia="Noto Serif CJK TC"/>
          <w:color w:val="1A202C"/>
          <w:sz w:val="20"/>
          <w:szCs w:val="20"/>
        </w:rPr>
        <w:t>〔</w:t>
      </w:r>
      <w:proofErr w:type="gramEnd"/>
      <w:r>
        <w:rPr>
          <w:rFonts w:eastAsia="Noto Serif CJK TC"/>
          <w:color w:val="1A202C"/>
          <w:sz w:val="20"/>
          <w:szCs w:val="20"/>
        </w:rPr>
        <w:t>本文據此確認</w:t>
      </w:r>
      <w:r>
        <w:rPr>
          <w:rFonts w:eastAsia="Noto Serif CJK TC"/>
          <w:color w:val="1A202C"/>
          <w:sz w:val="20"/>
          <w:szCs w:val="20"/>
        </w:rPr>
        <w:t xml:space="preserve"> Bill C-27</w:t>
      </w:r>
      <w:r>
        <w:rPr>
          <w:rFonts w:eastAsia="Noto Serif CJK TC"/>
          <w:color w:val="1A202C"/>
          <w:sz w:val="20"/>
          <w:szCs w:val="20"/>
        </w:rPr>
        <w:t>（含</w:t>
      </w:r>
      <w:r>
        <w:rPr>
          <w:rFonts w:eastAsia="Noto Serif CJK TC"/>
          <w:color w:val="1A202C"/>
          <w:sz w:val="20"/>
          <w:szCs w:val="20"/>
        </w:rPr>
        <w:t xml:space="preserve"> AIDA</w:t>
      </w:r>
      <w:r>
        <w:rPr>
          <w:rFonts w:eastAsia="Noto Serif CJK TC"/>
          <w:color w:val="1A202C"/>
          <w:sz w:val="20"/>
          <w:szCs w:val="20"/>
        </w:rPr>
        <w:t>）因</w:t>
      </w:r>
      <w:r>
        <w:rPr>
          <w:rFonts w:eastAsia="Noto Serif CJK TC"/>
          <w:color w:val="1A202C"/>
          <w:sz w:val="20"/>
          <w:szCs w:val="20"/>
        </w:rPr>
        <w:t>2025</w:t>
      </w:r>
      <w:r>
        <w:rPr>
          <w:rFonts w:eastAsia="Noto Serif CJK TC"/>
          <w:color w:val="1A202C"/>
          <w:sz w:val="20"/>
          <w:szCs w:val="20"/>
        </w:rPr>
        <w:t>年</w:t>
      </w:r>
      <w:r>
        <w:rPr>
          <w:rFonts w:eastAsia="Noto Serif CJK TC"/>
          <w:color w:val="1A202C"/>
          <w:sz w:val="20"/>
          <w:szCs w:val="20"/>
        </w:rPr>
        <w:t>1</w:t>
      </w:r>
      <w:r>
        <w:rPr>
          <w:rFonts w:eastAsia="Noto Serif CJK TC"/>
          <w:color w:val="1A202C"/>
          <w:sz w:val="20"/>
          <w:szCs w:val="20"/>
        </w:rPr>
        <w:t>月國會休會而失效之事實。〕</w:t>
      </w:r>
    </w:p>
    <w:p w:rsidR="00FF05A2" w:rsidRDefault="00EE6916">
      <w:pPr>
        <w:spacing w:after="180" w:line="340" w:lineRule="auto"/>
        <w:jc w:val="both"/>
      </w:pPr>
      <w:r>
        <w:rPr>
          <w:rFonts w:eastAsia="Noto Serif CJK TC"/>
          <w:color w:val="1A202C"/>
          <w:sz w:val="20"/>
          <w:szCs w:val="20"/>
        </w:rPr>
        <w:t>Rose-Acker</w:t>
      </w:r>
      <w:r>
        <w:rPr>
          <w:rFonts w:eastAsia="Noto Serif CJK TC"/>
          <w:color w:val="1A202C"/>
          <w:sz w:val="20"/>
          <w:szCs w:val="20"/>
        </w:rPr>
        <w:t xml:space="preserve">man, S., </w:t>
      </w:r>
      <w:proofErr w:type="spellStart"/>
      <w:r>
        <w:rPr>
          <w:rFonts w:eastAsia="Noto Serif CJK TC"/>
          <w:color w:val="1A202C"/>
          <w:sz w:val="20"/>
          <w:szCs w:val="20"/>
        </w:rPr>
        <w:t>Lindseth</w:t>
      </w:r>
      <w:proofErr w:type="spellEnd"/>
      <w:r>
        <w:rPr>
          <w:rFonts w:eastAsia="Noto Serif CJK TC"/>
          <w:color w:val="1A202C"/>
          <w:sz w:val="20"/>
          <w:szCs w:val="20"/>
        </w:rPr>
        <w:t xml:space="preserve">, P. L., &amp; Emerson, B. (Eds.). (2017). Comparative Administrative Law (2nd ed.). Edward Elgar </w:t>
      </w:r>
      <w:proofErr w:type="gramStart"/>
      <w:r>
        <w:rPr>
          <w:rFonts w:eastAsia="Noto Serif CJK TC"/>
          <w:color w:val="1A202C"/>
          <w:sz w:val="20"/>
          <w:szCs w:val="20"/>
        </w:rPr>
        <w:t>Publishing.</w:t>
      </w:r>
      <w:r>
        <w:rPr>
          <w:rFonts w:eastAsia="Noto Serif CJK TC"/>
          <w:color w:val="1A202C"/>
          <w:sz w:val="20"/>
          <w:szCs w:val="20"/>
        </w:rPr>
        <w:t>〔</w:t>
      </w:r>
      <w:proofErr w:type="gramEnd"/>
      <w:r>
        <w:rPr>
          <w:rFonts w:eastAsia="Noto Serif CJK TC"/>
          <w:color w:val="1A202C"/>
          <w:sz w:val="20"/>
          <w:szCs w:val="20"/>
        </w:rPr>
        <w:t>本文貳</w:t>
      </w:r>
      <w:r>
        <w:rPr>
          <w:rFonts w:eastAsia="Noto Serif CJK TC"/>
          <w:color w:val="1A202C"/>
          <w:sz w:val="20"/>
          <w:szCs w:val="20"/>
        </w:rPr>
        <w:t>-</w:t>
      </w:r>
      <w:r>
        <w:rPr>
          <w:rFonts w:eastAsia="Noto Serif CJK TC"/>
          <w:color w:val="1A202C"/>
          <w:sz w:val="20"/>
          <w:szCs w:val="20"/>
        </w:rPr>
        <w:t>八節「功能等價物比較」之方法論依據，本文僅依公開之書目資訊、出版社頁面與書評確認其存在與版本，未逐章查證全書內容。〕</w:t>
      </w:r>
    </w:p>
    <w:p w:rsidR="00FF05A2" w:rsidRDefault="00EE6916">
      <w:pPr>
        <w:spacing w:after="180" w:line="340" w:lineRule="auto"/>
        <w:jc w:val="both"/>
      </w:pPr>
      <w:proofErr w:type="spellStart"/>
      <w:r>
        <w:rPr>
          <w:rFonts w:eastAsia="Noto Serif CJK TC"/>
          <w:color w:val="1A202C"/>
          <w:sz w:val="20"/>
          <w:szCs w:val="20"/>
        </w:rPr>
        <w:t>Wolswinkel</w:t>
      </w:r>
      <w:proofErr w:type="spellEnd"/>
      <w:r>
        <w:rPr>
          <w:rFonts w:eastAsia="Noto Serif CJK TC"/>
          <w:color w:val="1A202C"/>
          <w:sz w:val="20"/>
          <w:szCs w:val="20"/>
        </w:rPr>
        <w:t>, J. (2022). Comparative study on administrative law and the</w:t>
      </w:r>
      <w:r>
        <w:rPr>
          <w:rFonts w:eastAsia="Noto Serif CJK TC"/>
          <w:color w:val="1A202C"/>
          <w:sz w:val="20"/>
          <w:szCs w:val="20"/>
        </w:rPr>
        <w:t xml:space="preserve"> use of AI and other algorithmic systems in administrative decision-making in the member States of the Council of Europe (</w:t>
      </w:r>
      <w:proofErr w:type="gramStart"/>
      <w:r>
        <w:rPr>
          <w:rFonts w:eastAsia="Noto Serif CJK TC"/>
          <w:color w:val="1A202C"/>
          <w:sz w:val="20"/>
          <w:szCs w:val="20"/>
        </w:rPr>
        <w:t>CDCJ(</w:t>
      </w:r>
      <w:proofErr w:type="gramEnd"/>
      <w:r>
        <w:rPr>
          <w:rFonts w:eastAsia="Noto Serif CJK TC"/>
          <w:color w:val="1A202C"/>
          <w:sz w:val="20"/>
          <w:szCs w:val="20"/>
        </w:rPr>
        <w:t>2022)31E). Council of Europe, European Committee on Legal Co-operation. https://www.coe.int/en/web/cdcj/ai-administrative-law</w:t>
      </w:r>
      <w:proofErr w:type="gramStart"/>
      <w:r>
        <w:rPr>
          <w:rFonts w:eastAsia="Noto Serif CJK TC"/>
          <w:color w:val="1A202C"/>
          <w:sz w:val="20"/>
          <w:szCs w:val="20"/>
        </w:rPr>
        <w:t>〔</w:t>
      </w:r>
      <w:proofErr w:type="gramEnd"/>
      <w:r>
        <w:rPr>
          <w:rFonts w:eastAsia="Noto Serif CJK TC"/>
          <w:color w:val="1A202C"/>
          <w:sz w:val="20"/>
          <w:szCs w:val="20"/>
        </w:rPr>
        <w:t>本文僅</w:t>
      </w:r>
      <w:r>
        <w:rPr>
          <w:rFonts w:eastAsia="Noto Serif CJK TC"/>
          <w:color w:val="1A202C"/>
          <w:sz w:val="20"/>
          <w:szCs w:val="20"/>
        </w:rPr>
        <w:t>依歐洲理事會官方網站之報告介紹頁面確認作者、年份與涵蓋範圍，</w:t>
      </w:r>
      <w:proofErr w:type="gramStart"/>
      <w:r>
        <w:rPr>
          <w:rFonts w:eastAsia="Noto Serif CJK TC"/>
          <w:color w:val="1A202C"/>
          <w:sz w:val="20"/>
          <w:szCs w:val="20"/>
        </w:rPr>
        <w:t>未</w:t>
      </w:r>
      <w:proofErr w:type="gramEnd"/>
      <w:r>
        <w:rPr>
          <w:rFonts w:eastAsia="Noto Serif CJK TC"/>
          <w:color w:val="1A202C"/>
          <w:sz w:val="20"/>
          <w:szCs w:val="20"/>
        </w:rPr>
        <w:t>逐章查證報告全文內容。〕</w:t>
      </w:r>
    </w:p>
    <w:p w:rsidR="00FF05A2" w:rsidRDefault="00EE6916">
      <w:pPr>
        <w:spacing w:after="180" w:line="340" w:lineRule="auto"/>
        <w:jc w:val="both"/>
      </w:pPr>
      <w:r>
        <w:rPr>
          <w:rFonts w:eastAsia="Noto Serif CJK TC"/>
          <w:color w:val="1A202C"/>
          <w:sz w:val="20"/>
          <w:szCs w:val="20"/>
        </w:rPr>
        <w:t>Caputo, N. (2025). (When) Should We Delegate AI Governance to AIs? Some Lessons from Administrative Law. arXiv:2509.22717.</w:t>
      </w:r>
      <w:proofErr w:type="gramStart"/>
      <w:r>
        <w:rPr>
          <w:rFonts w:eastAsia="Noto Serif CJK TC"/>
          <w:color w:val="1A202C"/>
          <w:sz w:val="20"/>
          <w:szCs w:val="20"/>
        </w:rPr>
        <w:t>〔</w:t>
      </w:r>
      <w:proofErr w:type="gramEnd"/>
      <w:r>
        <w:rPr>
          <w:rFonts w:eastAsia="Noto Serif CJK TC"/>
          <w:color w:val="1A202C"/>
          <w:sz w:val="20"/>
          <w:szCs w:val="20"/>
        </w:rPr>
        <w:t>本文僅依</w:t>
      </w:r>
      <w:r>
        <w:rPr>
          <w:rFonts w:eastAsia="Noto Serif CJK TC"/>
          <w:color w:val="1A202C"/>
          <w:sz w:val="20"/>
          <w:szCs w:val="20"/>
        </w:rPr>
        <w:t xml:space="preserve"> </w:t>
      </w:r>
      <w:proofErr w:type="spellStart"/>
      <w:r>
        <w:rPr>
          <w:rFonts w:eastAsia="Noto Serif CJK TC"/>
          <w:color w:val="1A202C"/>
          <w:sz w:val="20"/>
          <w:szCs w:val="20"/>
        </w:rPr>
        <w:t>arXiv</w:t>
      </w:r>
      <w:proofErr w:type="spellEnd"/>
      <w:r>
        <w:rPr>
          <w:rFonts w:eastAsia="Noto Serif CJK TC"/>
          <w:color w:val="1A202C"/>
          <w:sz w:val="20"/>
          <w:szCs w:val="20"/>
        </w:rPr>
        <w:t xml:space="preserve"> </w:t>
      </w:r>
      <w:r>
        <w:rPr>
          <w:rFonts w:eastAsia="Noto Serif CJK TC"/>
          <w:color w:val="1A202C"/>
          <w:sz w:val="20"/>
          <w:szCs w:val="20"/>
        </w:rPr>
        <w:t>摘要頁面確認篇名、作者與主題，</w:t>
      </w:r>
      <w:proofErr w:type="gramStart"/>
      <w:r>
        <w:rPr>
          <w:rFonts w:eastAsia="Noto Serif CJK TC"/>
          <w:color w:val="1A202C"/>
          <w:sz w:val="20"/>
          <w:szCs w:val="20"/>
        </w:rPr>
        <w:t>未</w:t>
      </w:r>
      <w:proofErr w:type="gramEnd"/>
      <w:r>
        <w:rPr>
          <w:rFonts w:eastAsia="Noto Serif CJK TC"/>
          <w:color w:val="1A202C"/>
          <w:sz w:val="20"/>
          <w:szCs w:val="20"/>
        </w:rPr>
        <w:t>逐節查證全文論證內容。〕</w:t>
      </w:r>
    </w:p>
    <w:p w:rsidR="00FF05A2" w:rsidRDefault="00EE6916">
      <w:pPr>
        <w:spacing w:after="180" w:line="340" w:lineRule="auto"/>
        <w:jc w:val="both"/>
      </w:pPr>
      <w:proofErr w:type="spellStart"/>
      <w:r>
        <w:rPr>
          <w:rFonts w:eastAsia="Noto Serif CJK TC"/>
          <w:color w:val="1A202C"/>
          <w:sz w:val="20"/>
          <w:szCs w:val="20"/>
        </w:rPr>
        <w:t>Scassa</w:t>
      </w:r>
      <w:proofErr w:type="spellEnd"/>
      <w:r>
        <w:rPr>
          <w:rFonts w:eastAsia="Noto Serif CJK TC"/>
          <w:color w:val="1A202C"/>
          <w:sz w:val="20"/>
          <w:szCs w:val="20"/>
        </w:rPr>
        <w:t>, T. (2021). Administrative Law and the Gov</w:t>
      </w:r>
      <w:r>
        <w:rPr>
          <w:rFonts w:eastAsia="Noto Serif CJK TC"/>
          <w:color w:val="1A202C"/>
          <w:sz w:val="20"/>
          <w:szCs w:val="20"/>
        </w:rPr>
        <w:t>ernance of Automated Decision-Making: A Critical Look at Canada’s Directive on Automated Decision-Making. University of British Columbia Law Review, 54(1</w:t>
      </w:r>
      <w:proofErr w:type="gramStart"/>
      <w:r>
        <w:rPr>
          <w:rFonts w:eastAsia="Noto Serif CJK TC"/>
          <w:color w:val="1A202C"/>
          <w:sz w:val="20"/>
          <w:szCs w:val="20"/>
        </w:rPr>
        <w:t>).</w:t>
      </w:r>
      <w:r>
        <w:rPr>
          <w:rFonts w:eastAsia="Noto Serif CJK TC"/>
          <w:color w:val="1A202C"/>
          <w:sz w:val="20"/>
          <w:szCs w:val="20"/>
        </w:rPr>
        <w:lastRenderedPageBreak/>
        <w:t>〔</w:t>
      </w:r>
      <w:proofErr w:type="gramEnd"/>
      <w:r>
        <w:rPr>
          <w:rFonts w:eastAsia="Noto Serif CJK TC"/>
          <w:color w:val="1A202C"/>
          <w:sz w:val="20"/>
          <w:szCs w:val="20"/>
        </w:rPr>
        <w:t>本文僅依</w:t>
      </w:r>
      <w:r>
        <w:rPr>
          <w:rFonts w:eastAsia="Noto Serif CJK TC"/>
          <w:color w:val="1A202C"/>
          <w:sz w:val="20"/>
          <w:szCs w:val="20"/>
        </w:rPr>
        <w:t xml:space="preserve"> SSRN </w:t>
      </w:r>
      <w:r>
        <w:rPr>
          <w:rFonts w:eastAsia="Noto Serif CJK TC"/>
          <w:color w:val="1A202C"/>
          <w:sz w:val="20"/>
          <w:szCs w:val="20"/>
        </w:rPr>
        <w:t>摘要頁面確認篇名、作者、期刊卷期與年份，未逐節查證全文論證內容。〕</w:t>
      </w:r>
    </w:p>
    <w:p w:rsidR="00FF05A2" w:rsidRDefault="00EE6916">
      <w:pPr>
        <w:spacing w:after="180" w:line="340" w:lineRule="auto"/>
        <w:jc w:val="both"/>
      </w:pPr>
      <w:proofErr w:type="spellStart"/>
      <w:r>
        <w:rPr>
          <w:rFonts w:eastAsia="Noto Serif CJK TC"/>
          <w:color w:val="1A202C"/>
          <w:sz w:val="20"/>
          <w:szCs w:val="20"/>
        </w:rPr>
        <w:t>Selbst</w:t>
      </w:r>
      <w:proofErr w:type="spellEnd"/>
      <w:r>
        <w:rPr>
          <w:rFonts w:eastAsia="Noto Serif CJK TC"/>
          <w:color w:val="1A202C"/>
          <w:sz w:val="20"/>
          <w:szCs w:val="20"/>
        </w:rPr>
        <w:t>, A. D. (2021). An Institutional View of Algorithm</w:t>
      </w:r>
      <w:r>
        <w:rPr>
          <w:rFonts w:eastAsia="Noto Serif CJK TC"/>
          <w:color w:val="1A202C"/>
          <w:sz w:val="20"/>
          <w:szCs w:val="20"/>
        </w:rPr>
        <w:t>ic Impact Assessments. Harvard Journal of Law &amp; Technology, 35(1</w:t>
      </w:r>
      <w:proofErr w:type="gramStart"/>
      <w:r>
        <w:rPr>
          <w:rFonts w:eastAsia="Noto Serif CJK TC"/>
          <w:color w:val="1A202C"/>
          <w:sz w:val="20"/>
          <w:szCs w:val="20"/>
        </w:rPr>
        <w:t>).</w:t>
      </w:r>
      <w:r>
        <w:rPr>
          <w:rFonts w:eastAsia="Noto Serif CJK TC"/>
          <w:color w:val="1A202C"/>
          <w:sz w:val="20"/>
          <w:szCs w:val="20"/>
        </w:rPr>
        <w:t>〔</w:t>
      </w:r>
      <w:proofErr w:type="gramEnd"/>
      <w:r>
        <w:rPr>
          <w:rFonts w:eastAsia="Noto Serif CJK TC"/>
          <w:color w:val="1A202C"/>
          <w:sz w:val="20"/>
          <w:szCs w:val="20"/>
        </w:rPr>
        <w:t>本文僅依</w:t>
      </w:r>
      <w:r>
        <w:rPr>
          <w:rFonts w:eastAsia="Noto Serif CJK TC"/>
          <w:color w:val="1A202C"/>
          <w:sz w:val="20"/>
          <w:szCs w:val="20"/>
        </w:rPr>
        <w:t xml:space="preserve"> Harvard JOLT </w:t>
      </w:r>
      <w:r>
        <w:rPr>
          <w:rFonts w:eastAsia="Noto Serif CJK TC"/>
          <w:color w:val="1A202C"/>
          <w:sz w:val="20"/>
          <w:szCs w:val="20"/>
        </w:rPr>
        <w:t>官方網站確認篇名、作者、期刊卷期與年份，未逐節查證全文論證內容。〕</w:t>
      </w:r>
    </w:p>
    <w:p w:rsidR="00FF05A2" w:rsidRDefault="00EE6916">
      <w:pPr>
        <w:spacing w:after="180" w:line="340" w:lineRule="auto"/>
        <w:jc w:val="both"/>
      </w:pPr>
      <w:r>
        <w:rPr>
          <w:rFonts w:eastAsia="Noto Serif CJK TC"/>
          <w:color w:val="1A202C"/>
          <w:sz w:val="20"/>
          <w:szCs w:val="20"/>
        </w:rPr>
        <w:t xml:space="preserve">Dragomir, A. N., </w:t>
      </w:r>
      <w:proofErr w:type="spellStart"/>
      <w:r>
        <w:rPr>
          <w:rFonts w:eastAsia="Noto Serif CJK TC"/>
          <w:color w:val="1A202C"/>
          <w:sz w:val="20"/>
          <w:szCs w:val="20"/>
        </w:rPr>
        <w:t>Bulea</w:t>
      </w:r>
      <w:proofErr w:type="spellEnd"/>
      <w:r>
        <w:rPr>
          <w:rFonts w:eastAsia="Noto Serif CJK TC"/>
          <w:color w:val="1A202C"/>
          <w:sz w:val="20"/>
          <w:szCs w:val="20"/>
        </w:rPr>
        <w:t xml:space="preserve">, I., &amp; </w:t>
      </w:r>
      <w:proofErr w:type="spellStart"/>
      <w:r>
        <w:rPr>
          <w:rFonts w:eastAsia="Noto Serif CJK TC"/>
          <w:color w:val="1A202C"/>
          <w:sz w:val="20"/>
          <w:szCs w:val="20"/>
        </w:rPr>
        <w:t>Tarnu</w:t>
      </w:r>
      <w:proofErr w:type="spellEnd"/>
      <w:r>
        <w:rPr>
          <w:rFonts w:eastAsia="Noto Serif CJK TC"/>
          <w:color w:val="1A202C"/>
          <w:sz w:val="20"/>
          <w:szCs w:val="20"/>
        </w:rPr>
        <w:t>, L. I. (2026). Human-centric AI governance in the European Union: Accountability, fundamental rights,</w:t>
      </w:r>
      <w:r>
        <w:rPr>
          <w:rFonts w:eastAsia="Noto Serif CJK TC"/>
          <w:color w:val="1A202C"/>
          <w:sz w:val="20"/>
          <w:szCs w:val="20"/>
        </w:rPr>
        <w:t xml:space="preserve"> and institutional resilience in public administration. Frontiers in Political </w:t>
      </w:r>
      <w:proofErr w:type="gramStart"/>
      <w:r>
        <w:rPr>
          <w:rFonts w:eastAsia="Noto Serif CJK TC"/>
          <w:color w:val="1A202C"/>
          <w:sz w:val="20"/>
          <w:szCs w:val="20"/>
        </w:rPr>
        <w:t>Science.</w:t>
      </w:r>
      <w:r>
        <w:rPr>
          <w:rFonts w:eastAsia="Noto Serif CJK TC"/>
          <w:color w:val="1A202C"/>
          <w:sz w:val="20"/>
          <w:szCs w:val="20"/>
        </w:rPr>
        <w:t>〔</w:t>
      </w:r>
      <w:proofErr w:type="gramEnd"/>
      <w:r>
        <w:rPr>
          <w:rFonts w:eastAsia="Noto Serif CJK TC"/>
          <w:color w:val="1A202C"/>
          <w:sz w:val="20"/>
          <w:szCs w:val="20"/>
        </w:rPr>
        <w:t>本文完稿前後始發表之平行研究，僅依期刊網站確認篇名、作者與六維框架之基本內容，未逐節查證全文論證，亦未及與本文框架進行系統性對照，詳見陸</w:t>
      </w:r>
      <w:r>
        <w:rPr>
          <w:rFonts w:eastAsia="Noto Serif CJK TC"/>
          <w:color w:val="1A202C"/>
          <w:sz w:val="20"/>
          <w:szCs w:val="20"/>
        </w:rPr>
        <w:t>-</w:t>
      </w:r>
      <w:r>
        <w:rPr>
          <w:rFonts w:eastAsia="Noto Serif CJK TC"/>
          <w:color w:val="1A202C"/>
          <w:sz w:val="20"/>
          <w:szCs w:val="20"/>
        </w:rPr>
        <w:t>三節之說明。〕</w:t>
      </w:r>
    </w:p>
    <w:p w:rsidR="00FF05A2" w:rsidRDefault="00EE6916">
      <w:pPr>
        <w:spacing w:after="180" w:line="340" w:lineRule="auto"/>
        <w:jc w:val="both"/>
      </w:pPr>
      <w:r>
        <w:rPr>
          <w:rFonts w:eastAsia="Noto Serif CJK TC"/>
          <w:color w:val="1A202C"/>
          <w:sz w:val="20"/>
          <w:szCs w:val="20"/>
        </w:rPr>
        <w:t>盧建旭（作者前作，未出版工作稿，未公開發表）。</w:t>
      </w:r>
      <w:r>
        <w:rPr>
          <w:rFonts w:eastAsia="Noto Serif CJK TC"/>
          <w:color w:val="1A202C"/>
          <w:sz w:val="20"/>
          <w:szCs w:val="20"/>
        </w:rPr>
        <w:t>027</w:t>
      </w:r>
      <w:r>
        <w:rPr>
          <w:rFonts w:eastAsia="Noto Serif CJK TC"/>
          <w:color w:val="1A202C"/>
          <w:sz w:val="20"/>
          <w:szCs w:val="20"/>
        </w:rPr>
        <w:t>〈誰在行政行動〉、</w:t>
      </w:r>
      <w:r>
        <w:rPr>
          <w:rFonts w:eastAsia="Noto Serif CJK TC"/>
          <w:color w:val="1A202C"/>
          <w:sz w:val="20"/>
          <w:szCs w:val="20"/>
        </w:rPr>
        <w:t>028</w:t>
      </w:r>
      <w:r>
        <w:rPr>
          <w:rFonts w:eastAsia="Noto Serif CJK TC"/>
          <w:color w:val="1A202C"/>
          <w:sz w:val="20"/>
          <w:szCs w:val="20"/>
        </w:rPr>
        <w:t>〈裁量何在〉、</w:t>
      </w:r>
      <w:r>
        <w:rPr>
          <w:rFonts w:eastAsia="Noto Serif CJK TC"/>
          <w:color w:val="1A202C"/>
          <w:sz w:val="20"/>
          <w:szCs w:val="20"/>
        </w:rPr>
        <w:t>029</w:t>
      </w:r>
      <w:r>
        <w:rPr>
          <w:rFonts w:eastAsia="Noto Serif CJK TC"/>
          <w:color w:val="1A202C"/>
          <w:sz w:val="20"/>
          <w:szCs w:val="20"/>
        </w:rPr>
        <w:t>〈不可外包的行政〉、</w:t>
      </w:r>
      <w:r>
        <w:rPr>
          <w:rFonts w:eastAsia="Noto Serif CJK TC"/>
          <w:color w:val="1A202C"/>
          <w:sz w:val="20"/>
          <w:szCs w:val="20"/>
        </w:rPr>
        <w:t>030</w:t>
      </w:r>
      <w:r>
        <w:rPr>
          <w:rFonts w:eastAsia="Noto Serif CJK TC"/>
          <w:color w:val="1A202C"/>
          <w:sz w:val="20"/>
          <w:szCs w:val="20"/>
        </w:rPr>
        <w:t>〈人工智慧時代公共行政之「生成</w:t>
      </w:r>
      <w:r>
        <w:rPr>
          <w:rFonts w:eastAsia="Noto Serif CJK TC"/>
          <w:color w:val="1A202C"/>
          <w:sz w:val="20"/>
          <w:szCs w:val="20"/>
        </w:rPr>
        <w:t>—</w:t>
      </w:r>
      <w:r>
        <w:rPr>
          <w:rFonts w:eastAsia="Noto Serif CJK TC"/>
          <w:color w:val="1A202C"/>
          <w:sz w:val="20"/>
          <w:szCs w:val="20"/>
        </w:rPr>
        <w:t>裁量</w:t>
      </w:r>
      <w:r>
        <w:rPr>
          <w:rFonts w:eastAsia="Noto Serif CJK TC"/>
          <w:color w:val="1A202C"/>
          <w:sz w:val="20"/>
          <w:szCs w:val="20"/>
        </w:rPr>
        <w:t>—</w:t>
      </w:r>
      <w:r>
        <w:rPr>
          <w:rFonts w:eastAsia="Noto Serif CJK TC"/>
          <w:color w:val="1A202C"/>
          <w:sz w:val="20"/>
          <w:szCs w:val="20"/>
        </w:rPr>
        <w:t>權威」理論架構〉、</w:t>
      </w:r>
      <w:r>
        <w:rPr>
          <w:rFonts w:eastAsia="Noto Serif CJK TC"/>
          <w:color w:val="1A202C"/>
          <w:sz w:val="20"/>
          <w:szCs w:val="20"/>
        </w:rPr>
        <w:t>03</w:t>
      </w:r>
      <w:r>
        <w:rPr>
          <w:rFonts w:eastAsia="Noto Serif CJK TC"/>
          <w:color w:val="1A202C"/>
          <w:sz w:val="20"/>
          <w:szCs w:val="20"/>
        </w:rPr>
        <w:t>1</w:t>
      </w:r>
      <w:proofErr w:type="gramStart"/>
      <w:r>
        <w:rPr>
          <w:rFonts w:eastAsia="Noto Serif CJK TC"/>
          <w:color w:val="1A202C"/>
          <w:sz w:val="20"/>
          <w:szCs w:val="20"/>
        </w:rPr>
        <w:t>〈</w:t>
      </w:r>
      <w:proofErr w:type="gramEnd"/>
      <w:r>
        <w:rPr>
          <w:rFonts w:eastAsia="Noto Serif CJK TC"/>
          <w:color w:val="1A202C"/>
          <w:sz w:val="20"/>
          <w:szCs w:val="20"/>
        </w:rPr>
        <w:t>電子圍籬作為分散式行政行動：以</w:t>
      </w:r>
      <w:r>
        <w:rPr>
          <w:rFonts w:eastAsia="Noto Serif CJK TC"/>
          <w:color w:val="1A202C"/>
          <w:sz w:val="20"/>
          <w:szCs w:val="20"/>
        </w:rPr>
        <w:t>030</w:t>
      </w:r>
      <w:r>
        <w:rPr>
          <w:rFonts w:eastAsia="Noto Serif CJK TC"/>
          <w:color w:val="1A202C"/>
          <w:sz w:val="20"/>
          <w:szCs w:val="20"/>
        </w:rPr>
        <w:t>模型初步檢視台灣</w:t>
      </w:r>
      <w:r>
        <w:rPr>
          <w:rFonts w:eastAsia="Noto Serif CJK TC"/>
          <w:color w:val="1A202C"/>
          <w:sz w:val="20"/>
          <w:szCs w:val="20"/>
        </w:rPr>
        <w:t>COVID-19</w:t>
      </w:r>
      <w:r>
        <w:rPr>
          <w:rFonts w:eastAsia="Noto Serif CJK TC"/>
          <w:color w:val="1A202C"/>
          <w:sz w:val="20"/>
          <w:szCs w:val="20"/>
        </w:rPr>
        <w:t>智慧監控系統之文件個案研究</w:t>
      </w:r>
      <w:proofErr w:type="gramStart"/>
      <w:r>
        <w:rPr>
          <w:rFonts w:eastAsia="Noto Serif CJK TC"/>
          <w:color w:val="1A202C"/>
          <w:sz w:val="20"/>
          <w:szCs w:val="20"/>
        </w:rPr>
        <w:t>〉</w:t>
      </w:r>
      <w:proofErr w:type="gramEnd"/>
      <w:r>
        <w:rPr>
          <w:rFonts w:eastAsia="Noto Serif CJK TC"/>
          <w:color w:val="1A202C"/>
          <w:sz w:val="20"/>
          <w:szCs w:val="20"/>
        </w:rPr>
        <w:t>、</w:t>
      </w:r>
      <w:r>
        <w:rPr>
          <w:rFonts w:eastAsia="Noto Serif CJK TC"/>
          <w:color w:val="1A202C"/>
          <w:sz w:val="20"/>
          <w:szCs w:val="20"/>
        </w:rPr>
        <w:t>032</w:t>
      </w:r>
      <w:r>
        <w:rPr>
          <w:rFonts w:eastAsia="Noto Serif CJK TC"/>
          <w:color w:val="1A202C"/>
          <w:sz w:val="20"/>
          <w:szCs w:val="20"/>
        </w:rPr>
        <w:t>〈人工智慧時代公共行政理論的再定位：從數位治理到「生成</w:t>
      </w:r>
      <w:proofErr w:type="gramStart"/>
      <w:r>
        <w:rPr>
          <w:rFonts w:eastAsia="Noto Serif CJK TC"/>
          <w:color w:val="1A202C"/>
          <w:sz w:val="20"/>
          <w:szCs w:val="20"/>
        </w:rPr>
        <w:t>—</w:t>
      </w:r>
      <w:proofErr w:type="gramEnd"/>
      <w:r>
        <w:rPr>
          <w:rFonts w:eastAsia="Noto Serif CJK TC"/>
          <w:color w:val="1A202C"/>
          <w:sz w:val="20"/>
          <w:szCs w:val="20"/>
        </w:rPr>
        <w:t>裁量</w:t>
      </w:r>
      <w:r>
        <w:rPr>
          <w:rFonts w:eastAsia="Noto Serif CJK TC"/>
          <w:color w:val="1A202C"/>
          <w:sz w:val="20"/>
          <w:szCs w:val="20"/>
        </w:rPr>
        <w:t>—</w:t>
      </w:r>
      <w:r>
        <w:rPr>
          <w:rFonts w:eastAsia="Noto Serif CJK TC"/>
          <w:color w:val="1A202C"/>
          <w:sz w:val="20"/>
          <w:szCs w:val="20"/>
        </w:rPr>
        <w:t>權威」〉、</w:t>
      </w:r>
      <w:r>
        <w:rPr>
          <w:rFonts w:eastAsia="Noto Serif CJK TC"/>
          <w:color w:val="1A202C"/>
          <w:sz w:val="20"/>
          <w:szCs w:val="20"/>
        </w:rPr>
        <w:t>033</w:t>
      </w:r>
      <w:r>
        <w:rPr>
          <w:rFonts w:eastAsia="Noto Serif CJK TC"/>
          <w:color w:val="1A202C"/>
          <w:sz w:val="20"/>
          <w:szCs w:val="20"/>
        </w:rPr>
        <w:t>〈人工智慧時代公共行政研究議程：從「生成</w:t>
      </w:r>
      <w:proofErr w:type="gramStart"/>
      <w:r>
        <w:rPr>
          <w:rFonts w:eastAsia="Noto Serif CJK TC"/>
          <w:color w:val="1A202C"/>
          <w:sz w:val="20"/>
          <w:szCs w:val="20"/>
        </w:rPr>
        <w:t>—</w:t>
      </w:r>
      <w:proofErr w:type="gramEnd"/>
      <w:r>
        <w:rPr>
          <w:rFonts w:eastAsia="Noto Serif CJK TC"/>
          <w:color w:val="1A202C"/>
          <w:sz w:val="20"/>
          <w:szCs w:val="20"/>
        </w:rPr>
        <w:t>裁量</w:t>
      </w:r>
      <w:r>
        <w:rPr>
          <w:rFonts w:eastAsia="Noto Serif CJK TC"/>
          <w:color w:val="1A202C"/>
          <w:sz w:val="20"/>
          <w:szCs w:val="20"/>
        </w:rPr>
        <w:t>—</w:t>
      </w:r>
      <w:r>
        <w:rPr>
          <w:rFonts w:eastAsia="Noto Serif CJK TC"/>
          <w:color w:val="1A202C"/>
          <w:sz w:val="20"/>
          <w:szCs w:val="20"/>
        </w:rPr>
        <w:t>權威」模型出發〉、</w:t>
      </w:r>
      <w:r>
        <w:rPr>
          <w:rFonts w:eastAsia="Noto Serif CJK TC"/>
          <w:color w:val="1A202C"/>
          <w:sz w:val="20"/>
          <w:szCs w:val="20"/>
        </w:rPr>
        <w:t>035</w:t>
      </w:r>
      <w:r>
        <w:rPr>
          <w:rFonts w:eastAsia="Noto Serif CJK TC"/>
          <w:color w:val="1A202C"/>
          <w:sz w:val="20"/>
          <w:szCs w:val="20"/>
        </w:rPr>
        <w:t>〈規範何以轉換？人工智慧行政中技術選擇轉化為公共規範的條件</w:t>
      </w:r>
      <w:proofErr w:type="gramStart"/>
      <w:r>
        <w:rPr>
          <w:rFonts w:eastAsia="Noto Serif CJK TC"/>
          <w:color w:val="1A202C"/>
          <w:sz w:val="20"/>
          <w:szCs w:val="20"/>
        </w:rPr>
        <w:t>〉</w:t>
      </w:r>
      <w:proofErr w:type="gramEnd"/>
      <w:r>
        <w:rPr>
          <w:rFonts w:eastAsia="Noto Serif CJK TC"/>
          <w:color w:val="1A202C"/>
          <w:sz w:val="20"/>
          <w:szCs w:val="20"/>
        </w:rPr>
        <w:t>。</w:t>
      </w:r>
    </w:p>
    <w:sectPr w:rsidR="00FF05A2">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6916" w:rsidRDefault="00EE6916" w:rsidP="0079129A">
      <w:pPr>
        <w:rPr>
          <w:rFonts w:hint="eastAsia"/>
        </w:rPr>
      </w:pPr>
      <w:r>
        <w:separator/>
      </w:r>
    </w:p>
  </w:endnote>
  <w:endnote w:type="continuationSeparator" w:id="0">
    <w:p w:rsidR="00EE6916" w:rsidRDefault="00EE6916" w:rsidP="0079129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erif CJK TC">
    <w:altName w:val="Cambria"/>
    <w:panose1 w:val="00000000000000000000"/>
    <w:charset w:val="00"/>
    <w:family w:val="roman"/>
    <w:notTrueType/>
    <w:pitch w:val="default"/>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Noto Sans CJK TC">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6916" w:rsidRDefault="00EE6916" w:rsidP="0079129A">
      <w:pPr>
        <w:rPr>
          <w:rFonts w:hint="eastAsia"/>
        </w:rPr>
      </w:pPr>
      <w:r>
        <w:separator/>
      </w:r>
    </w:p>
  </w:footnote>
  <w:footnote w:type="continuationSeparator" w:id="0">
    <w:p w:rsidR="00EE6916" w:rsidRDefault="00EE6916" w:rsidP="0079129A">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432AA"/>
    <w:multiLevelType w:val="hybridMultilevel"/>
    <w:tmpl w:val="BE58BD70"/>
    <w:lvl w:ilvl="0" w:tplc="1DA476C6">
      <w:start w:val="1"/>
      <w:numFmt w:val="bullet"/>
      <w:lvlText w:val="●"/>
      <w:lvlJc w:val="left"/>
      <w:pPr>
        <w:ind w:left="720" w:hanging="360"/>
      </w:pPr>
    </w:lvl>
    <w:lvl w:ilvl="1" w:tplc="E930600C">
      <w:start w:val="1"/>
      <w:numFmt w:val="bullet"/>
      <w:lvlText w:val="○"/>
      <w:lvlJc w:val="left"/>
      <w:pPr>
        <w:ind w:left="1440" w:hanging="360"/>
      </w:pPr>
    </w:lvl>
    <w:lvl w:ilvl="2" w:tplc="476A0476">
      <w:start w:val="1"/>
      <w:numFmt w:val="bullet"/>
      <w:lvlText w:val="■"/>
      <w:lvlJc w:val="left"/>
      <w:pPr>
        <w:ind w:left="2160" w:hanging="360"/>
      </w:pPr>
    </w:lvl>
    <w:lvl w:ilvl="3" w:tplc="70EEC18A">
      <w:start w:val="1"/>
      <w:numFmt w:val="bullet"/>
      <w:lvlText w:val="●"/>
      <w:lvlJc w:val="left"/>
      <w:pPr>
        <w:ind w:left="2880" w:hanging="360"/>
      </w:pPr>
    </w:lvl>
    <w:lvl w:ilvl="4" w:tplc="6B5C38B8">
      <w:start w:val="1"/>
      <w:numFmt w:val="bullet"/>
      <w:lvlText w:val="○"/>
      <w:lvlJc w:val="left"/>
      <w:pPr>
        <w:ind w:left="3600" w:hanging="360"/>
      </w:pPr>
    </w:lvl>
    <w:lvl w:ilvl="5" w:tplc="4A400144">
      <w:start w:val="1"/>
      <w:numFmt w:val="bullet"/>
      <w:lvlText w:val="■"/>
      <w:lvlJc w:val="left"/>
      <w:pPr>
        <w:ind w:left="4320" w:hanging="360"/>
      </w:pPr>
    </w:lvl>
    <w:lvl w:ilvl="6" w:tplc="C83E84D8">
      <w:start w:val="1"/>
      <w:numFmt w:val="bullet"/>
      <w:lvlText w:val="●"/>
      <w:lvlJc w:val="left"/>
      <w:pPr>
        <w:ind w:left="5040" w:hanging="360"/>
      </w:pPr>
    </w:lvl>
    <w:lvl w:ilvl="7" w:tplc="B29A6BFA">
      <w:start w:val="1"/>
      <w:numFmt w:val="bullet"/>
      <w:lvlText w:val="●"/>
      <w:lvlJc w:val="left"/>
      <w:pPr>
        <w:ind w:left="5760" w:hanging="360"/>
      </w:pPr>
    </w:lvl>
    <w:lvl w:ilvl="8" w:tplc="DD3E488A">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5A2"/>
    <w:rsid w:val="0079129A"/>
    <w:rsid w:val="00EE6916"/>
    <w:rsid w:val="00FF05A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F0B318"/>
  <w15:docId w15:val="{D9C5F270-5DEB-4C75-86C3-9C0095048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oto Serif CJK TC" w:eastAsiaTheme="minorEastAsia" w:hAnsi="Noto Serif CJK TC" w:cs="Noto Serif CJK TC"/>
        <w:sz w:val="22"/>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粗體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註腳文字 字元"/>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章節附註文字 字元"/>
    <w:link w:val="aa"/>
    <w:uiPriority w:val="99"/>
    <w:semiHidden/>
    <w:unhideWhenUsed/>
    <w:rPr>
      <w:sz w:val="20"/>
      <w:szCs w:val="20"/>
    </w:rPr>
  </w:style>
  <w:style w:type="paragraph" w:styleId="ac">
    <w:name w:val="header"/>
    <w:basedOn w:val="a"/>
    <w:link w:val="ad"/>
    <w:uiPriority w:val="99"/>
    <w:unhideWhenUsed/>
    <w:rsid w:val="0079129A"/>
    <w:pPr>
      <w:tabs>
        <w:tab w:val="center" w:pos="4153"/>
        <w:tab w:val="right" w:pos="8306"/>
      </w:tabs>
      <w:snapToGrid w:val="0"/>
    </w:pPr>
    <w:rPr>
      <w:sz w:val="20"/>
      <w:szCs w:val="20"/>
    </w:rPr>
  </w:style>
  <w:style w:type="character" w:customStyle="1" w:styleId="ad">
    <w:name w:val="頁首 字元"/>
    <w:basedOn w:val="a0"/>
    <w:link w:val="ac"/>
    <w:uiPriority w:val="99"/>
    <w:rsid w:val="0079129A"/>
    <w:rPr>
      <w:sz w:val="20"/>
      <w:szCs w:val="20"/>
    </w:rPr>
  </w:style>
  <w:style w:type="paragraph" w:styleId="ae">
    <w:name w:val="footer"/>
    <w:basedOn w:val="a"/>
    <w:link w:val="af"/>
    <w:uiPriority w:val="99"/>
    <w:unhideWhenUsed/>
    <w:rsid w:val="0079129A"/>
    <w:pPr>
      <w:tabs>
        <w:tab w:val="center" w:pos="4153"/>
        <w:tab w:val="right" w:pos="8306"/>
      </w:tabs>
      <w:snapToGrid w:val="0"/>
    </w:pPr>
    <w:rPr>
      <w:sz w:val="20"/>
      <w:szCs w:val="20"/>
    </w:rPr>
  </w:style>
  <w:style w:type="character" w:customStyle="1" w:styleId="af">
    <w:name w:val="頁尾 字元"/>
    <w:basedOn w:val="a0"/>
    <w:link w:val="ae"/>
    <w:uiPriority w:val="99"/>
    <w:rsid w:val="0079129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4270</Words>
  <Characters>24341</Characters>
  <Application>Microsoft Office Word</Application>
  <DocSecurity>0</DocSecurity>
  <Lines>202</Lines>
  <Paragraphs>57</Paragraphs>
  <ScaleCrop>false</ScaleCrop>
  <Company/>
  <LinksUpToDate>false</LinksUpToDate>
  <CharactersWithSpaces>28554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2</cp:revision>
  <dcterms:created xsi:type="dcterms:W3CDTF">2026-08-29T12:39:00Z</dcterms:created>
  <dcterms:modified xsi:type="dcterms:W3CDTF">2026-08-30T04:24:00Z</dcterms:modified>
</cp:coreProperties>
</file>