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B3F" w:rsidRDefault="00675D53">
      <w:pPr>
        <w:spacing w:after="80"/>
        <w:jc w:val="center"/>
      </w:pPr>
      <w:bookmarkStart w:id="0" w:name="_GoBack"/>
      <w:proofErr w:type="spellStart"/>
      <w:r>
        <w:rPr>
          <w:rFonts w:eastAsia="Times New Roman"/>
          <w:b/>
          <w:bCs/>
          <w:sz w:val="36"/>
          <w:szCs w:val="36"/>
        </w:rPr>
        <w:t>人工智慧時代公共行政研究議程</w:t>
      </w:r>
      <w:proofErr w:type="spellEnd"/>
    </w:p>
    <w:p w:rsidR="00054B3F" w:rsidRDefault="00675D53">
      <w:pPr>
        <w:spacing w:after="80"/>
        <w:jc w:val="center"/>
      </w:pPr>
      <w:proofErr w:type="spellStart"/>
      <w:r>
        <w:rPr>
          <w:rFonts w:eastAsia="Times New Roman"/>
          <w:b/>
          <w:bCs/>
          <w:sz w:val="28"/>
          <w:szCs w:val="28"/>
        </w:rPr>
        <w:t>從「生成</w:t>
      </w:r>
      <w:proofErr w:type="spellEnd"/>
      <w:r>
        <w:rPr>
          <w:rFonts w:eastAsia="Times New Roman"/>
          <w:b/>
          <w:bCs/>
          <w:sz w:val="28"/>
          <w:szCs w:val="28"/>
        </w:rPr>
        <w:t>—</w:t>
      </w:r>
      <w:proofErr w:type="spellStart"/>
      <w:r>
        <w:rPr>
          <w:rFonts w:eastAsia="Times New Roman"/>
          <w:b/>
          <w:bCs/>
          <w:sz w:val="28"/>
          <w:szCs w:val="28"/>
        </w:rPr>
        <w:t>裁量</w:t>
      </w:r>
      <w:proofErr w:type="spellEnd"/>
      <w:r>
        <w:rPr>
          <w:rFonts w:eastAsia="Times New Roman"/>
          <w:b/>
          <w:bCs/>
          <w:sz w:val="28"/>
          <w:szCs w:val="28"/>
        </w:rPr>
        <w:t>—</w:t>
      </w:r>
      <w:proofErr w:type="spellStart"/>
      <w:r>
        <w:rPr>
          <w:rFonts w:eastAsia="Times New Roman"/>
          <w:b/>
          <w:bCs/>
          <w:sz w:val="28"/>
          <w:szCs w:val="28"/>
        </w:rPr>
        <w:t>權威」模型出發</w:t>
      </w:r>
      <w:proofErr w:type="spellEnd"/>
    </w:p>
    <w:bookmarkEnd w:id="0"/>
    <w:p w:rsidR="00054B3F" w:rsidRDefault="00675D53">
      <w:pPr>
        <w:spacing w:after="40"/>
        <w:jc w:val="center"/>
      </w:pPr>
      <w:r>
        <w:rPr>
          <w:rFonts w:eastAsia="Times New Roman"/>
          <w:i/>
          <w:iCs/>
          <w:sz w:val="22"/>
          <w:szCs w:val="22"/>
        </w:rPr>
        <w:t>A Research Agenda for Public Administration in the Age of Artificial Intelligence:</w:t>
      </w:r>
    </w:p>
    <w:p w:rsidR="00054B3F" w:rsidRDefault="00675D53">
      <w:pPr>
        <w:spacing w:after="240"/>
        <w:jc w:val="center"/>
        <w:rPr>
          <w:rFonts w:eastAsia="Times New Roman"/>
          <w:i/>
          <w:iCs/>
          <w:sz w:val="22"/>
          <w:szCs w:val="22"/>
        </w:rPr>
      </w:pPr>
      <w:r>
        <w:rPr>
          <w:rFonts w:eastAsia="Times New Roman"/>
          <w:i/>
          <w:iCs/>
          <w:sz w:val="22"/>
          <w:szCs w:val="22"/>
        </w:rPr>
        <w:t>From Generation, Discretion, and Public Authority</w:t>
      </w:r>
    </w:p>
    <w:p w:rsidR="003901A6" w:rsidRDefault="003901A6">
      <w:pPr>
        <w:spacing w:after="240"/>
        <w:jc w:val="center"/>
        <w:rPr>
          <w:rFonts w:hint="eastAsia"/>
        </w:rPr>
      </w:pPr>
      <w:r>
        <w:rPr>
          <w:rFonts w:hint="eastAsia"/>
        </w:rPr>
        <w:t>盧建旭</w:t>
      </w:r>
      <w:r>
        <w:rPr>
          <w:rFonts w:hint="eastAsia"/>
        </w:rPr>
        <w:t xml:space="preserve"> Lancelot Lu</w:t>
      </w:r>
    </w:p>
    <w:p w:rsidR="00054B3F" w:rsidRDefault="00675D53">
      <w:pPr>
        <w:pStyle w:val="1"/>
      </w:pPr>
      <w:proofErr w:type="spellStart"/>
      <w:r>
        <w:t>文章定位</w:t>
      </w:r>
      <w:proofErr w:type="spellEnd"/>
    </w:p>
    <w:p w:rsidR="00054B3F" w:rsidRDefault="00675D53">
      <w:pPr>
        <w:spacing w:after="120" w:line="360" w:lineRule="auto"/>
      </w:pPr>
      <w:proofErr w:type="spellStart"/>
      <w:r>
        <w:rPr>
          <w:rFonts w:eastAsia="Times New Roman"/>
        </w:rPr>
        <w:t>本文（編號</w:t>
      </w:r>
      <w:proofErr w:type="spellEnd"/>
      <w:r>
        <w:rPr>
          <w:rFonts w:eastAsia="Times New Roman"/>
        </w:rPr>
        <w:t xml:space="preserve"> 033）是作者「030～035系列」的第六篇，性質為議程建構（agenda-setting）與教學型文章，目的不在於再次論證 GDA 模型（生成—裁量—權威模型，Generation-Discretion-Authority；首次提出於作者前作〈人工智慧時代公共行政之「生成—裁量—權威」理論架構〉，工作稿編號 030），</w:t>
      </w:r>
      <w:proofErr w:type="spellStart"/>
      <w:r>
        <w:rPr>
          <w:rFonts w:eastAsia="Times New Roman"/>
        </w:rPr>
        <w:t>而在於回答一個後設問題：GDA</w:t>
      </w:r>
      <w:proofErr w:type="spellEnd"/>
      <w:r>
        <w:rPr>
          <w:rFonts w:eastAsia="Times New Roman"/>
        </w:rPr>
        <w:t xml:space="preserve"> </w:t>
      </w:r>
      <w:proofErr w:type="spellStart"/>
      <w:r>
        <w:rPr>
          <w:rFonts w:eastAsia="Times New Roman"/>
        </w:rPr>
        <w:t>模型建立之後，還有哪些重要的公共行政研究問題可以繼續開展？其性質更接近一份「研究計畫總綱</w:t>
      </w:r>
      <w:proofErr w:type="spellEnd"/>
      <w:r>
        <w:rPr>
          <w:rFonts w:eastAsia="Times New Roman"/>
        </w:rPr>
        <w:t>」，</w:t>
      </w:r>
      <w:proofErr w:type="spellStart"/>
      <w:r>
        <w:rPr>
          <w:rFonts w:eastAsia="Times New Roman"/>
        </w:rPr>
        <w:t>而非一篇獨立的論證型論文</w:t>
      </w:r>
      <w:proofErr w:type="spellEnd"/>
      <w:r>
        <w:rPr>
          <w:rFonts w:eastAsia="Times New Roman"/>
        </w:rPr>
        <w:t>。</w:t>
      </w:r>
    </w:p>
    <w:p w:rsidR="00054B3F" w:rsidRDefault="00675D53">
      <w:pPr>
        <w:spacing w:after="120" w:line="360" w:lineRule="auto"/>
      </w:pPr>
      <w:r>
        <w:rPr>
          <w:rFonts w:eastAsia="Times New Roman"/>
        </w:rPr>
        <w:t>與 032 的分工不同：0</w:t>
      </w:r>
      <w:r>
        <w:rPr>
          <w:rFonts w:eastAsia="Times New Roman"/>
        </w:rPr>
        <w:t xml:space="preserve">32 是 GDA </w:t>
      </w:r>
      <w:proofErr w:type="spellStart"/>
      <w:r>
        <w:rPr>
          <w:rFonts w:eastAsia="Times New Roman"/>
        </w:rPr>
        <w:t>模型與國際既有理論的橫向對話；本文則是對</w:t>
      </w:r>
      <w:proofErr w:type="spellEnd"/>
      <w:r>
        <w:rPr>
          <w:rFonts w:eastAsia="Times New Roman"/>
        </w:rPr>
        <w:t xml:space="preserve"> GDA 模型自身的縱向盤點——沿著模型既有的四個分析構面，逐一列舉尚待開展的具體問題，並為每一類問題標示適合的研究方法。本文亦刻意安排為系列中最後撰寫的一篇：唯有 031 提供了電子圍籬個案的初步實證檢視、032 </w:t>
      </w:r>
      <w:proofErr w:type="spellStart"/>
      <w:r>
        <w:rPr>
          <w:rFonts w:eastAsia="Times New Roman"/>
        </w:rPr>
        <w:t>完成了國際理論定位之後，本文才較能真正扮演「盤點整個系列還缺什麼」的角色</w:t>
      </w:r>
      <w:proofErr w:type="spellEnd"/>
      <w:r>
        <w:rPr>
          <w:rFonts w:eastAsia="Times New Roman"/>
        </w:rPr>
        <w:t>。</w:t>
      </w:r>
    </w:p>
    <w:p w:rsidR="00054B3F" w:rsidRDefault="00675D53">
      <w:pPr>
        <w:spacing w:after="120" w:line="360" w:lineRule="auto"/>
      </w:pPr>
      <w:proofErr w:type="spellStart"/>
      <w:r>
        <w:rPr>
          <w:rFonts w:eastAsia="Times New Roman"/>
        </w:rPr>
        <w:t>本整合稿在原文議程建構的基礎上，補強五項內容</w:t>
      </w:r>
      <w:proofErr w:type="spellEnd"/>
      <w:r>
        <w:rPr>
          <w:rFonts w:eastAsia="Times New Roman"/>
        </w:rPr>
        <w:t>：（</w:t>
      </w:r>
      <w:proofErr w:type="spellStart"/>
      <w:r>
        <w:rPr>
          <w:rFonts w:eastAsia="Times New Roman"/>
        </w:rPr>
        <w:t>一）重申</w:t>
      </w:r>
      <w:proofErr w:type="spellEnd"/>
      <w:r>
        <w:rPr>
          <w:rFonts w:eastAsia="Times New Roman"/>
        </w:rPr>
        <w:t xml:space="preserve"> GDA </w:t>
      </w:r>
      <w:proofErr w:type="spellStart"/>
      <w:r>
        <w:rPr>
          <w:rFonts w:eastAsia="Times New Roman"/>
        </w:rPr>
        <w:t>作為分析單位重構、而非程序階段的核心論點</w:t>
      </w:r>
      <w:proofErr w:type="spellEnd"/>
      <w:r>
        <w:rPr>
          <w:rFonts w:eastAsia="Times New Roman"/>
        </w:rPr>
        <w:t>；（</w:t>
      </w:r>
      <w:proofErr w:type="spellStart"/>
      <w:r>
        <w:rPr>
          <w:rFonts w:eastAsia="Times New Roman"/>
        </w:rPr>
        <w:t>二）標示最需優先操作化與實證檢驗的研究缺口</w:t>
      </w:r>
      <w:proofErr w:type="spellEnd"/>
      <w:r>
        <w:rPr>
          <w:rFonts w:eastAsia="Times New Roman"/>
        </w:rPr>
        <w:t>；（</w:t>
      </w:r>
      <w:proofErr w:type="spellStart"/>
      <w:r>
        <w:rPr>
          <w:rFonts w:eastAsia="Times New Roman"/>
        </w:rPr>
        <w:t>三）區</w:t>
      </w:r>
      <w:r>
        <w:rPr>
          <w:rFonts w:eastAsia="Times New Roman"/>
        </w:rPr>
        <w:t>分</w:t>
      </w:r>
      <w:proofErr w:type="spellEnd"/>
      <w:r>
        <w:rPr>
          <w:rFonts w:eastAsia="Times New Roman"/>
        </w:rPr>
        <w:t xml:space="preserve"> UCPR 的形式權限與實質能力，避免只做法律形式分析；（四）提出可執行的三階段研究設計；（五）收斂五條總結性命題，使後續研究可直接據以檢驗。</w:t>
      </w:r>
    </w:p>
    <w:p w:rsidR="00054B3F" w:rsidRDefault="00675D53">
      <w:pPr>
        <w:spacing w:after="120" w:line="360" w:lineRule="auto"/>
      </w:pPr>
      <w:r>
        <w:rPr>
          <w:rFonts w:eastAsia="Times New Roman"/>
          <w:b/>
          <w:bCs/>
        </w:rPr>
        <w:t>特別說明：</w:t>
      </w:r>
      <w:r>
        <w:rPr>
          <w:rFonts w:eastAsia="Times New Roman"/>
        </w:rPr>
        <w:t>本文初稿完成時，034、035 僅有研究計畫大綱。兩文其後均已實際撰寫完成，故本校準版於緒論新增「034、035 完成後的議程校準」一節，並據以更新各研究群之優先缺口與三階段研究設計之優先順序。校準採「議程更新」而非「成果宣稱」的寫法，清楚區分文本層次與經驗層次</w:t>
      </w:r>
      <w:r>
        <w:rPr>
          <w:rFonts w:eastAsia="Times New Roman"/>
        </w:rPr>
        <w:lastRenderedPageBreak/>
        <w:t>的差異。</w:t>
      </w:r>
    </w:p>
    <w:p w:rsidR="00054B3F" w:rsidRDefault="00675D53">
      <w:pPr>
        <w:pStyle w:val="1"/>
      </w:pPr>
      <w:proofErr w:type="spellStart"/>
      <w:r>
        <w:t>摘要</w:t>
      </w:r>
      <w:proofErr w:type="spellEnd"/>
    </w:p>
    <w:p w:rsidR="00054B3F" w:rsidRDefault="00675D53">
      <w:pPr>
        <w:spacing w:after="120" w:line="360" w:lineRule="auto"/>
      </w:pPr>
      <w:proofErr w:type="spellStart"/>
      <w:r>
        <w:rPr>
          <w:rFonts w:eastAsia="Times New Roman"/>
          <w:b/>
          <w:bCs/>
        </w:rPr>
        <w:t>研究目的：</w:t>
      </w:r>
      <w:r>
        <w:rPr>
          <w:rFonts w:eastAsia="Times New Roman"/>
        </w:rPr>
        <w:t>本文以作者前作提出之</w:t>
      </w:r>
      <w:proofErr w:type="spellEnd"/>
      <w:r>
        <w:rPr>
          <w:rFonts w:eastAsia="Times New Roman"/>
        </w:rPr>
        <w:t xml:space="preserve"> GDA </w:t>
      </w:r>
      <w:proofErr w:type="spellStart"/>
      <w:r>
        <w:rPr>
          <w:rFonts w:eastAsia="Times New Roman"/>
        </w:rPr>
        <w:t>模型（生成</w:t>
      </w:r>
      <w:proofErr w:type="spellEnd"/>
      <w:r>
        <w:rPr>
          <w:rFonts w:eastAsia="Times New Roman"/>
        </w:rPr>
        <w:t>—</w:t>
      </w:r>
      <w:proofErr w:type="spellStart"/>
      <w:r>
        <w:rPr>
          <w:rFonts w:eastAsia="Times New Roman"/>
        </w:rPr>
        <w:t>裁量</w:t>
      </w:r>
      <w:proofErr w:type="spellEnd"/>
      <w:r>
        <w:rPr>
          <w:rFonts w:eastAsia="Times New Roman"/>
        </w:rPr>
        <w:t>—</w:t>
      </w:r>
      <w:proofErr w:type="spellStart"/>
      <w:r>
        <w:rPr>
          <w:rFonts w:eastAsia="Times New Roman"/>
        </w:rPr>
        <w:t>權威）為出發點，不再</w:t>
      </w:r>
      <w:r>
        <w:rPr>
          <w:rFonts w:eastAsia="Times New Roman"/>
        </w:rPr>
        <w:t>論證模型本身，而是系統性地盤點該模型建立後所開展出的公共行政研究議程，回答「GDA</w:t>
      </w:r>
      <w:proofErr w:type="spellEnd"/>
      <w:r>
        <w:rPr>
          <w:rFonts w:eastAsia="Times New Roman"/>
        </w:rPr>
        <w:t xml:space="preserve"> </w:t>
      </w:r>
      <w:proofErr w:type="spellStart"/>
      <w:r>
        <w:rPr>
          <w:rFonts w:eastAsia="Times New Roman"/>
        </w:rPr>
        <w:t>模型之後，還有哪些重要問題可以研究</w:t>
      </w:r>
      <w:proofErr w:type="spellEnd"/>
      <w:r>
        <w:rPr>
          <w:rFonts w:eastAsia="Times New Roman"/>
        </w:rPr>
        <w:t>」。</w:t>
      </w:r>
      <w:proofErr w:type="spellStart"/>
      <w:r>
        <w:rPr>
          <w:rFonts w:eastAsia="Times New Roman"/>
        </w:rPr>
        <w:t>本文同時主張：GDA</w:t>
      </w:r>
      <w:proofErr w:type="spellEnd"/>
      <w:r>
        <w:rPr>
          <w:rFonts w:eastAsia="Times New Roman"/>
        </w:rPr>
        <w:t xml:space="preserve"> </w:t>
      </w:r>
      <w:proofErr w:type="spellStart"/>
      <w:r>
        <w:rPr>
          <w:rFonts w:eastAsia="Times New Roman"/>
        </w:rPr>
        <w:t>的價值不只在於解釋</w:t>
      </w:r>
      <w:proofErr w:type="spellEnd"/>
      <w:r>
        <w:rPr>
          <w:rFonts w:eastAsia="Times New Roman"/>
        </w:rPr>
        <w:t xml:space="preserve"> AI </w:t>
      </w:r>
      <w:proofErr w:type="spellStart"/>
      <w:r>
        <w:rPr>
          <w:rFonts w:eastAsia="Times New Roman"/>
        </w:rPr>
        <w:t>如何介入行政，更在於重新界定公共行政研究的分析單位</w:t>
      </w:r>
      <w:proofErr w:type="spellEnd"/>
      <w:r>
        <w:rPr>
          <w:rFonts w:eastAsia="Times New Roman"/>
        </w:rPr>
        <w:t>。</w:t>
      </w:r>
    </w:p>
    <w:p w:rsidR="00054B3F" w:rsidRDefault="00675D53">
      <w:pPr>
        <w:spacing w:after="120" w:line="360" w:lineRule="auto"/>
      </w:pPr>
      <w:proofErr w:type="spellStart"/>
      <w:r>
        <w:rPr>
          <w:rFonts w:eastAsia="Times New Roman"/>
          <w:b/>
          <w:bCs/>
        </w:rPr>
        <w:t>方法：</w:t>
      </w:r>
      <w:r>
        <w:rPr>
          <w:rFonts w:eastAsia="Times New Roman"/>
        </w:rPr>
        <w:t>本文採取議程建構法（agenda-setting</w:t>
      </w:r>
      <w:proofErr w:type="spellEnd"/>
      <w:r>
        <w:rPr>
          <w:rFonts w:eastAsia="Times New Roman"/>
        </w:rPr>
        <w:t xml:space="preserve"> method），以 GDA </w:t>
      </w:r>
      <w:proofErr w:type="spellStart"/>
      <w:r>
        <w:rPr>
          <w:rFonts w:eastAsia="Times New Roman"/>
        </w:rPr>
        <w:t>模型既有的四個分析構面（DAA、裁量場、規範轉換、UCPR）為骨架，系統性地從每個構面推導尚未被回答的子問題，並將</w:t>
      </w:r>
      <w:proofErr w:type="spellEnd"/>
      <w:r>
        <w:rPr>
          <w:rFonts w:eastAsia="Times New Roman"/>
        </w:rPr>
        <w:t xml:space="preserve"> 030～035 </w:t>
      </w:r>
      <w:proofErr w:type="spellStart"/>
      <w:r>
        <w:rPr>
          <w:rFonts w:eastAsia="Times New Roman"/>
        </w:rPr>
        <w:t>系列中</w:t>
      </w:r>
      <w:proofErr w:type="spellEnd"/>
      <w:r>
        <w:rPr>
          <w:rFonts w:eastAsia="Times New Roman"/>
        </w:rPr>
        <w:t xml:space="preserve"> 031、032 </w:t>
      </w:r>
      <w:proofErr w:type="spellStart"/>
      <w:r>
        <w:rPr>
          <w:rFonts w:eastAsia="Times New Roman"/>
        </w:rPr>
        <w:t>已完成之發現，以及</w:t>
      </w:r>
      <w:proofErr w:type="spellEnd"/>
      <w:r>
        <w:rPr>
          <w:rFonts w:eastAsia="Times New Roman"/>
        </w:rPr>
        <w:t xml:space="preserve"> 034、035 </w:t>
      </w:r>
      <w:proofErr w:type="spellStart"/>
      <w:r>
        <w:rPr>
          <w:rFonts w:eastAsia="Times New Roman"/>
        </w:rPr>
        <w:t>已完成之文本</w:t>
      </w:r>
      <w:r>
        <w:rPr>
          <w:rFonts w:eastAsia="Times New Roman"/>
        </w:rPr>
        <w:t>層次與操作化成果回饋進來。本文不涉及新的實證資料蒐集，亦不與外部理論文獻進行深度對話</w:t>
      </w:r>
      <w:proofErr w:type="spellEnd"/>
      <w:r>
        <w:rPr>
          <w:rFonts w:eastAsia="Times New Roman"/>
        </w:rPr>
        <w:t>。</w:t>
      </w:r>
    </w:p>
    <w:p w:rsidR="00054B3F" w:rsidRDefault="00675D53">
      <w:pPr>
        <w:spacing w:after="120" w:line="360" w:lineRule="auto"/>
      </w:pPr>
      <w:proofErr w:type="spellStart"/>
      <w:r>
        <w:rPr>
          <w:rFonts w:eastAsia="Times New Roman"/>
          <w:b/>
          <w:bCs/>
        </w:rPr>
        <w:t>主要內容：</w:t>
      </w:r>
      <w:r>
        <w:rPr>
          <w:rFonts w:eastAsia="Times New Roman"/>
        </w:rPr>
        <w:t>本文依生成、裁量、規範轉換、權威四類問題，劃分五個研究群</w:t>
      </w:r>
      <w:proofErr w:type="spellEnd"/>
      <w:r>
        <w:rPr>
          <w:rFonts w:eastAsia="Times New Roman"/>
        </w:rPr>
        <w:t>——</w:t>
      </w:r>
      <w:proofErr w:type="spellStart"/>
      <w:r>
        <w:rPr>
          <w:rFonts w:eastAsia="Times New Roman"/>
        </w:rPr>
        <w:t>行政行動的重新定義、裁量的重新定位、規範轉換、公共權威與</w:t>
      </w:r>
      <w:proofErr w:type="spellEnd"/>
      <w:r>
        <w:rPr>
          <w:rFonts w:eastAsia="Times New Roman"/>
        </w:rPr>
        <w:t xml:space="preserve"> UCPR、組織與制度——為每一研究群標示適合之研究方法，提出二十餘題具體可操作之後續研究題目，並補強三階段研究設計與五條總結性命題，作為 036 </w:t>
      </w:r>
      <w:proofErr w:type="spellStart"/>
      <w:r>
        <w:rPr>
          <w:rFonts w:eastAsia="Times New Roman"/>
        </w:rPr>
        <w:t>以後系列研究的母議程。本版並依</w:t>
      </w:r>
      <w:proofErr w:type="spellEnd"/>
      <w:r>
        <w:rPr>
          <w:rFonts w:eastAsia="Times New Roman"/>
        </w:rPr>
        <w:t xml:space="preserve"> 034、035 </w:t>
      </w:r>
      <w:proofErr w:type="spellStart"/>
      <w:r>
        <w:rPr>
          <w:rFonts w:eastAsia="Times New Roman"/>
        </w:rPr>
        <w:t>完成後之實際狀態，更新優先缺口排序與研究設計優先順序</w:t>
      </w:r>
      <w:proofErr w:type="spellEnd"/>
      <w:r>
        <w:rPr>
          <w:rFonts w:eastAsia="Times New Roman"/>
        </w:rPr>
        <w:t>。</w:t>
      </w:r>
    </w:p>
    <w:p w:rsidR="00054B3F" w:rsidRDefault="00675D53">
      <w:pPr>
        <w:spacing w:after="120" w:line="360" w:lineRule="auto"/>
      </w:pPr>
      <w:proofErr w:type="spellStart"/>
      <w:r>
        <w:rPr>
          <w:rFonts w:eastAsia="Times New Roman"/>
          <w:b/>
          <w:bCs/>
        </w:rPr>
        <w:t>貢獻與限制：</w:t>
      </w:r>
      <w:r>
        <w:rPr>
          <w:rFonts w:eastAsia="Times New Roman"/>
        </w:rPr>
        <w:t>本文的貢獻在於把</w:t>
      </w:r>
      <w:proofErr w:type="spellEnd"/>
      <w:r>
        <w:rPr>
          <w:rFonts w:eastAsia="Times New Roman"/>
        </w:rPr>
        <w:t xml:space="preserve"> GDA 模型從一</w:t>
      </w:r>
      <w:r>
        <w:rPr>
          <w:rFonts w:eastAsia="Times New Roman"/>
        </w:rPr>
        <w:t xml:space="preserve">套理論陳述，轉化為一份可供後續研究者直接使用的問題—方法配對地圖，並把「公共性在何處變化」轉譯為可觀察、可比較、可長期追蹤的研究任務。其限制在於，所列問題與方法配對均屬理論推導之產物；034、035 </w:t>
      </w:r>
      <w:proofErr w:type="spellStart"/>
      <w:r>
        <w:rPr>
          <w:rFonts w:eastAsia="Times New Roman"/>
        </w:rPr>
        <w:t>雖已完成第一輪文本層次審計與操作化工具，但其經驗性檢驗仍完全空白，優先順序亦有待後續研究進一步校準</w:t>
      </w:r>
      <w:proofErr w:type="spellEnd"/>
      <w:r>
        <w:rPr>
          <w:rFonts w:eastAsia="Times New Roman"/>
        </w:rPr>
        <w:t>。</w:t>
      </w:r>
    </w:p>
    <w:p w:rsidR="00054B3F" w:rsidRDefault="00675D53">
      <w:pPr>
        <w:spacing w:after="120" w:line="360" w:lineRule="auto"/>
      </w:pPr>
      <w:proofErr w:type="spellStart"/>
      <w:r>
        <w:rPr>
          <w:rFonts w:eastAsia="Times New Roman"/>
          <w:b/>
          <w:bCs/>
        </w:rPr>
        <w:t>關鍵詞：</w:t>
      </w:r>
      <w:r>
        <w:rPr>
          <w:rFonts w:eastAsia="Times New Roman"/>
        </w:rPr>
        <w:t>生成</w:t>
      </w:r>
      <w:proofErr w:type="spellEnd"/>
      <w:r>
        <w:rPr>
          <w:rFonts w:eastAsia="Times New Roman"/>
        </w:rPr>
        <w:t>—</w:t>
      </w:r>
      <w:proofErr w:type="spellStart"/>
      <w:r>
        <w:rPr>
          <w:rFonts w:eastAsia="Times New Roman"/>
        </w:rPr>
        <w:t>裁量</w:t>
      </w:r>
      <w:proofErr w:type="spellEnd"/>
      <w:r>
        <w:rPr>
          <w:rFonts w:eastAsia="Times New Roman"/>
        </w:rPr>
        <w:t>—</w:t>
      </w:r>
      <w:proofErr w:type="spellStart"/>
      <w:r>
        <w:rPr>
          <w:rFonts w:eastAsia="Times New Roman"/>
        </w:rPr>
        <w:t>權威模型、研究議程、議程建構法、公共行政研究方法、人工智慧治理、最終再介入能力、規範轉換、裁量空間壓縮</w:t>
      </w:r>
      <w:proofErr w:type="spellEnd"/>
    </w:p>
    <w:p w:rsidR="00054B3F" w:rsidRDefault="00675D53">
      <w:pPr>
        <w:pStyle w:val="1"/>
      </w:pPr>
      <w:r>
        <w:lastRenderedPageBreak/>
        <w:t>Abstract</w:t>
      </w:r>
    </w:p>
    <w:p w:rsidR="00054B3F" w:rsidRDefault="00675D53">
      <w:pPr>
        <w:spacing w:after="120" w:line="360" w:lineRule="auto"/>
      </w:pPr>
      <w:r>
        <w:rPr>
          <w:rFonts w:eastAsia="Times New Roman"/>
        </w:rPr>
        <w:t>This paper takes the author's prev</w:t>
      </w:r>
      <w:r>
        <w:rPr>
          <w:rFonts w:eastAsia="Times New Roman"/>
        </w:rPr>
        <w:t>iously developed GDA model (Generation–Discretion–Authority) as its starting point, but does not re-argue the model itself. Instead, it systematically maps the research agenda that follows from the model's establishment, asking: what important questions re</w:t>
      </w:r>
      <w:r>
        <w:rPr>
          <w:rFonts w:eastAsia="Times New Roman"/>
        </w:rPr>
        <w:t xml:space="preserve">main open now that GDA has been proposed? The paper further argues that the value of GDA lies not only in explaining how AI enters administration, but in redefining the unit of analysis in public administration research. Adopting an agenda-setting method, </w:t>
      </w:r>
      <w:r>
        <w:rPr>
          <w:rFonts w:eastAsia="Times New Roman"/>
        </w:rPr>
        <w:t>the paper uses GDA's four analytical facets as scaffolding, derives unanswered sub-questions, and organizes them into five research clusters with matched methods, a three-stage research design, and five condensed propositions. This calibrated version updat</w:t>
      </w:r>
      <w:r>
        <w:rPr>
          <w:rFonts w:eastAsia="Times New Roman"/>
        </w:rPr>
        <w:t xml:space="preserve">es priority gaps and research sequencing </w:t>
      </w:r>
      <w:proofErr w:type="gramStart"/>
      <w:r>
        <w:rPr>
          <w:rFonts w:eastAsia="Times New Roman"/>
        </w:rPr>
        <w:t>in light of</w:t>
      </w:r>
      <w:proofErr w:type="gramEnd"/>
      <w:r>
        <w:rPr>
          <w:rFonts w:eastAsia="Times New Roman"/>
        </w:rPr>
        <w:t xml:space="preserve"> the subsequent completion of papers 034 and 035. Its limitation is that the proposed mappings remain products of theoretical deduction; while 034 and 035 have provided first-round textual audit and opera</w:t>
      </w:r>
      <w:r>
        <w:rPr>
          <w:rFonts w:eastAsia="Times New Roman"/>
        </w:rPr>
        <w:t>tionalization tools, empirical validation remains entirely open.</w:t>
      </w:r>
    </w:p>
    <w:p w:rsidR="00054B3F" w:rsidRDefault="00675D53">
      <w:pPr>
        <w:pStyle w:val="1"/>
      </w:pPr>
      <w:proofErr w:type="spellStart"/>
      <w:r>
        <w:t>壹、緒論：AI</w:t>
      </w:r>
      <w:proofErr w:type="spellEnd"/>
      <w:r>
        <w:t xml:space="preserve"> </w:t>
      </w:r>
      <w:proofErr w:type="spellStart"/>
      <w:r>
        <w:t>不只是新增一個研究主題</w:t>
      </w:r>
      <w:proofErr w:type="spellEnd"/>
    </w:p>
    <w:p w:rsidR="00054B3F" w:rsidRDefault="00675D53">
      <w:pPr>
        <w:spacing w:after="120" w:line="360" w:lineRule="auto"/>
      </w:pPr>
      <w:r>
        <w:rPr>
          <w:rFonts w:eastAsia="Times New Roman"/>
        </w:rPr>
        <w:t>人工智慧不只是「公共行政的新工具」，而可能改變公共行政研究的基本分析單位。當一項行政結果不再能被追溯至單一機關、單一公務員的單一決定，而是由法定授權、專業判斷、演算法運算與資料基礎設施共同生成時，傳統公共行政研究習以為常的分析起點——「哪個機關做了這個決定？」——本身就需要被重新提問。這正是 GDA 模型（生成—裁量—權威）試圖回應的問題：</w:t>
      </w:r>
      <w:r>
        <w:rPr>
          <w:rFonts w:eastAsia="Times New Roman"/>
        </w:rPr>
        <w:t>行政結果如何被分散地生成（DAA）、裁量如何在技術中介的流程節點中重新配置（裁量場）、技術選擇在何種條件下實質轉化為公共規範（規範轉換），以及公共機關是否仍保有最終重新介入的能力（UCPR）。</w:t>
      </w:r>
    </w:p>
    <w:p w:rsidR="00054B3F" w:rsidRDefault="00675D53">
      <w:pPr>
        <w:pStyle w:val="2"/>
      </w:pPr>
      <w:proofErr w:type="spellStart"/>
      <w:r>
        <w:t>一、核心論點：GDA</w:t>
      </w:r>
      <w:proofErr w:type="spellEnd"/>
      <w:r>
        <w:t xml:space="preserve"> </w:t>
      </w:r>
      <w:proofErr w:type="spellStart"/>
      <w:r>
        <w:t>是四種觀察角度，不是四個時間階段</w:t>
      </w:r>
      <w:proofErr w:type="spellEnd"/>
    </w:p>
    <w:p w:rsidR="00054B3F" w:rsidRDefault="00675D53">
      <w:pPr>
        <w:spacing w:after="120" w:line="360" w:lineRule="auto"/>
      </w:pPr>
      <w:r>
        <w:rPr>
          <w:rFonts w:eastAsia="Times New Roman"/>
        </w:rPr>
        <w:t xml:space="preserve">GDA </w:t>
      </w:r>
      <w:proofErr w:type="spellStart"/>
      <w:r>
        <w:rPr>
          <w:rFonts w:eastAsia="Times New Roman"/>
        </w:rPr>
        <w:t>模型的價值，不只在於解釋</w:t>
      </w:r>
      <w:proofErr w:type="spellEnd"/>
      <w:r>
        <w:rPr>
          <w:rFonts w:eastAsia="Times New Roman"/>
        </w:rPr>
        <w:t xml:space="preserve"> AI </w:t>
      </w:r>
      <w:proofErr w:type="spellStart"/>
      <w:r>
        <w:rPr>
          <w:rFonts w:eastAsia="Times New Roman"/>
        </w:rPr>
        <w:t>如何介入行政，更在於重新界定公共行政研究的分析單位。傳統研究常問「哪個機關作成決定</w:t>
      </w:r>
      <w:proofErr w:type="spellEnd"/>
      <w:r>
        <w:rPr>
          <w:rFonts w:eastAsia="Times New Roman"/>
        </w:rPr>
        <w:t>」，</w:t>
      </w:r>
      <w:proofErr w:type="spellStart"/>
      <w:r>
        <w:rPr>
          <w:rFonts w:eastAsia="Times New Roman"/>
        </w:rPr>
        <w:t>但在</w:t>
      </w:r>
      <w:proofErr w:type="spellEnd"/>
      <w:r>
        <w:rPr>
          <w:rFonts w:eastAsia="Times New Roman"/>
        </w:rPr>
        <w:t xml:space="preserve"> AI </w:t>
      </w:r>
      <w:proofErr w:type="spellStart"/>
      <w:r>
        <w:rPr>
          <w:rFonts w:eastAsia="Times New Roman"/>
        </w:rPr>
        <w:t>行政中，更重要的問題是</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哪些行動者共同生成行政結果</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裁量在流程中的哪個節點發生</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lastRenderedPageBreak/>
        <w:t>技術設定何時轉化為公共規範</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政府是否仍具備實質重新介入的能力</w:t>
      </w:r>
      <w:proofErr w:type="spellEnd"/>
      <w:r>
        <w:rPr>
          <w:rFonts w:eastAsia="Times New Roman"/>
        </w:rPr>
        <w:t>？</w:t>
      </w:r>
    </w:p>
    <w:p w:rsidR="00054B3F" w:rsidRDefault="00675D53">
      <w:pPr>
        <w:spacing w:after="120" w:line="360" w:lineRule="auto"/>
      </w:pPr>
      <w:proofErr w:type="spellStart"/>
      <w:r>
        <w:rPr>
          <w:rFonts w:eastAsia="Times New Roman"/>
        </w:rPr>
        <w:t>因此，GDA</w:t>
      </w:r>
      <w:proofErr w:type="spellEnd"/>
      <w:r>
        <w:rPr>
          <w:rFonts w:eastAsia="Times New Roman"/>
        </w:rPr>
        <w:t xml:space="preserve"> 不宜被理解為行政程序的四個時間階段，而應視為分析同一行政行動的四種觀察角度：生成、裁量、規範轉換與公共權威。四個構面可以同時施用於同一案件，不必依時間先後排列。</w:t>
      </w:r>
    </w:p>
    <w:p w:rsidR="00054B3F" w:rsidRDefault="00675D53">
      <w:pPr>
        <w:pStyle w:val="2"/>
      </w:pPr>
      <w:proofErr w:type="spellStart"/>
      <w:r>
        <w:t>二、GDA</w:t>
      </w:r>
      <w:proofErr w:type="spellEnd"/>
      <w:r>
        <w:t xml:space="preserve"> </w:t>
      </w:r>
      <w:proofErr w:type="spellStart"/>
      <w:r>
        <w:t>模型建立之後的後設問題</w:t>
      </w:r>
      <w:proofErr w:type="spellEnd"/>
    </w:p>
    <w:p w:rsidR="00054B3F" w:rsidRDefault="00675D53">
      <w:pPr>
        <w:spacing w:after="120" w:line="360" w:lineRule="auto"/>
      </w:pPr>
      <w:r>
        <w:rPr>
          <w:rFonts w:eastAsia="Times New Roman"/>
        </w:rPr>
        <w:t xml:space="preserve">建立一套理論架構，與擁有一份可執行的研究計畫，是兩件不同的事。032 </w:t>
      </w:r>
      <w:proofErr w:type="spellStart"/>
      <w:r>
        <w:rPr>
          <w:rFonts w:eastAsia="Times New Roman"/>
        </w:rPr>
        <w:t>已經完成的工作，是把</w:t>
      </w:r>
      <w:proofErr w:type="spellEnd"/>
      <w:r>
        <w:rPr>
          <w:rFonts w:eastAsia="Times New Roman"/>
        </w:rPr>
        <w:t xml:space="preserve"> GDA </w:t>
      </w:r>
      <w:proofErr w:type="spellStart"/>
      <w:r>
        <w:rPr>
          <w:rFonts w:eastAsia="Times New Roman"/>
        </w:rPr>
        <w:t>模型放進國際</w:t>
      </w:r>
      <w:proofErr w:type="spellEnd"/>
      <w:r>
        <w:rPr>
          <w:rFonts w:eastAsia="Times New Roman"/>
        </w:rPr>
        <w:t xml:space="preserve"> AI </w:t>
      </w:r>
      <w:proofErr w:type="spellStart"/>
      <w:r>
        <w:rPr>
          <w:rFonts w:eastAsia="Times New Roman"/>
        </w:rPr>
        <w:t>與公共行政理論的學術地圖中定位；但「GDA</w:t>
      </w:r>
      <w:proofErr w:type="spellEnd"/>
      <w:r>
        <w:rPr>
          <w:rFonts w:eastAsia="Times New Roman"/>
        </w:rPr>
        <w:t xml:space="preserve"> 模型在理論光譜上站在哪裡」這個問題被回答之後，緊接著出現的後設問題是：這個模型建立起來以後，究竟能不</w:t>
      </w:r>
      <w:r>
        <w:rPr>
          <w:rFonts w:eastAsia="Times New Roman"/>
        </w:rPr>
        <w:t>能、以及如何，被轉化為一系列具體、可操作、可分工進行的研究問題？目前最明顯的缺口，不是再提出更多概念，而是將既有概念操作化並接受實證檢驗。本文的任務即在回答這個後設問題，而不是再一次論證模型本身的正確性或優越性。</w:t>
      </w:r>
    </w:p>
    <w:p w:rsidR="00054B3F" w:rsidRDefault="00675D53">
      <w:pPr>
        <w:pStyle w:val="2"/>
      </w:pPr>
      <w:proofErr w:type="spellStart"/>
      <w:r>
        <w:t>三、核心研究問題</w:t>
      </w:r>
      <w:proofErr w:type="spellEnd"/>
    </w:p>
    <w:p w:rsidR="00054B3F" w:rsidRDefault="00675D53">
      <w:pPr>
        <w:spacing w:after="120" w:line="360" w:lineRule="auto"/>
      </w:pPr>
      <w:proofErr w:type="spellStart"/>
      <w:r>
        <w:rPr>
          <w:rFonts w:eastAsia="Times New Roman"/>
        </w:rPr>
        <w:t>本文將整體提問收斂為以下六項核心研究問題，全文各章之分析均以此六項問題為主軸</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 xml:space="preserve">RQ1　AI </w:t>
      </w:r>
      <w:proofErr w:type="spellStart"/>
      <w:r>
        <w:rPr>
          <w:rFonts w:eastAsia="Times New Roman"/>
        </w:rPr>
        <w:t>介入公共行政後，哪些傳統行政研究問題需要重新提出</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 xml:space="preserve">RQ2　依 GDA </w:t>
      </w:r>
      <w:proofErr w:type="spellStart"/>
      <w:r>
        <w:rPr>
          <w:rFonts w:eastAsia="Times New Roman"/>
        </w:rPr>
        <w:t>模型的四個分析構面，可以產生哪些新的研究問題</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 xml:space="preserve">RQ3　</w:t>
      </w:r>
      <w:proofErr w:type="spellStart"/>
      <w:r>
        <w:rPr>
          <w:rFonts w:eastAsia="Times New Roman"/>
        </w:rPr>
        <w:t>哪些問題適合以個案研究處理</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 xml:space="preserve">RQ4　</w:t>
      </w:r>
      <w:proofErr w:type="spellStart"/>
      <w:r>
        <w:rPr>
          <w:rFonts w:eastAsia="Times New Roman"/>
        </w:rPr>
        <w:t>哪些問題適合以比較研究處理</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 xml:space="preserve">RQ5　</w:t>
      </w:r>
      <w:proofErr w:type="spellStart"/>
      <w:r>
        <w:rPr>
          <w:rFonts w:eastAsia="Times New Roman"/>
        </w:rPr>
        <w:t>哪些問題可以被量化</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 xml:space="preserve">RQ6　</w:t>
      </w:r>
      <w:proofErr w:type="spellStart"/>
      <w:r>
        <w:rPr>
          <w:rFonts w:eastAsia="Times New Roman"/>
        </w:rPr>
        <w:t>哪些問題涉及行政法與規範理論，須以法律分析處理</w:t>
      </w:r>
      <w:proofErr w:type="spellEnd"/>
      <w:r>
        <w:rPr>
          <w:rFonts w:eastAsia="Times New Roman"/>
        </w:rPr>
        <w:t>？</w:t>
      </w:r>
    </w:p>
    <w:p w:rsidR="00054B3F" w:rsidRDefault="00675D53">
      <w:pPr>
        <w:pStyle w:val="2"/>
      </w:pPr>
      <w:proofErr w:type="spellStart"/>
      <w:r>
        <w:t>四、本文之研究方法：議程建構法</w:t>
      </w:r>
      <w:proofErr w:type="spellEnd"/>
    </w:p>
    <w:p w:rsidR="00054B3F" w:rsidRDefault="00675D53">
      <w:pPr>
        <w:spacing w:after="120" w:line="360" w:lineRule="auto"/>
      </w:pPr>
      <w:proofErr w:type="spellStart"/>
      <w:r>
        <w:rPr>
          <w:rFonts w:eastAsia="Times New Roman"/>
        </w:rPr>
        <w:t>本文採取議程建構法（agenda-setting</w:t>
      </w:r>
      <w:proofErr w:type="spellEnd"/>
      <w:r>
        <w:rPr>
          <w:rFonts w:eastAsia="Times New Roman"/>
        </w:rPr>
        <w:t xml:space="preserve"> </w:t>
      </w:r>
      <w:r>
        <w:rPr>
          <w:rFonts w:eastAsia="Times New Roman"/>
        </w:rPr>
        <w:lastRenderedPageBreak/>
        <w:t>method），</w:t>
      </w:r>
      <w:proofErr w:type="spellStart"/>
      <w:r>
        <w:rPr>
          <w:rFonts w:eastAsia="Times New Roman"/>
        </w:rPr>
        <w:t>而非單一實證研究方法，具體步驟有四。其一，以</w:t>
      </w:r>
      <w:proofErr w:type="spellEnd"/>
      <w:r>
        <w:rPr>
          <w:rFonts w:eastAsia="Times New Roman"/>
        </w:rPr>
        <w:t xml:space="preserve"> GDA </w:t>
      </w:r>
      <w:proofErr w:type="spellStart"/>
      <w:r>
        <w:rPr>
          <w:rFonts w:eastAsia="Times New Roman"/>
        </w:rPr>
        <w:t>模型的四個分析構面（DAA、裁量場、規範轉換、UCPR）為骨架，系統性地從每個構面推導尚未被回答的子問題。其二，將</w:t>
      </w:r>
      <w:proofErr w:type="spellEnd"/>
      <w:r>
        <w:rPr>
          <w:rFonts w:eastAsia="Times New Roman"/>
        </w:rPr>
        <w:t xml:space="preserve"> 031、032 </w:t>
      </w:r>
      <w:proofErr w:type="spellStart"/>
      <w:r>
        <w:rPr>
          <w:rFonts w:eastAsia="Times New Roman"/>
        </w:rPr>
        <w:t>完成後的實際發現，以及</w:t>
      </w:r>
      <w:proofErr w:type="spellEnd"/>
      <w:r>
        <w:rPr>
          <w:rFonts w:eastAsia="Times New Roman"/>
        </w:rPr>
        <w:t xml:space="preserve"> 034、035 已完成之文本層次審計與操作化工具回饋進來，確認哪些問題已有第一</w:t>
      </w:r>
      <w:r>
        <w:rPr>
          <w:rFonts w:eastAsia="Times New Roman"/>
        </w:rPr>
        <w:t xml:space="preserve">輪工具、哪些仍是空白。其三，針對每一類研究問題，明確標示適合的方法論，使本文的產出不只是問題清單，而是「問題—方法」的配對地圖。其四，以條列形式產出具體可操作的後續研究題目，並補上三階段研究設計與五條總結性命題，作為 036 </w:t>
      </w:r>
      <w:proofErr w:type="spellStart"/>
      <w:r>
        <w:rPr>
          <w:rFonts w:eastAsia="Times New Roman"/>
        </w:rPr>
        <w:t>以後系列研究的母議程</w:t>
      </w:r>
      <w:proofErr w:type="spellEnd"/>
      <w:r>
        <w:rPr>
          <w:rFonts w:eastAsia="Times New Roman"/>
        </w:rPr>
        <w:t>。</w:t>
      </w:r>
    </w:p>
    <w:p w:rsidR="00054B3F" w:rsidRDefault="00675D53">
      <w:pPr>
        <w:pStyle w:val="2"/>
      </w:pPr>
      <w:proofErr w:type="spellStart"/>
      <w:r>
        <w:t>五、與</w:t>
      </w:r>
      <w:proofErr w:type="spellEnd"/>
      <w:r>
        <w:t xml:space="preserve"> 032 </w:t>
      </w:r>
      <w:proofErr w:type="spellStart"/>
      <w:r>
        <w:t>的分工及閱讀提醒</w:t>
      </w:r>
      <w:proofErr w:type="spellEnd"/>
    </w:p>
    <w:p w:rsidR="00054B3F" w:rsidRDefault="00675D53">
      <w:pPr>
        <w:spacing w:after="120" w:line="360" w:lineRule="auto"/>
      </w:pPr>
      <w:proofErr w:type="spellStart"/>
      <w:r>
        <w:rPr>
          <w:rFonts w:eastAsia="Times New Roman"/>
        </w:rPr>
        <w:t>本文與</w:t>
      </w:r>
      <w:proofErr w:type="spellEnd"/>
      <w:r>
        <w:rPr>
          <w:rFonts w:eastAsia="Times New Roman"/>
        </w:rPr>
        <w:t xml:space="preserve"> 032 </w:t>
      </w:r>
      <w:proofErr w:type="spellStart"/>
      <w:r>
        <w:rPr>
          <w:rFonts w:eastAsia="Times New Roman"/>
        </w:rPr>
        <w:t>的邊界：欲回答「GDA</w:t>
      </w:r>
      <w:proofErr w:type="spellEnd"/>
      <w:r>
        <w:rPr>
          <w:rFonts w:eastAsia="Times New Roman"/>
        </w:rPr>
        <w:t xml:space="preserve"> </w:t>
      </w:r>
      <w:proofErr w:type="spellStart"/>
      <w:r>
        <w:rPr>
          <w:rFonts w:eastAsia="Times New Roman"/>
        </w:rPr>
        <w:t>模型與既有文獻有何異同</w:t>
      </w:r>
      <w:proofErr w:type="spellEnd"/>
      <w:r>
        <w:rPr>
          <w:rFonts w:eastAsia="Times New Roman"/>
        </w:rPr>
        <w:t>」，</w:t>
      </w:r>
      <w:proofErr w:type="spellStart"/>
      <w:r>
        <w:rPr>
          <w:rFonts w:eastAsia="Times New Roman"/>
        </w:rPr>
        <w:t>請參照</w:t>
      </w:r>
      <w:proofErr w:type="spellEnd"/>
      <w:r>
        <w:rPr>
          <w:rFonts w:eastAsia="Times New Roman"/>
        </w:rPr>
        <w:t xml:space="preserve"> 032；欲回答「GDA 模型之下還可以做哪些具體研究」，則屬本文範圍。承前所述，本文不提出任何新的實證發現或理論比較結論，所列問題性質上皆為「研究機會」而</w:t>
      </w:r>
      <w:r>
        <w:rPr>
          <w:rFonts w:eastAsia="Times New Roman"/>
        </w:rPr>
        <w:t xml:space="preserve">非「研究發現」——凡已有 031、032 </w:t>
      </w:r>
      <w:proofErr w:type="spellStart"/>
      <w:r>
        <w:rPr>
          <w:rFonts w:eastAsia="Times New Roman"/>
        </w:rPr>
        <w:t>初步基礎者，本文標示其現況與限制；凡已有</w:t>
      </w:r>
      <w:proofErr w:type="spellEnd"/>
      <w:r>
        <w:rPr>
          <w:rFonts w:eastAsia="Times New Roman"/>
        </w:rPr>
        <w:t xml:space="preserve"> 034、035 第一輪文本層次或操作化成果者，本文標示其已完成之層次與仍存之空白；凡系列尚無專篇處理者（如第五研究群的長期組織追蹤），本文亦如實標示，不逕行假定已獲解答。</w:t>
      </w:r>
    </w:p>
    <w:p w:rsidR="00054B3F" w:rsidRDefault="00675D53">
      <w:pPr>
        <w:pStyle w:val="2"/>
      </w:pPr>
      <w:r>
        <w:t xml:space="preserve">六、034、035 </w:t>
      </w:r>
      <w:proofErr w:type="spellStart"/>
      <w:r>
        <w:t>完成後的議程校準</w:t>
      </w:r>
      <w:proofErr w:type="spellEnd"/>
    </w:p>
    <w:p w:rsidR="00054B3F" w:rsidRDefault="00675D53">
      <w:pPr>
        <w:spacing w:after="120" w:line="360" w:lineRule="auto"/>
      </w:pPr>
      <w:r>
        <w:rPr>
          <w:rFonts w:eastAsia="Times New Roman"/>
        </w:rPr>
        <w:t xml:space="preserve">本文完稿時，034 與 035 </w:t>
      </w:r>
      <w:proofErr w:type="spellStart"/>
      <w:r>
        <w:rPr>
          <w:rFonts w:eastAsia="Times New Roman"/>
        </w:rPr>
        <w:t>僅完成研究計畫大綱。兩文其後均已實際撰寫完成，因此有必要在此對議程現況做一次校準，避免讀者誤以為相關問題仍完全空白</w:t>
      </w:r>
      <w:proofErr w:type="spellEnd"/>
      <w:r>
        <w:rPr>
          <w:rFonts w:eastAsia="Times New Roman"/>
        </w:rPr>
        <w:t>。</w:t>
      </w:r>
    </w:p>
    <w:p w:rsidR="00054B3F" w:rsidRDefault="00675D53">
      <w:pPr>
        <w:spacing w:after="120" w:line="360" w:lineRule="auto"/>
      </w:pPr>
      <w:r>
        <w:rPr>
          <w:rFonts w:eastAsia="Times New Roman"/>
        </w:rPr>
        <w:t>035 已將規範轉換的四項條件（價值、理由、例外、責任）從描述性複合</w:t>
      </w:r>
      <w:r>
        <w:rPr>
          <w:rFonts w:eastAsia="Times New Roman"/>
        </w:rPr>
        <w:t xml:space="preserve">判準，轉化為可操作的判準：價值條件定為門檻，理由、例外、責任三項定為安全閥；並提出規範轉換強度矩陣、四條邊界規則、五步編碼程序，以及可直接轉譯為法律文本審查問題的清單。換言之，第三研究群中「四條件如何組合判定」「技術選擇於何種強度下應被視為已轉化為公共規範」等問題（對應本文問題 </w:t>
      </w:r>
      <w:r>
        <w:rPr>
          <w:rFonts w:eastAsia="Times New Roman"/>
        </w:rPr>
        <w:lastRenderedPageBreak/>
        <w:t>11、12），已具備第一輪理論操作化工具。其限制仍在於：低／中／高三級指標的判定邊界、安全閥「名目存在但從未行使」的空轉情形，均尚未經任何個案資料實際檢驗。</w:t>
      </w:r>
    </w:p>
    <w:p w:rsidR="00054B3F" w:rsidRDefault="00675D53">
      <w:pPr>
        <w:spacing w:after="120" w:line="360" w:lineRule="auto"/>
      </w:pPr>
      <w:r>
        <w:rPr>
          <w:rFonts w:eastAsia="Times New Roman"/>
        </w:rPr>
        <w:t xml:space="preserve">034 </w:t>
      </w:r>
      <w:proofErr w:type="spellStart"/>
      <w:r>
        <w:rPr>
          <w:rFonts w:eastAsia="Times New Roman"/>
        </w:rPr>
        <w:t>已以</w:t>
      </w:r>
      <w:proofErr w:type="spellEnd"/>
      <w:r>
        <w:rPr>
          <w:rFonts w:eastAsia="Times New Roman"/>
        </w:rPr>
        <w:t xml:space="preserve"> UCPR 三種能力（認知、決策、課責）為固定量尺，逐條審計臺</w:t>
      </w:r>
      <w:r>
        <w:rPr>
          <w:rFonts w:eastAsia="Times New Roman"/>
        </w:rPr>
        <w:t xml:space="preserve">灣人工智慧基本法、歐盟人工智慧法、加拿大自動化決策指令三份現行文本，並新增「法律位階」作為比較軸；同時區分「形式再介入權限」與「規範性實質能力」，提出七項臺灣制度缺口（暫時性與結構性）。第四研究群中「三制度 UCPR </w:t>
      </w:r>
      <w:proofErr w:type="spellStart"/>
      <w:r>
        <w:rPr>
          <w:rFonts w:eastAsia="Times New Roman"/>
        </w:rPr>
        <w:t>涵蓋程度差異</w:t>
      </w:r>
      <w:proofErr w:type="spellEnd"/>
      <w:r>
        <w:rPr>
          <w:rFonts w:eastAsia="Times New Roman"/>
        </w:rPr>
        <w:t>」「</w:t>
      </w:r>
      <w:proofErr w:type="spellStart"/>
      <w:r>
        <w:rPr>
          <w:rFonts w:eastAsia="Times New Roman"/>
        </w:rPr>
        <w:t>形式權限與實質能力落差如何在文本層次呈現」等問題（對應本文問題</w:t>
      </w:r>
      <w:proofErr w:type="spellEnd"/>
      <w:r>
        <w:rPr>
          <w:rFonts w:eastAsia="Times New Roman"/>
        </w:rPr>
        <w:t xml:space="preserve"> 15、16），已完成第一輪文本層次審計。其限制同樣明確：本文僅審計法律文本，未涉及實際執行資料；「經驗性實質能力」（機關是否真正行使權限）仍完全空白。</w:t>
      </w:r>
    </w:p>
    <w:p w:rsidR="00054B3F" w:rsidRDefault="00675D53">
      <w:pPr>
        <w:spacing w:after="120" w:line="360" w:lineRule="auto"/>
      </w:pPr>
      <w:proofErr w:type="spellStart"/>
      <w:r>
        <w:rPr>
          <w:rFonts w:eastAsia="Times New Roman"/>
        </w:rPr>
        <w:t>因此，本議程在</w:t>
      </w:r>
      <w:proofErr w:type="spellEnd"/>
      <w:r>
        <w:rPr>
          <w:rFonts w:eastAsia="Times New Roman"/>
        </w:rPr>
        <w:t xml:space="preserve"> 034、035 </w:t>
      </w:r>
      <w:proofErr w:type="spellStart"/>
      <w:r>
        <w:rPr>
          <w:rFonts w:eastAsia="Times New Roman"/>
        </w:rPr>
        <w:t>完成後的狀態可簡要更新為</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規</w:t>
      </w:r>
      <w:r>
        <w:rPr>
          <w:rFonts w:eastAsia="Times New Roman"/>
        </w:rPr>
        <w:t>範轉換的操作化工具已具備（035），</w:t>
      </w:r>
      <w:proofErr w:type="spellStart"/>
      <w:r>
        <w:rPr>
          <w:rFonts w:eastAsia="Times New Roman"/>
        </w:rPr>
        <w:t>後續重點轉為跨案例應用與邊界規則的經驗修正</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UCPR 的文本層次比較已完成（034），後續重點轉為經驗性實質能力的測量，以及契約、組織、人力條件如何決定「有權限」能否轉化為「有能力」。</w:t>
      </w:r>
    </w:p>
    <w:p w:rsidR="00054B3F" w:rsidRDefault="00675D53">
      <w:pPr>
        <w:pStyle w:val="a4"/>
        <w:numPr>
          <w:ilvl w:val="0"/>
          <w:numId w:val="2"/>
        </w:numPr>
        <w:spacing w:after="80" w:line="360" w:lineRule="auto"/>
      </w:pPr>
      <w:proofErr w:type="spellStart"/>
      <w:r>
        <w:rPr>
          <w:rFonts w:eastAsia="Times New Roman"/>
        </w:rPr>
        <w:t>第二研究群的</w:t>
      </w:r>
      <w:proofErr w:type="spellEnd"/>
      <w:r>
        <w:rPr>
          <w:rFonts w:eastAsia="Times New Roman"/>
        </w:rPr>
        <w:t xml:space="preserve"> SDC </w:t>
      </w:r>
      <w:proofErr w:type="spellStart"/>
      <w:r>
        <w:rPr>
          <w:rFonts w:eastAsia="Times New Roman"/>
        </w:rPr>
        <w:t>可觀察指標、第五研究群的長期組織追蹤，以及「安全閥空轉」的經驗檢驗，仍是目前最缺乏系列內專篇處理的空白</w:t>
      </w:r>
      <w:proofErr w:type="spellEnd"/>
      <w:r>
        <w:rPr>
          <w:rFonts w:eastAsia="Times New Roman"/>
        </w:rPr>
        <w:t>。</w:t>
      </w:r>
    </w:p>
    <w:p w:rsidR="00054B3F" w:rsidRDefault="00675D53">
      <w:pPr>
        <w:spacing w:after="120" w:line="360" w:lineRule="auto"/>
      </w:pPr>
      <w:proofErr w:type="spellStart"/>
      <w:r>
        <w:rPr>
          <w:rFonts w:eastAsia="Times New Roman"/>
        </w:rPr>
        <w:t>本校准不改變議程的開放性，也不宣稱</w:t>
      </w:r>
      <w:proofErr w:type="spellEnd"/>
      <w:r>
        <w:rPr>
          <w:rFonts w:eastAsia="Times New Roman"/>
        </w:rPr>
        <w:t xml:space="preserve"> 034、035 </w:t>
      </w:r>
      <w:proofErr w:type="spellStart"/>
      <w:r>
        <w:rPr>
          <w:rFonts w:eastAsia="Times New Roman"/>
        </w:rPr>
        <w:t>已「解決」相關問題；它只是把「哪些問題已有第一輪工具與文本層次發現、哪些仍完全空白」說清楚，使後續研究能更精</w:t>
      </w:r>
      <w:r>
        <w:rPr>
          <w:rFonts w:eastAsia="Times New Roman"/>
        </w:rPr>
        <w:t>準地接續</w:t>
      </w:r>
      <w:proofErr w:type="spellEnd"/>
      <w:r>
        <w:rPr>
          <w:rFonts w:eastAsia="Times New Roman"/>
        </w:rPr>
        <w:t>。</w:t>
      </w:r>
    </w:p>
    <w:p w:rsidR="00054B3F" w:rsidRDefault="00675D53">
      <w:pPr>
        <w:pStyle w:val="1"/>
      </w:pPr>
      <w:proofErr w:type="spellStart"/>
      <w:r>
        <w:t>貳、從</w:t>
      </w:r>
      <w:proofErr w:type="spellEnd"/>
      <w:r>
        <w:t xml:space="preserve"> GDA </w:t>
      </w:r>
      <w:proofErr w:type="spellStart"/>
      <w:r>
        <w:t>模型建立新的問題分類</w:t>
      </w:r>
      <w:proofErr w:type="spellEnd"/>
    </w:p>
    <w:p w:rsidR="00054B3F" w:rsidRDefault="00675D53">
      <w:pPr>
        <w:spacing w:after="120" w:line="360" w:lineRule="auto"/>
      </w:pPr>
      <w:proofErr w:type="spellStart"/>
      <w:r>
        <w:rPr>
          <w:rFonts w:eastAsia="Times New Roman"/>
        </w:rPr>
        <w:t>承前所述，GDA</w:t>
      </w:r>
      <w:proofErr w:type="spellEnd"/>
      <w:r>
        <w:rPr>
          <w:rFonts w:eastAsia="Times New Roman"/>
        </w:rPr>
        <w:t xml:space="preserve"> </w:t>
      </w:r>
      <w:proofErr w:type="spellStart"/>
      <w:r>
        <w:rPr>
          <w:rFonts w:eastAsia="Times New Roman"/>
        </w:rPr>
        <w:t>的四個構面分屬四類性質不同的研究問題：DAA</w:t>
      </w:r>
      <w:proofErr w:type="spellEnd"/>
      <w:r>
        <w:rPr>
          <w:rFonts w:eastAsia="Times New Roman"/>
        </w:rPr>
        <w:t xml:space="preserve"> 描述行政結果由哪些行動者共同生成，屬構成層次的提問；裁量場描述裁量如何在既定流程節點中展開，屬結構節點的提問；規範轉換描述技術選擇在何種條件下已實質</w:t>
      </w:r>
      <w:r>
        <w:rPr>
          <w:rFonts w:eastAsia="Times New Roman"/>
        </w:rPr>
        <w:lastRenderedPageBreak/>
        <w:t xml:space="preserve">轉化為公共規範，屬風險診斷的提問；UCPR </w:t>
      </w:r>
      <w:proofErr w:type="spellStart"/>
      <w:r>
        <w:rPr>
          <w:rFonts w:eastAsia="Times New Roman"/>
        </w:rPr>
        <w:t>描述公共權威應保有何種最終再介入能力，屬規範評估的提問。四個構面對應到四類性質不同的研究問題，以下逐一展開</w:t>
      </w:r>
      <w:proofErr w:type="spellEnd"/>
      <w:r>
        <w:rPr>
          <w:rFonts w:eastAsia="Times New Roman"/>
        </w:rPr>
        <w:t>。</w:t>
      </w:r>
    </w:p>
    <w:p w:rsidR="00054B3F" w:rsidRDefault="00675D53">
      <w:pPr>
        <w:pStyle w:val="2"/>
      </w:pPr>
      <w:proofErr w:type="spellStart"/>
      <w:r>
        <w:t>一、生成問題：誰／什麼共同生成行政結果</w:t>
      </w:r>
      <w:proofErr w:type="spellEnd"/>
      <w:r>
        <w:t>？</w:t>
      </w:r>
    </w:p>
    <w:p w:rsidR="00054B3F" w:rsidRDefault="00675D53">
      <w:pPr>
        <w:spacing w:after="120" w:line="360" w:lineRule="auto"/>
      </w:pPr>
      <w:r>
        <w:rPr>
          <w:rFonts w:eastAsia="Times New Roman"/>
        </w:rPr>
        <w:t xml:space="preserve">生成問題追問的是行政行動的「主體」邊界——當計算性作用者與結構性作用者被納入分析之後，法定行動者與判斷行動者是否仍能單獨解釋行政結果？031 </w:t>
      </w:r>
      <w:proofErr w:type="spellStart"/>
      <w:r>
        <w:rPr>
          <w:rFonts w:eastAsia="Times New Roman"/>
        </w:rPr>
        <w:t>對電子圍籬個案的初步檢視顯示，DAA</w:t>
      </w:r>
      <w:proofErr w:type="spellEnd"/>
      <w:r>
        <w:rPr>
          <w:rFonts w:eastAsia="Times New Roman"/>
        </w:rPr>
        <w:t xml:space="preserve"> 四層構成在該案中均可找到對應的文件材料，但對應程度僅達「中」：計算性作用者（定位比對演算法）之技術效果與行政效果均可確認，其是否構成法律意義上的裁量，現有文件仍無法回答，僅能標記為【U】。這正是生成問題尚待深化之處：技術效果、行政效果與法律裁量之間的界線，目前仍缺乏跨案例的系統性判準。</w:t>
      </w:r>
    </w:p>
    <w:p w:rsidR="00054B3F" w:rsidRDefault="00675D53">
      <w:pPr>
        <w:pStyle w:val="2"/>
      </w:pPr>
      <w:proofErr w:type="spellStart"/>
      <w:r>
        <w:t>二、裁量問題：裁量究竟配置在哪裡</w:t>
      </w:r>
      <w:proofErr w:type="spellEnd"/>
      <w:r>
        <w:t>？</w:t>
      </w:r>
    </w:p>
    <w:p w:rsidR="00054B3F" w:rsidRDefault="00675D53">
      <w:pPr>
        <w:spacing w:after="120" w:line="360" w:lineRule="auto"/>
      </w:pPr>
      <w:r>
        <w:rPr>
          <w:rFonts w:eastAsia="Times New Roman"/>
        </w:rPr>
        <w:t>裁量問題</w:t>
      </w:r>
      <w:r>
        <w:rPr>
          <w:rFonts w:eastAsia="Times New Roman"/>
        </w:rPr>
        <w:t xml:space="preserve">追問的是，當裁量不再集中於單一決定時點，而是分散展開於前置配置、模型轉譯、介面引導、人類覆核四個節點時，每個節點的實質裁量空間應如何觀察與測量？032 </w:t>
      </w:r>
      <w:proofErr w:type="spellStart"/>
      <w:r>
        <w:rPr>
          <w:rFonts w:eastAsia="Times New Roman"/>
        </w:rPr>
        <w:t>已將這個問題進一步轉化為</w:t>
      </w:r>
      <w:proofErr w:type="spellEnd"/>
      <w:r>
        <w:rPr>
          <w:rFonts w:eastAsia="Times New Roman"/>
        </w:rPr>
        <w:t xml:space="preserve"> P1、P2 </w:t>
      </w:r>
      <w:proofErr w:type="spellStart"/>
      <w:r>
        <w:rPr>
          <w:rFonts w:eastAsia="Times New Roman"/>
        </w:rPr>
        <w:t>兩條可檢驗的理論命題（生成分散命題、裁量轉移命題</w:t>
      </w:r>
      <w:proofErr w:type="spellEnd"/>
      <w:r>
        <w:rPr>
          <w:rFonts w:eastAsia="Times New Roman"/>
        </w:rPr>
        <w:t>），</w:t>
      </w:r>
      <w:proofErr w:type="spellStart"/>
      <w:r>
        <w:rPr>
          <w:rFonts w:eastAsia="Times New Roman"/>
        </w:rPr>
        <w:t>並提出</w:t>
      </w:r>
      <w:proofErr w:type="spellEnd"/>
      <w:r>
        <w:rPr>
          <w:rFonts w:eastAsia="Times New Roman"/>
        </w:rPr>
        <w:t xml:space="preserve"> DAA 構成與裁量場節點的交叉矩陣作為分析工具；但矩陣本身尚未實際用於編碼任何個案，031 也僅能確認前三個節點有直接文件記載，人類覆核節點的實質審查空間現有文件均未記載，僅能以結構性條件間接推論「裁量空間壓縮」（SDC）是否成立，尚不能視為已證實的因果命題。</w:t>
      </w:r>
    </w:p>
    <w:p w:rsidR="00054B3F" w:rsidRDefault="00675D53">
      <w:pPr>
        <w:pStyle w:val="2"/>
      </w:pPr>
      <w:proofErr w:type="spellStart"/>
      <w:r>
        <w:t>三、規範轉換問題：什麼時候技術選擇開始具有規範效果</w:t>
      </w:r>
      <w:proofErr w:type="spellEnd"/>
      <w:r>
        <w:t>？</w:t>
      </w:r>
    </w:p>
    <w:p w:rsidR="00054B3F" w:rsidRDefault="00675D53">
      <w:pPr>
        <w:spacing w:after="120" w:line="360" w:lineRule="auto"/>
      </w:pPr>
      <w:r>
        <w:rPr>
          <w:rFonts w:eastAsia="Times New Roman"/>
        </w:rPr>
        <w:t xml:space="preserve">規範轉換問題追問的是，資料選擇、風險門檻、排序邏輯、預設值、模型權重、系統警示這些表面上屬於技術範疇的選擇，在何種條件下已經開始分配公共利益、需要公共理由、限縮個案例外、造成責任配置問題，因而應被當作行政政策而非單純技術問題來審視？GDA 模型已提出價值、理由、例外、責任四項條件同時出現疑義時，即有理由懷疑實質外部化的複合判準。035 </w:t>
      </w:r>
      <w:r>
        <w:rPr>
          <w:rFonts w:eastAsia="Times New Roman"/>
        </w:rPr>
        <w:lastRenderedPageBreak/>
        <w:t>已將此四項條件從描述性複合判準轉化為可操作的判準（價值條件為門檻，其餘三項為安全閥），並提出強度矩陣與編碼程序；但低／中</w:t>
      </w:r>
      <w:r>
        <w:rPr>
          <w:rFonts w:eastAsia="Times New Roman"/>
        </w:rPr>
        <w:t>／高三級指標的判定邊界與「安全閥空轉」情形，仍尚未經任何個案資料實際檢驗。</w:t>
      </w:r>
    </w:p>
    <w:p w:rsidR="00054B3F" w:rsidRDefault="00675D53">
      <w:pPr>
        <w:pStyle w:val="2"/>
      </w:pPr>
      <w:proofErr w:type="spellStart"/>
      <w:r>
        <w:t>四、權威問題：公共機關還能不能重新介入</w:t>
      </w:r>
      <w:proofErr w:type="spellEnd"/>
      <w:r>
        <w:t>？</w:t>
      </w:r>
    </w:p>
    <w:p w:rsidR="00054B3F" w:rsidRDefault="00675D53">
      <w:pPr>
        <w:spacing w:after="120" w:line="360" w:lineRule="auto"/>
      </w:pPr>
      <w:r>
        <w:rPr>
          <w:rFonts w:eastAsia="Times New Roman"/>
        </w:rPr>
        <w:t xml:space="preserve">權威問題追問的是，即便行政結果的生成與裁量的配置都已高度技術中介，公共機關是否仍保有認知性、決策性、課責性三面向的最終再介入能力？031 </w:t>
      </w:r>
      <w:proofErr w:type="spellStart"/>
      <w:r>
        <w:rPr>
          <w:rFonts w:eastAsia="Times New Roman"/>
        </w:rPr>
        <w:t>顯示，電子圍籬個案在</w:t>
      </w:r>
      <w:proofErr w:type="spellEnd"/>
      <w:r>
        <w:rPr>
          <w:rFonts w:eastAsia="Times New Roman"/>
        </w:rPr>
        <w:t xml:space="preserve"> UCPR </w:t>
      </w:r>
      <w:proofErr w:type="spellStart"/>
      <w:r>
        <w:rPr>
          <w:rFonts w:eastAsia="Times New Roman"/>
        </w:rPr>
        <w:t>三面向均能找到對應的文件線索，但對應程度僅達「中至低</w:t>
      </w:r>
      <w:proofErr w:type="spellEnd"/>
      <w:r>
        <w:rPr>
          <w:rFonts w:eastAsia="Times New Roman"/>
        </w:rPr>
        <w:t xml:space="preserve">」。032 </w:t>
      </w:r>
      <w:proofErr w:type="spellStart"/>
      <w:r>
        <w:rPr>
          <w:rFonts w:eastAsia="Times New Roman"/>
        </w:rPr>
        <w:t>進一步將</w:t>
      </w:r>
      <w:proofErr w:type="spellEnd"/>
      <w:r>
        <w:rPr>
          <w:rFonts w:eastAsia="Times New Roman"/>
        </w:rPr>
        <w:t xml:space="preserve"> UCPR 三種能力重新定位為「構成性能力」而非可加總的量表分項。034 已以三種能力為固定量尺，完成臺灣、歐盟、加拿大三制度的第一輪文本層次審計，並區</w:t>
      </w:r>
      <w:r>
        <w:rPr>
          <w:rFonts w:eastAsia="Times New Roman"/>
        </w:rPr>
        <w:t>分形式再介入權限與規範性實質能力；但「經驗性實質能力」（機關是否真正行使權限）仍完全空白。</w:t>
      </w:r>
    </w:p>
    <w:p w:rsidR="00054B3F" w:rsidRDefault="00675D53">
      <w:pPr>
        <w:spacing w:before="200" w:after="80"/>
      </w:pPr>
      <w:r>
        <w:rPr>
          <w:rFonts w:eastAsia="Times New Roman"/>
          <w:b/>
          <w:bCs/>
          <w:sz w:val="22"/>
          <w:szCs w:val="22"/>
        </w:rPr>
        <w:t xml:space="preserve">表 1　GDA </w:t>
      </w:r>
      <w:proofErr w:type="spellStart"/>
      <w:r>
        <w:rPr>
          <w:rFonts w:eastAsia="Times New Roman"/>
          <w:b/>
          <w:bCs/>
          <w:sz w:val="22"/>
          <w:szCs w:val="22"/>
        </w:rPr>
        <w:t>四類問題與其對應構面、代表性子問題</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0"/>
        <w:gridCol w:w="961"/>
        <w:gridCol w:w="11960"/>
      </w:tblGrid>
      <w:tr w:rsidR="00054B3F">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問題類型</w:t>
            </w:r>
            <w:proofErr w:type="spellEnd"/>
          </w:p>
        </w:tc>
        <w:tc>
          <w:tcPr>
            <w:tcW w:w="16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對應構面</w:t>
            </w:r>
            <w:proofErr w:type="spellEnd"/>
          </w:p>
        </w:tc>
        <w:tc>
          <w:tcPr>
            <w:tcW w:w="5626"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代表性子問題</w:t>
            </w:r>
            <w:proofErr w:type="spellEnd"/>
          </w:p>
        </w:tc>
      </w:tr>
      <w:tr w:rsidR="00054B3F">
        <w:tblPrEx>
          <w:tblCellMar>
            <w:top w:w="0" w:type="dxa"/>
            <w:bottom w:w="0" w:type="dxa"/>
          </w:tblCellMar>
        </w:tblPrEx>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生成問題</w:t>
            </w:r>
            <w:proofErr w:type="spellEnd"/>
          </w:p>
        </w:tc>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DAA</w:t>
            </w:r>
          </w:p>
        </w:tc>
        <w:tc>
          <w:tcPr>
            <w:tcW w:w="56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計算性作用者、結構性作用者是否應被納入行政行動主體的正式構成要素？技術效果、行政效果與法律裁量三層之間的界線如何判定</w:t>
            </w:r>
            <w:proofErr w:type="spellEnd"/>
            <w:r>
              <w:rPr>
                <w:rFonts w:eastAsia="Times New Roman"/>
                <w:sz w:val="20"/>
                <w:szCs w:val="20"/>
              </w:rPr>
              <w:t>？</w:t>
            </w:r>
          </w:p>
        </w:tc>
      </w:tr>
      <w:tr w:rsidR="00054B3F">
        <w:tblPrEx>
          <w:tblCellMar>
            <w:top w:w="0" w:type="dxa"/>
            <w:bottom w:w="0" w:type="dxa"/>
          </w:tblCellMar>
        </w:tblPrEx>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裁量問題</w:t>
            </w:r>
            <w:proofErr w:type="spellEnd"/>
          </w:p>
        </w:tc>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裁量場</w:t>
            </w:r>
            <w:proofErr w:type="spellEnd"/>
          </w:p>
        </w:tc>
        <w:tc>
          <w:tcPr>
            <w:tcW w:w="56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人類覆核節點的實質審查空間如何測量？裁量空間壓縮（SDC）是否可跨案例、甚至跨司法審查階段成立</w:t>
            </w:r>
            <w:proofErr w:type="spellEnd"/>
            <w:r>
              <w:rPr>
                <w:rFonts w:eastAsia="Times New Roman"/>
                <w:sz w:val="20"/>
                <w:szCs w:val="20"/>
              </w:rPr>
              <w:t>？</w:t>
            </w:r>
          </w:p>
        </w:tc>
      </w:tr>
      <w:tr w:rsidR="00054B3F">
        <w:tblPrEx>
          <w:tblCellMar>
            <w:top w:w="0" w:type="dxa"/>
            <w:bottom w:w="0" w:type="dxa"/>
          </w:tblCellMar>
        </w:tblPrEx>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規範轉換問題</w:t>
            </w:r>
            <w:proofErr w:type="spellEnd"/>
          </w:p>
        </w:tc>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規範轉換</w:t>
            </w:r>
            <w:proofErr w:type="spellEnd"/>
          </w:p>
        </w:tc>
        <w:tc>
          <w:tcPr>
            <w:tcW w:w="56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價值、理由、例外、責任四條件如何組合判定</w:t>
            </w:r>
            <w:proofErr w:type="spellEnd"/>
            <w:r>
              <w:rPr>
                <w:rFonts w:eastAsia="Times New Roman"/>
                <w:sz w:val="20"/>
                <w:szCs w:val="20"/>
              </w:rPr>
              <w:t xml:space="preserve">？（035 </w:t>
            </w:r>
            <w:proofErr w:type="spellStart"/>
            <w:r>
              <w:rPr>
                <w:rFonts w:eastAsia="Times New Roman"/>
                <w:sz w:val="20"/>
                <w:szCs w:val="20"/>
              </w:rPr>
              <w:t>已提供第一輪操作化工具）技術選擇於何種強度下應被視為已轉化為公共規範</w:t>
            </w:r>
            <w:proofErr w:type="spellEnd"/>
            <w:r>
              <w:rPr>
                <w:rFonts w:eastAsia="Times New Roman"/>
                <w:sz w:val="20"/>
                <w:szCs w:val="20"/>
              </w:rPr>
              <w:t>？</w:t>
            </w:r>
          </w:p>
        </w:tc>
      </w:tr>
      <w:tr w:rsidR="00054B3F">
        <w:tblPrEx>
          <w:tblCellMar>
            <w:top w:w="0" w:type="dxa"/>
            <w:bottom w:w="0" w:type="dxa"/>
          </w:tblCellMar>
        </w:tblPrEx>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權威問題</w:t>
            </w:r>
            <w:proofErr w:type="spellEnd"/>
          </w:p>
        </w:tc>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UCPR</w:t>
            </w:r>
          </w:p>
        </w:tc>
        <w:tc>
          <w:tcPr>
            <w:tcW w:w="56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w:t>
            </w:r>
            <w:proofErr w:type="spellStart"/>
            <w:r>
              <w:rPr>
                <w:rFonts w:eastAsia="Times New Roman"/>
                <w:sz w:val="20"/>
                <w:szCs w:val="20"/>
              </w:rPr>
              <w:t>有權限」與「有能力」之間的落差如何測量</w:t>
            </w:r>
            <w:proofErr w:type="spellEnd"/>
            <w:r>
              <w:rPr>
                <w:rFonts w:eastAsia="Times New Roman"/>
                <w:sz w:val="20"/>
                <w:szCs w:val="20"/>
              </w:rPr>
              <w:t xml:space="preserve">？（034 </w:t>
            </w:r>
            <w:proofErr w:type="spellStart"/>
            <w:r>
              <w:rPr>
                <w:rFonts w:eastAsia="Times New Roman"/>
                <w:sz w:val="20"/>
                <w:szCs w:val="20"/>
              </w:rPr>
              <w:t>已完成文本層次比較）三種構成性能力若有一項長期缺失，制度應如何補救</w:t>
            </w:r>
            <w:proofErr w:type="spellEnd"/>
            <w:r>
              <w:rPr>
                <w:rFonts w:eastAsia="Times New Roman"/>
                <w:sz w:val="20"/>
                <w:szCs w:val="20"/>
              </w:rPr>
              <w:t>？</w:t>
            </w:r>
          </w:p>
        </w:tc>
      </w:tr>
    </w:tbl>
    <w:p w:rsidR="00054B3F" w:rsidRDefault="00675D53">
      <w:pPr>
        <w:spacing w:after="120" w:line="360" w:lineRule="auto"/>
      </w:pPr>
      <w:r>
        <w:rPr>
          <w:rFonts w:eastAsia="Times New Roman"/>
        </w:rPr>
        <w:t>四類問題進一步收斂為五個研究群：生成問題對應第一研究群（行政行動的重新定義），裁量問題對應第二研究群（裁量的重新定位），規範轉換問題對應第三研究群，權威問題對應第四研究群（公共權威與 UCPR），另有一個跨構面、應用層次的第五研究群（組織與制</w:t>
      </w:r>
      <w:r>
        <w:rPr>
          <w:rFonts w:eastAsia="Times New Roman"/>
        </w:rPr>
        <w:t>度）。以下參章至柒章逐一展開五個研究群，並在各章標示最需優先補強的操作化與經驗缺口。</w:t>
      </w:r>
    </w:p>
    <w:p w:rsidR="00054B3F" w:rsidRDefault="00675D53">
      <w:pPr>
        <w:pStyle w:val="1"/>
      </w:pPr>
      <w:proofErr w:type="spellStart"/>
      <w:r>
        <w:t>參、第一研究群：行政行動的重新定義</w:t>
      </w:r>
      <w:proofErr w:type="spellEnd"/>
    </w:p>
    <w:p w:rsidR="00054B3F" w:rsidRDefault="00675D53">
      <w:pPr>
        <w:spacing w:after="120" w:line="360" w:lineRule="auto"/>
      </w:pPr>
      <w:proofErr w:type="spellStart"/>
      <w:r>
        <w:rPr>
          <w:rFonts w:eastAsia="Times New Roman"/>
        </w:rPr>
        <w:t>本研究群追問一個根本問題：行政行動的「主體」還能不能只用機關／公務員描述？DAA</w:t>
      </w:r>
      <w:proofErr w:type="spellEnd"/>
      <w:r>
        <w:rPr>
          <w:rFonts w:eastAsia="Times New Roman"/>
        </w:rPr>
        <w:t xml:space="preserve"> 主張任一行政結果均可拆解為法定行動者、判斷行動者、計算性作用者、結構性作用者四層構成，這個拆解本身已經是一項研究議程，因為每一層構成要素背後，都對應</w:t>
      </w:r>
      <w:r>
        <w:rPr>
          <w:rFonts w:eastAsia="Times New Roman"/>
        </w:rPr>
        <w:lastRenderedPageBreak/>
        <w:t>著一組傳統行政主體理論較少獨立處理的子問題。</w:t>
      </w:r>
    </w:p>
    <w:p w:rsidR="00054B3F" w:rsidRDefault="00675D53">
      <w:pPr>
        <w:pStyle w:val="a4"/>
        <w:numPr>
          <w:ilvl w:val="0"/>
          <w:numId w:val="2"/>
        </w:numPr>
        <w:spacing w:after="80" w:line="360" w:lineRule="auto"/>
      </w:pPr>
      <w:r>
        <w:rPr>
          <w:rFonts w:eastAsia="Times New Roman"/>
        </w:rPr>
        <w:t xml:space="preserve">DAA </w:t>
      </w:r>
      <w:proofErr w:type="spellStart"/>
      <w:r>
        <w:rPr>
          <w:rFonts w:eastAsia="Times New Roman"/>
        </w:rPr>
        <w:t>與傳統行政主體：DAA</w:t>
      </w:r>
      <w:proofErr w:type="spellEnd"/>
      <w:r>
        <w:rPr>
          <w:rFonts w:eastAsia="Times New Roman"/>
        </w:rPr>
        <w:t xml:space="preserve"> 的四層構成如何與既有行政法上「行政機關」「公務員」等主體概念對接？是否所有行政結果都能被拆解為四層，或存在拆解後仍有剩餘、無法歸入任一層的行動要素？</w:t>
      </w:r>
    </w:p>
    <w:p w:rsidR="00054B3F" w:rsidRDefault="00675D53">
      <w:pPr>
        <w:pStyle w:val="a4"/>
        <w:numPr>
          <w:ilvl w:val="0"/>
          <w:numId w:val="2"/>
        </w:numPr>
        <w:spacing w:after="80" w:line="360" w:lineRule="auto"/>
      </w:pPr>
      <w:r>
        <w:rPr>
          <w:rFonts w:eastAsia="Times New Roman"/>
        </w:rPr>
        <w:t xml:space="preserve">公私協同：技術參數的設定，若涉及行政機關與系統承包商之技術可行性協商，這個協商過程本身是否應被視為公私協同治理的一種形式？031 </w:t>
      </w:r>
      <w:proofErr w:type="spellStart"/>
      <w:r>
        <w:rPr>
          <w:rFonts w:eastAsia="Times New Roman"/>
        </w:rPr>
        <w:t>已將此列為待驗證假說，現有文件均未記載電子圍籬系統之採購方式與履約內容，尚屬理論性延伸</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 xml:space="preserve">AI </w:t>
      </w:r>
      <w:proofErr w:type="spellStart"/>
      <w:r>
        <w:rPr>
          <w:rFonts w:eastAsia="Times New Roman"/>
        </w:rPr>
        <w:t>供應商：供應商在模型更新、資料管線與技術文件上的控制權，是否應使其在</w:t>
      </w:r>
      <w:proofErr w:type="spellEnd"/>
      <w:r>
        <w:rPr>
          <w:rFonts w:eastAsia="Times New Roman"/>
        </w:rPr>
        <w:t xml:space="preserve"> DAA </w:t>
      </w:r>
      <w:proofErr w:type="spellStart"/>
      <w:r>
        <w:rPr>
          <w:rFonts w:eastAsia="Times New Roman"/>
        </w:rPr>
        <w:t>架構中取得獨立於行政機關的</w:t>
      </w:r>
      <w:r>
        <w:rPr>
          <w:rFonts w:eastAsia="Times New Roman"/>
        </w:rPr>
        <w:t>分析地位，而不只是結構性作用者的附屬項目</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資料提供者：如電信業者依個資法目的外利用條款提供定位資料，這類資料提供行為本身的法律定性，是否會影響其在</w:t>
      </w:r>
      <w:proofErr w:type="spellEnd"/>
      <w:r>
        <w:rPr>
          <w:rFonts w:eastAsia="Times New Roman"/>
        </w:rPr>
        <w:t xml:space="preserve"> DAA </w:t>
      </w:r>
      <w:proofErr w:type="spellStart"/>
      <w:r>
        <w:rPr>
          <w:rFonts w:eastAsia="Times New Roman"/>
        </w:rPr>
        <w:t>結構性作用者層次中的責任歸屬</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基礎設施提供者：雲端服務、運算平台等基礎設施提供者，在何種條件下應被視為行政行動的構成要素之一，而非僅是背景性的技術環境</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系統維護者：負責模型更新與修補的維護者，若其更新行為實質改變了系統的分類邏輯或風險門檻，這種持續性的技術調整，是否應被視為一種持續性的計算性作用者角色，而非一次性的系統建置行為？</w:t>
      </w:r>
    </w:p>
    <w:p w:rsidR="00054B3F" w:rsidRDefault="00675D53">
      <w:pPr>
        <w:pStyle w:val="3"/>
      </w:pPr>
      <w:proofErr w:type="spellStart"/>
      <w:r>
        <w:t>優先缺口：DAA</w:t>
      </w:r>
      <w:proofErr w:type="spellEnd"/>
      <w:r>
        <w:t xml:space="preserve"> </w:t>
      </w:r>
      <w:proofErr w:type="spellStart"/>
      <w:r>
        <w:t>責任邊界的進一步釐清</w:t>
      </w:r>
      <w:proofErr w:type="spellEnd"/>
    </w:p>
    <w:p w:rsidR="00054B3F" w:rsidRDefault="00675D53">
      <w:pPr>
        <w:spacing w:after="120" w:line="360" w:lineRule="auto"/>
      </w:pPr>
      <w:r>
        <w:rPr>
          <w:rFonts w:eastAsia="Times New Roman"/>
        </w:rPr>
        <w:t xml:space="preserve">031 </w:t>
      </w:r>
      <w:proofErr w:type="spellStart"/>
      <w:r>
        <w:rPr>
          <w:rFonts w:eastAsia="Times New Roman"/>
        </w:rPr>
        <w:t>已初步辨識四類作用者，但</w:t>
      </w:r>
      <w:proofErr w:type="spellEnd"/>
      <w:r>
        <w:rPr>
          <w:rFonts w:eastAsia="Times New Roman"/>
        </w:rPr>
        <w:t xml:space="preserve"> AI 供應商是否應具有獨立於行政機關的法律分析地位、系統維護者的模型更新是否構成持續性計算性作用、基礎設施提供者在何種條件下成為構成要素，仍主要停留在理論性假說。此缺口可與第五研究群的契約與採購研究合併推進。目前最需要釐清的，不是再增加作用者類型，而是責任邊界。</w:t>
      </w:r>
    </w:p>
    <w:p w:rsidR="00054B3F" w:rsidRDefault="00675D53">
      <w:pPr>
        <w:pStyle w:val="1"/>
      </w:pPr>
      <w:proofErr w:type="spellStart"/>
      <w:r>
        <w:t>肆、第二研究群：裁量的重新定位</w:t>
      </w:r>
      <w:proofErr w:type="spellEnd"/>
    </w:p>
    <w:p w:rsidR="00054B3F" w:rsidRDefault="00675D53">
      <w:pPr>
        <w:spacing w:after="120" w:line="360" w:lineRule="auto"/>
      </w:pPr>
      <w:r>
        <w:rPr>
          <w:rFonts w:eastAsia="Times New Roman"/>
        </w:rPr>
        <w:lastRenderedPageBreak/>
        <w:t xml:space="preserve">GDA </w:t>
      </w:r>
      <w:proofErr w:type="spellStart"/>
      <w:r>
        <w:rPr>
          <w:rFonts w:eastAsia="Times New Roman"/>
        </w:rPr>
        <w:t>模型已把裁量場的四個節點明確化，未來研究可分別沿「裁量前移</w:t>
      </w:r>
      <w:proofErr w:type="spellEnd"/>
      <w:r>
        <w:rPr>
          <w:rFonts w:eastAsia="Times New Roman"/>
        </w:rPr>
        <w:t>」「</w:t>
      </w:r>
      <w:proofErr w:type="spellStart"/>
      <w:r>
        <w:rPr>
          <w:rFonts w:eastAsia="Times New Roman"/>
        </w:rPr>
        <w:t>裁量分布</w:t>
      </w:r>
      <w:proofErr w:type="spellEnd"/>
      <w:r>
        <w:rPr>
          <w:rFonts w:eastAsia="Times New Roman"/>
        </w:rPr>
        <w:t>」「</w:t>
      </w:r>
      <w:proofErr w:type="spellStart"/>
      <w:r>
        <w:rPr>
          <w:rFonts w:eastAsia="Times New Roman"/>
        </w:rPr>
        <w:t>裁量壓縮</w:t>
      </w:r>
      <w:proofErr w:type="spellEnd"/>
      <w:r>
        <w:rPr>
          <w:rFonts w:eastAsia="Times New Roman"/>
        </w:rPr>
        <w:t>」「</w:t>
      </w:r>
      <w:proofErr w:type="spellStart"/>
      <w:r>
        <w:rPr>
          <w:rFonts w:eastAsia="Times New Roman"/>
        </w:rPr>
        <w:t>形式覆核」四個方向展開。這一研究群直接對話</w:t>
      </w:r>
      <w:proofErr w:type="spellEnd"/>
      <w:r>
        <w:rPr>
          <w:rFonts w:eastAsia="Times New Roman"/>
        </w:rPr>
        <w:t xml:space="preserve"> </w:t>
      </w:r>
      <w:proofErr w:type="spellStart"/>
      <w:r>
        <w:rPr>
          <w:rFonts w:eastAsia="Times New Roman"/>
        </w:rPr>
        <w:t>Bovens</w:t>
      </w:r>
      <w:proofErr w:type="spellEnd"/>
      <w:r>
        <w:rPr>
          <w:rFonts w:eastAsia="Times New Roman"/>
        </w:rPr>
        <w:t xml:space="preserve"> 與 Zo</w:t>
      </w:r>
      <w:r>
        <w:rPr>
          <w:rFonts w:eastAsia="Times New Roman"/>
        </w:rPr>
        <w:t>uridis（2002）的裁量前移命題：裁量前移只說明了裁量「從哪裡消失」，卻未說明裁量「轉移到了哪裡」，以及每個轉移後的節點實際發生的是形式簽核、選擇性遵從，還是實質抵制。</w:t>
      </w:r>
    </w:p>
    <w:p w:rsidR="00054B3F" w:rsidRDefault="00675D53">
      <w:pPr>
        <w:pStyle w:val="a4"/>
        <w:numPr>
          <w:ilvl w:val="0"/>
          <w:numId w:val="2"/>
        </w:numPr>
        <w:spacing w:after="80" w:line="360" w:lineRule="auto"/>
      </w:pPr>
      <w:proofErr w:type="spellStart"/>
      <w:r>
        <w:rPr>
          <w:rFonts w:eastAsia="Times New Roman"/>
        </w:rPr>
        <w:t>前置配置：誰決定納入處理之對象與資料範圍？這個節點的裁量若已實質限縮後續節點的審查廣度，應如何以文件或流程紀錄辨識</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模型轉譯：政策目標轉換為可操作技術參數的過程，是否存在制度性的把關機制（如強制性的影響評估</w:t>
      </w:r>
      <w:proofErr w:type="spellEnd"/>
      <w:r>
        <w:rPr>
          <w:rFonts w:eastAsia="Times New Roman"/>
        </w:rPr>
        <w:t>）？</w:t>
      </w:r>
    </w:p>
    <w:p w:rsidR="00054B3F" w:rsidRDefault="00675D53">
      <w:pPr>
        <w:pStyle w:val="a4"/>
        <w:numPr>
          <w:ilvl w:val="0"/>
          <w:numId w:val="2"/>
        </w:numPr>
        <w:spacing w:after="80" w:line="360" w:lineRule="auto"/>
      </w:pPr>
      <w:r>
        <w:rPr>
          <w:rFonts w:eastAsia="Times New Roman"/>
        </w:rPr>
        <w:t>介面引導：系統輸出如何被轉換為促使特定後續行動的提示或通知？介面設計（如預設值、警示呈現方式、時間壓力）對人類覆核之「預設</w:t>
      </w:r>
      <w:r>
        <w:rPr>
          <w:rFonts w:eastAsia="Times New Roman"/>
        </w:rPr>
        <w:t>依賴」效果，應如何測量？</w:t>
      </w:r>
    </w:p>
    <w:p w:rsidR="00054B3F" w:rsidRDefault="00675D53">
      <w:pPr>
        <w:pStyle w:val="a4"/>
        <w:numPr>
          <w:ilvl w:val="0"/>
          <w:numId w:val="2"/>
        </w:numPr>
        <w:spacing w:after="80" w:line="360" w:lineRule="auto"/>
      </w:pPr>
      <w:r>
        <w:rPr>
          <w:rFonts w:eastAsia="Times New Roman"/>
        </w:rPr>
        <w:t>人類覆核：形式上有人簽核，是否等於存在實質裁量？覆核者的實質推翻率、獨立判斷空間，是否可能因組織文化、專業規範、資源條件而系統性地不同？</w:t>
      </w:r>
    </w:p>
    <w:p w:rsidR="00054B3F" w:rsidRDefault="00675D53">
      <w:pPr>
        <w:pStyle w:val="3"/>
      </w:pPr>
      <w:proofErr w:type="spellStart"/>
      <w:r>
        <w:t>優先缺口：裁量空間壓縮（SDC）的跨案例測量與量化指標</w:t>
      </w:r>
      <w:proofErr w:type="spellEnd"/>
    </w:p>
    <w:p w:rsidR="00054B3F" w:rsidRDefault="00675D53">
      <w:pPr>
        <w:spacing w:after="120" w:line="360" w:lineRule="auto"/>
      </w:pPr>
      <w:r>
        <w:rPr>
          <w:rFonts w:eastAsia="Times New Roman"/>
        </w:rPr>
        <w:t xml:space="preserve">在 034 </w:t>
      </w:r>
      <w:proofErr w:type="spellStart"/>
      <w:r>
        <w:rPr>
          <w:rFonts w:eastAsia="Times New Roman"/>
        </w:rPr>
        <w:t>完成</w:t>
      </w:r>
      <w:proofErr w:type="spellEnd"/>
      <w:r>
        <w:rPr>
          <w:rFonts w:eastAsia="Times New Roman"/>
        </w:rPr>
        <w:t xml:space="preserve"> UCPR 文本審計、035 </w:t>
      </w:r>
      <w:proofErr w:type="spellStart"/>
      <w:r>
        <w:rPr>
          <w:rFonts w:eastAsia="Times New Roman"/>
        </w:rPr>
        <w:t>完成規範轉換操作化之後，系列內最明顯的空白已從「概念尚未操作化」轉向「操作化工具尚未接受經驗資料檢驗</w:t>
      </w:r>
      <w:proofErr w:type="spellEnd"/>
      <w:r>
        <w:rPr>
          <w:rFonts w:eastAsia="Times New Roman"/>
        </w:rPr>
        <w:t xml:space="preserve">」。035 </w:t>
      </w:r>
      <w:proofErr w:type="spellStart"/>
      <w:r>
        <w:rPr>
          <w:rFonts w:eastAsia="Times New Roman"/>
        </w:rPr>
        <w:t>已提供例外條件的低／中／高指標與「形式簽核</w:t>
      </w:r>
      <w:proofErr w:type="spellEnd"/>
      <w:r>
        <w:rPr>
          <w:rFonts w:eastAsia="Times New Roman"/>
        </w:rPr>
        <w:t xml:space="preserve"> vs. 實質判斷」的區分；034 </w:t>
      </w:r>
      <w:proofErr w:type="spellStart"/>
      <w:r>
        <w:rPr>
          <w:rFonts w:eastAsia="Times New Roman"/>
        </w:rPr>
        <w:t>亦在決策能力審計中標註人工介入強度。但</w:t>
      </w:r>
      <w:proofErr w:type="spellEnd"/>
      <w:r>
        <w:rPr>
          <w:rFonts w:eastAsia="Times New Roman"/>
        </w:rPr>
        <w:t xml:space="preserve"> SDC </w:t>
      </w:r>
      <w:proofErr w:type="spellStart"/>
      <w:r>
        <w:rPr>
          <w:rFonts w:eastAsia="Times New Roman"/>
        </w:rPr>
        <w:t>本身仍缺</w:t>
      </w:r>
      <w:r>
        <w:rPr>
          <w:rFonts w:eastAsia="Times New Roman"/>
        </w:rPr>
        <w:t>乏跨案例的可觀察指標與測量程序。優先發展方向包括</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人類覆核的實質推翻率</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覆核者是否能取得完整資料與模型說明</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覆核所需時間與案件處理量</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系統預設值被接受的比例</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不同組織文化下的覆核差異</w:t>
      </w:r>
      <w:proofErr w:type="spellEnd"/>
      <w:r>
        <w:rPr>
          <w:rFonts w:eastAsia="Times New Roman"/>
        </w:rPr>
        <w:t>。</w:t>
      </w:r>
    </w:p>
    <w:p w:rsidR="00054B3F" w:rsidRDefault="00675D53">
      <w:pPr>
        <w:spacing w:after="120" w:line="360" w:lineRule="auto"/>
      </w:pPr>
      <w:proofErr w:type="spellStart"/>
      <w:r>
        <w:rPr>
          <w:rFonts w:eastAsia="Times New Roman"/>
        </w:rPr>
        <w:t>此缺口直接對應</w:t>
      </w:r>
      <w:proofErr w:type="spellEnd"/>
      <w:r>
        <w:rPr>
          <w:rFonts w:eastAsia="Times New Roman"/>
        </w:rPr>
        <w:t xml:space="preserve"> 032 的 P1、P2 </w:t>
      </w:r>
      <w:r>
        <w:rPr>
          <w:rFonts w:eastAsia="Times New Roman"/>
        </w:rPr>
        <w:lastRenderedPageBreak/>
        <w:t xml:space="preserve">命題，且是三階段研究設計中第一階段（驗證裁量命題）的核心任務。032 </w:t>
      </w:r>
      <w:proofErr w:type="spellStart"/>
      <w:r>
        <w:rPr>
          <w:rFonts w:eastAsia="Times New Roman"/>
        </w:rPr>
        <w:t>提出的</w:t>
      </w:r>
      <w:proofErr w:type="spellEnd"/>
      <w:r>
        <w:rPr>
          <w:rFonts w:eastAsia="Times New Roman"/>
        </w:rPr>
        <w:t xml:space="preserve"> P1、P2 命題，仍需透過跨案例資料驗證。031 </w:t>
      </w:r>
      <w:proofErr w:type="spellStart"/>
      <w:r>
        <w:rPr>
          <w:rFonts w:eastAsia="Times New Roman"/>
        </w:rPr>
        <w:t>進一步顯示，SDC</w:t>
      </w:r>
      <w:proofErr w:type="spellEnd"/>
      <w:r>
        <w:rPr>
          <w:rFonts w:eastAsia="Times New Roman"/>
        </w:rPr>
        <w:t xml:space="preserve"> </w:t>
      </w:r>
      <w:proofErr w:type="spellStart"/>
      <w:r>
        <w:rPr>
          <w:rFonts w:eastAsia="Times New Roman"/>
        </w:rPr>
        <w:t>概念本身在該文中僅被定位為「描述性、假設性之分析概念</w:t>
      </w:r>
      <w:proofErr w:type="spellEnd"/>
      <w:r>
        <w:rPr>
          <w:rFonts w:eastAsia="Times New Roman"/>
        </w:rPr>
        <w:t>」，</w:t>
      </w:r>
      <w:proofErr w:type="spellStart"/>
      <w:r>
        <w:rPr>
          <w:rFonts w:eastAsia="Times New Roman"/>
        </w:rPr>
        <w:t>其是否可延伸適用於司法審查階段，現有資料同樣不足以確認</w:t>
      </w:r>
      <w:proofErr w:type="spellEnd"/>
      <w:r>
        <w:rPr>
          <w:rFonts w:eastAsia="Times New Roman"/>
        </w:rPr>
        <w:t>。</w:t>
      </w:r>
    </w:p>
    <w:p w:rsidR="00054B3F" w:rsidRDefault="00675D53">
      <w:pPr>
        <w:pStyle w:val="1"/>
      </w:pPr>
      <w:proofErr w:type="spellStart"/>
      <w:r>
        <w:t>伍、第三研究群：規範轉換</w:t>
      </w:r>
      <w:proofErr w:type="spellEnd"/>
    </w:p>
    <w:p w:rsidR="00054B3F" w:rsidRDefault="00675D53">
      <w:pPr>
        <w:spacing w:after="120" w:line="360" w:lineRule="auto"/>
      </w:pPr>
      <w:r>
        <w:rPr>
          <w:rFonts w:eastAsia="Times New Roman"/>
        </w:rPr>
        <w:t>本研究群的核心問題是：資料選擇、風險門檻、排序、預設值、模型權重、系統警示——何時只是技術？何時已經是行政政策？判斷時，不能只問「這是不是技術」，而要問：是否涉及公共價值選擇、是否必須提出公共理由、個案是否仍能例外處理、造成的效果是否有明確責任承擔者。</w:t>
      </w:r>
    </w:p>
    <w:p w:rsidR="00054B3F" w:rsidRDefault="00675D53">
      <w:pPr>
        <w:spacing w:after="120" w:line="360" w:lineRule="auto"/>
      </w:pPr>
      <w:proofErr w:type="spellStart"/>
      <w:r>
        <w:rPr>
          <w:rFonts w:eastAsia="Times New Roman"/>
        </w:rPr>
        <w:t>為避免把「技術／政策」當成二元對立，可先將技術選擇置於一條轉換光譜上定位</w:t>
      </w:r>
      <w:proofErr w:type="spellEnd"/>
      <w:r>
        <w:rPr>
          <w:rFonts w:eastAsia="Times New Roman"/>
        </w:rPr>
        <w:t>：</w:t>
      </w:r>
    </w:p>
    <w:p w:rsidR="00054B3F" w:rsidRDefault="00675D53">
      <w:pPr>
        <w:spacing w:before="160" w:after="80"/>
      </w:pPr>
      <w:r>
        <w:rPr>
          <w:rFonts w:eastAsia="Times New Roman"/>
          <w:b/>
          <w:bCs/>
          <w:sz w:val="22"/>
          <w:szCs w:val="22"/>
        </w:rPr>
        <w:t xml:space="preserve">表 2　</w:t>
      </w:r>
      <w:proofErr w:type="spellStart"/>
      <w:r>
        <w:rPr>
          <w:rFonts w:eastAsia="Times New Roman"/>
          <w:b/>
          <w:bCs/>
          <w:sz w:val="22"/>
          <w:szCs w:val="22"/>
        </w:rPr>
        <w:t>技術選擇的轉換光譜（操作化草案</w:t>
      </w:r>
      <w:proofErr w:type="spellEnd"/>
      <w:r>
        <w:rPr>
          <w:rFonts w:eastAsia="Times New Roman"/>
          <w:b/>
          <w:bCs/>
          <w:sz w:val="22"/>
          <w:szCs w:val="22"/>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026"/>
      </w:tblGrid>
      <w:tr w:rsidR="00054B3F">
        <w:tblPrEx>
          <w:tblCellMar>
            <w:top w:w="0" w:type="dxa"/>
            <w:bottom w:w="0" w:type="dxa"/>
          </w:tblCellMar>
        </w:tblPrEx>
        <w:tc>
          <w:tcPr>
            <w:tcW w:w="20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層次</w:t>
            </w:r>
            <w:proofErr w:type="spellEnd"/>
          </w:p>
        </w:tc>
        <w:tc>
          <w:tcPr>
            <w:tcW w:w="7026"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主要特徵</w:t>
            </w:r>
            <w:proofErr w:type="spellEnd"/>
          </w:p>
        </w:tc>
      </w:tr>
      <w:tr w:rsidR="00054B3F">
        <w:tblPrEx>
          <w:tblCellMar>
            <w:top w:w="0" w:type="dxa"/>
            <w:bottom w:w="0" w:type="dxa"/>
          </w:tblCellMar>
        </w:tblPrEx>
        <w:tc>
          <w:tcPr>
            <w:tcW w:w="2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技術層次</w:t>
            </w:r>
            <w:proofErr w:type="spellEnd"/>
          </w:p>
        </w:tc>
        <w:tc>
          <w:tcPr>
            <w:tcW w:w="70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主要處理效率、穩定性或系統功能</w:t>
            </w:r>
            <w:proofErr w:type="spellEnd"/>
          </w:p>
        </w:tc>
      </w:tr>
      <w:tr w:rsidR="00054B3F">
        <w:tblPrEx>
          <w:tblCellMar>
            <w:top w:w="0" w:type="dxa"/>
            <w:bottom w:w="0" w:type="dxa"/>
          </w:tblCellMar>
        </w:tblPrEx>
        <w:tc>
          <w:tcPr>
            <w:tcW w:w="2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行政層次</w:t>
            </w:r>
            <w:proofErr w:type="spellEnd"/>
          </w:p>
        </w:tc>
        <w:tc>
          <w:tcPr>
            <w:tcW w:w="70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直接影響案件處理順序或行政流程</w:t>
            </w:r>
            <w:proofErr w:type="spellEnd"/>
          </w:p>
        </w:tc>
      </w:tr>
      <w:tr w:rsidR="00054B3F">
        <w:tblPrEx>
          <w:tblCellMar>
            <w:top w:w="0" w:type="dxa"/>
            <w:bottom w:w="0" w:type="dxa"/>
          </w:tblCellMar>
        </w:tblPrEx>
        <w:tc>
          <w:tcPr>
            <w:tcW w:w="2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政策層次</w:t>
            </w:r>
            <w:proofErr w:type="spellEnd"/>
          </w:p>
        </w:tc>
        <w:tc>
          <w:tcPr>
            <w:tcW w:w="70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分配資源、風險或服務對象</w:t>
            </w:r>
            <w:proofErr w:type="spellEnd"/>
          </w:p>
        </w:tc>
      </w:tr>
      <w:tr w:rsidR="00054B3F">
        <w:tblPrEx>
          <w:tblCellMar>
            <w:top w:w="0" w:type="dxa"/>
            <w:bottom w:w="0" w:type="dxa"/>
          </w:tblCellMar>
        </w:tblPrEx>
        <w:tc>
          <w:tcPr>
            <w:tcW w:w="2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規範層次</w:t>
            </w:r>
            <w:proofErr w:type="spellEnd"/>
          </w:p>
        </w:tc>
        <w:tc>
          <w:tcPr>
            <w:tcW w:w="70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產生實質權利義務效果，且個案難以偏離</w:t>
            </w:r>
            <w:proofErr w:type="spellEnd"/>
          </w:p>
        </w:tc>
      </w:tr>
    </w:tbl>
    <w:p w:rsidR="00054B3F" w:rsidRDefault="00675D53">
      <w:pPr>
        <w:spacing w:after="120" w:line="360" w:lineRule="auto"/>
      </w:pPr>
      <w:r>
        <w:rPr>
          <w:rFonts w:eastAsia="Times New Roman"/>
        </w:rPr>
        <w:t xml:space="preserve">035 </w:t>
      </w:r>
      <w:proofErr w:type="spellStart"/>
      <w:r>
        <w:rPr>
          <w:rFonts w:eastAsia="Times New Roman"/>
        </w:rPr>
        <w:t>已將四項判準分別轉化為附有低／中／高三級判斷指標的可操作問題，並提出規範轉換強度矩陣、四條邊界規則與五步編碼程序。下表為</w:t>
      </w:r>
      <w:proofErr w:type="spellEnd"/>
      <w:r>
        <w:rPr>
          <w:rFonts w:eastAsia="Times New Roman"/>
        </w:rPr>
        <w:t xml:space="preserve"> 035 </w:t>
      </w:r>
      <w:proofErr w:type="spellStart"/>
      <w:r>
        <w:rPr>
          <w:rFonts w:eastAsia="Times New Roman"/>
        </w:rPr>
        <w:t>所載之判準架構（已完成第一輪操作化，但仍待經驗檢驗</w:t>
      </w:r>
      <w:proofErr w:type="spellEnd"/>
      <w:r>
        <w:rPr>
          <w:rFonts w:eastAsia="Times New Roman"/>
        </w:rPr>
        <w:t>）：</w:t>
      </w:r>
    </w:p>
    <w:p w:rsidR="00054B3F" w:rsidRDefault="00675D53">
      <w:pPr>
        <w:spacing w:before="160" w:after="80"/>
      </w:pPr>
      <w:r>
        <w:rPr>
          <w:rFonts w:eastAsia="Times New Roman"/>
          <w:b/>
          <w:bCs/>
          <w:sz w:val="22"/>
          <w:szCs w:val="22"/>
        </w:rPr>
        <w:t xml:space="preserve">表 3　規範轉換四判準之強度分級（035 </w:t>
      </w:r>
      <w:proofErr w:type="spellStart"/>
      <w:r>
        <w:rPr>
          <w:rFonts w:eastAsia="Times New Roman"/>
          <w:b/>
          <w:bCs/>
          <w:sz w:val="22"/>
          <w:szCs w:val="22"/>
        </w:rPr>
        <w:t>已完成操作化</w:t>
      </w:r>
      <w:proofErr w:type="spellEnd"/>
      <w:r>
        <w:rPr>
          <w:rFonts w:eastAsia="Times New Roman"/>
          <w:b/>
          <w:bCs/>
          <w:sz w:val="22"/>
          <w:szCs w:val="22"/>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
        <w:gridCol w:w="6760"/>
        <w:gridCol w:w="560"/>
        <w:gridCol w:w="560"/>
        <w:gridCol w:w="960"/>
      </w:tblGrid>
      <w:tr w:rsidR="00054B3F">
        <w:tblPrEx>
          <w:tblCellMar>
            <w:top w:w="0" w:type="dxa"/>
            <w:bottom w:w="0" w:type="dxa"/>
          </w:tblCellMar>
        </w:tblPrEx>
        <w:tc>
          <w:tcPr>
            <w:tcW w:w="14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判準</w:t>
            </w:r>
            <w:proofErr w:type="spellEnd"/>
          </w:p>
        </w:tc>
        <w:tc>
          <w:tcPr>
            <w:tcW w:w="28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核心問題</w:t>
            </w:r>
            <w:proofErr w:type="spellEnd"/>
          </w:p>
        </w:tc>
        <w:tc>
          <w:tcPr>
            <w:tcW w:w="12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r>
              <w:rPr>
                <w:rFonts w:eastAsia="Times New Roman"/>
                <w:b/>
                <w:bCs/>
                <w:sz w:val="20"/>
                <w:szCs w:val="20"/>
              </w:rPr>
              <w:t>低</w:t>
            </w:r>
          </w:p>
        </w:tc>
        <w:tc>
          <w:tcPr>
            <w:tcW w:w="12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r>
              <w:rPr>
                <w:rFonts w:eastAsia="Times New Roman"/>
                <w:b/>
                <w:bCs/>
                <w:sz w:val="20"/>
                <w:szCs w:val="20"/>
              </w:rPr>
              <w:t>中</w:t>
            </w:r>
          </w:p>
        </w:tc>
        <w:tc>
          <w:tcPr>
            <w:tcW w:w="2426"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r>
              <w:rPr>
                <w:rFonts w:eastAsia="Times New Roman"/>
                <w:b/>
                <w:bCs/>
                <w:sz w:val="20"/>
                <w:szCs w:val="20"/>
              </w:rPr>
              <w:t>高</w:t>
            </w:r>
          </w:p>
        </w:tc>
      </w:tr>
      <w:tr w:rsidR="00054B3F">
        <w:tblPrEx>
          <w:tblCellMar>
            <w:top w:w="0" w:type="dxa"/>
            <w:bottom w:w="0" w:type="dxa"/>
          </w:tblCellMar>
        </w:tblPrEx>
        <w:tc>
          <w:tcPr>
            <w:tcW w:w="1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價值條件</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技術設定是否涉及公共價值選擇（誰被納入、誰被排除、風險如何排序</w:t>
            </w:r>
            <w:proofErr w:type="spellEnd"/>
            <w:r>
              <w:rPr>
                <w:rFonts w:eastAsia="Times New Roman"/>
                <w:sz w:val="20"/>
                <w:szCs w:val="20"/>
              </w:rPr>
              <w:t>）？</w:t>
            </w:r>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技術</w:t>
            </w:r>
            <w:proofErr w:type="spellEnd"/>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間接</w:t>
            </w:r>
            <w:proofErr w:type="spellEnd"/>
          </w:p>
        </w:tc>
        <w:tc>
          <w:tcPr>
            <w:tcW w:w="24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直接</w:t>
            </w:r>
            <w:proofErr w:type="spellEnd"/>
          </w:p>
        </w:tc>
      </w:tr>
      <w:tr w:rsidR="00054B3F">
        <w:tblPrEx>
          <w:tblCellMar>
            <w:top w:w="0" w:type="dxa"/>
            <w:bottom w:w="0" w:type="dxa"/>
          </w:tblCellMar>
        </w:tblPrEx>
        <w:tc>
          <w:tcPr>
            <w:tcW w:w="1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理由條件</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能否要求對技術選擇提供理由</w:t>
            </w:r>
            <w:proofErr w:type="spellEnd"/>
            <w:r>
              <w:rPr>
                <w:rFonts w:eastAsia="Times New Roman"/>
                <w:sz w:val="20"/>
                <w:szCs w:val="20"/>
              </w:rPr>
              <w:t>？</w:t>
            </w:r>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完整</w:t>
            </w:r>
            <w:proofErr w:type="spellEnd"/>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部分</w:t>
            </w:r>
            <w:proofErr w:type="spellEnd"/>
          </w:p>
        </w:tc>
        <w:tc>
          <w:tcPr>
            <w:tcW w:w="24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無法</w:t>
            </w:r>
            <w:proofErr w:type="spellEnd"/>
          </w:p>
        </w:tc>
      </w:tr>
      <w:tr w:rsidR="00054B3F">
        <w:tblPrEx>
          <w:tblCellMar>
            <w:top w:w="0" w:type="dxa"/>
            <w:bottom w:w="0" w:type="dxa"/>
          </w:tblCellMar>
        </w:tblPrEx>
        <w:tc>
          <w:tcPr>
            <w:tcW w:w="1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例外條件</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個案能否偏離系統設定</w:t>
            </w:r>
            <w:proofErr w:type="spellEnd"/>
            <w:r>
              <w:rPr>
                <w:rFonts w:eastAsia="Times New Roman"/>
                <w:sz w:val="20"/>
                <w:szCs w:val="20"/>
              </w:rPr>
              <w:t>？</w:t>
            </w:r>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容易</w:t>
            </w:r>
            <w:proofErr w:type="spellEnd"/>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困難</w:t>
            </w:r>
            <w:proofErr w:type="spellEnd"/>
          </w:p>
        </w:tc>
        <w:tc>
          <w:tcPr>
            <w:tcW w:w="24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幾乎不能</w:t>
            </w:r>
            <w:proofErr w:type="spellEnd"/>
          </w:p>
        </w:tc>
      </w:tr>
      <w:tr w:rsidR="00054B3F">
        <w:tblPrEx>
          <w:tblCellMar>
            <w:top w:w="0" w:type="dxa"/>
            <w:bottom w:w="0" w:type="dxa"/>
          </w:tblCellMar>
        </w:tblPrEx>
        <w:tc>
          <w:tcPr>
            <w:tcW w:w="1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責任條件</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技術造成的公共效果，是否有人承擔</w:t>
            </w:r>
            <w:proofErr w:type="spellEnd"/>
            <w:r>
              <w:rPr>
                <w:rFonts w:eastAsia="Times New Roman"/>
                <w:sz w:val="20"/>
                <w:szCs w:val="20"/>
              </w:rPr>
              <w:t>？</w:t>
            </w:r>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清楚</w:t>
            </w:r>
            <w:proofErr w:type="spellEnd"/>
          </w:p>
        </w:tc>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分散</w:t>
            </w:r>
            <w:proofErr w:type="spellEnd"/>
          </w:p>
        </w:tc>
        <w:tc>
          <w:tcPr>
            <w:tcW w:w="24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模糊</w:t>
            </w:r>
            <w:proofErr w:type="spellEnd"/>
          </w:p>
        </w:tc>
      </w:tr>
    </w:tbl>
    <w:p w:rsidR="00054B3F" w:rsidRDefault="00675D53">
      <w:pPr>
        <w:spacing w:after="120" w:line="360" w:lineRule="auto"/>
      </w:pPr>
      <w:r>
        <w:rPr>
          <w:rFonts w:eastAsia="Times New Roman"/>
        </w:rPr>
        <w:t>在此一操作化判準完成之後，第三研究群現階段可優先展開的問題包括：不同政策領域（如防疫、社福資格認定、風險評分）之規範轉換強度，是否存在系統性差異？規</w:t>
      </w:r>
      <w:r>
        <w:rPr>
          <w:rFonts w:eastAsia="Times New Roman"/>
        </w:rPr>
        <w:lastRenderedPageBreak/>
        <w:t xml:space="preserve">範轉換一旦發生，是否存在可逆轉之制度設計（如定期重新審查技術參數、落日條款）？以及，四項判準之間究竟是累積、並聯、互補，還是門檻關係。規範轉換回答「危險在哪裡」，UCPR </w:t>
      </w:r>
      <w:proofErr w:type="spellStart"/>
      <w:r>
        <w:rPr>
          <w:rFonts w:eastAsia="Times New Roman"/>
        </w:rPr>
        <w:t>回答「政府還能不能把它拉回來</w:t>
      </w:r>
      <w:proofErr w:type="spellEnd"/>
      <w:r>
        <w:rPr>
          <w:rFonts w:eastAsia="Times New Roman"/>
        </w:rPr>
        <w:t>」，</w:t>
      </w:r>
      <w:proofErr w:type="spellStart"/>
      <w:r>
        <w:rPr>
          <w:rFonts w:eastAsia="Times New Roman"/>
        </w:rPr>
        <w:t>兩個構念診斷風險與評估回應能力的性質不同，不應混為一談</w:t>
      </w:r>
      <w:proofErr w:type="spellEnd"/>
      <w:r>
        <w:rPr>
          <w:rFonts w:eastAsia="Times New Roman"/>
        </w:rPr>
        <w:t>。</w:t>
      </w:r>
    </w:p>
    <w:p w:rsidR="00054B3F" w:rsidRDefault="00675D53">
      <w:pPr>
        <w:pStyle w:val="3"/>
      </w:pPr>
      <w:proofErr w:type="spellStart"/>
      <w:r>
        <w:t>優先缺口</w:t>
      </w:r>
      <w:proofErr w:type="spellEnd"/>
      <w:r>
        <w:t>：「</w:t>
      </w:r>
      <w:proofErr w:type="spellStart"/>
      <w:r>
        <w:t>安全閥空轉」的經驗檢驗</w:t>
      </w:r>
      <w:proofErr w:type="spellEnd"/>
    </w:p>
    <w:p w:rsidR="00054B3F" w:rsidRDefault="00675D53">
      <w:pPr>
        <w:spacing w:after="120" w:line="360" w:lineRule="auto"/>
      </w:pPr>
      <w:r>
        <w:rPr>
          <w:rFonts w:eastAsia="Times New Roman"/>
        </w:rPr>
        <w:t xml:space="preserve">035 </w:t>
      </w:r>
      <w:proofErr w:type="spellStart"/>
      <w:r>
        <w:rPr>
          <w:rFonts w:eastAsia="Times New Roman"/>
        </w:rPr>
        <w:t>已意識到「名目存在</w:t>
      </w:r>
      <w:proofErr w:type="spellEnd"/>
      <w:r>
        <w:rPr>
          <w:rFonts w:eastAsia="Times New Roman"/>
        </w:rPr>
        <w:t xml:space="preserve"> ≠ 實際可用」，並在邊界規則中預留空間</w:t>
      </w:r>
      <w:r>
        <w:rPr>
          <w:rFonts w:eastAsia="Times New Roman"/>
        </w:rPr>
        <w:t xml:space="preserve">。最關鍵的下一步是經驗性檢驗：安全閥寫在紙上或契約上，是否真的被啟動？覆核者是否具備時間、資訊與誘因去行使推翻權？此缺口無法僅靠法律文本或單一個案文件研究回答，需要流程資料、訪談或行為觀察。此缺口與第四研究群的「形式權限 vs. </w:t>
      </w:r>
      <w:proofErr w:type="spellStart"/>
      <w:r>
        <w:rPr>
          <w:rFonts w:eastAsia="Times New Roman"/>
        </w:rPr>
        <w:t>經驗性實質能力」交會，為目前最需優先補強的經驗空白之一</w:t>
      </w:r>
      <w:proofErr w:type="spellEnd"/>
      <w:r>
        <w:rPr>
          <w:rFonts w:eastAsia="Times New Roman"/>
        </w:rPr>
        <w:t>。</w:t>
      </w:r>
    </w:p>
    <w:p w:rsidR="00054B3F" w:rsidRDefault="00675D53">
      <w:pPr>
        <w:pStyle w:val="1"/>
      </w:pPr>
      <w:proofErr w:type="spellStart"/>
      <w:r>
        <w:t>陸、第四研究群：公共權威與</w:t>
      </w:r>
      <w:proofErr w:type="spellEnd"/>
      <w:r>
        <w:t xml:space="preserve"> UCPR</w:t>
      </w:r>
    </w:p>
    <w:p w:rsidR="00054B3F" w:rsidRDefault="00675D53">
      <w:pPr>
        <w:spacing w:after="120" w:line="360" w:lineRule="auto"/>
      </w:pPr>
      <w:proofErr w:type="spellStart"/>
      <w:r>
        <w:rPr>
          <w:rFonts w:eastAsia="Times New Roman"/>
        </w:rPr>
        <w:t>本研究群三大方向直接對應</w:t>
      </w:r>
      <w:proofErr w:type="spellEnd"/>
      <w:r>
        <w:rPr>
          <w:rFonts w:eastAsia="Times New Roman"/>
        </w:rPr>
        <w:t xml:space="preserve"> UCPR </w:t>
      </w:r>
      <w:proofErr w:type="spellStart"/>
      <w:r>
        <w:rPr>
          <w:rFonts w:eastAsia="Times New Roman"/>
        </w:rPr>
        <w:t>已確定的三個核心能力：認知能力（政府到底知道多少</w:t>
      </w:r>
      <w:proofErr w:type="spellEnd"/>
      <w:r>
        <w:rPr>
          <w:rFonts w:eastAsia="Times New Roman"/>
        </w:rPr>
        <w:t>？）、</w:t>
      </w:r>
      <w:proofErr w:type="spellStart"/>
      <w:r>
        <w:rPr>
          <w:rFonts w:eastAsia="Times New Roman"/>
        </w:rPr>
        <w:t>決策能力（政府能不能改</w:t>
      </w:r>
      <w:proofErr w:type="spellEnd"/>
      <w:r>
        <w:rPr>
          <w:rFonts w:eastAsia="Times New Roman"/>
        </w:rPr>
        <w:t>？）、</w:t>
      </w:r>
      <w:proofErr w:type="spellStart"/>
      <w:r>
        <w:rPr>
          <w:rFonts w:eastAsia="Times New Roman"/>
        </w:rPr>
        <w:t>課責能力（政府能不能負責</w:t>
      </w:r>
      <w:proofErr w:type="spellEnd"/>
      <w:r>
        <w:rPr>
          <w:rFonts w:eastAsia="Times New Roman"/>
        </w:rPr>
        <w:t>？）。032 已將三者重新定位為一組「構成性</w:t>
      </w:r>
      <w:r>
        <w:rPr>
          <w:rFonts w:eastAsia="Times New Roman"/>
        </w:rPr>
        <w:t>能力」而非可加總的量表分項——例如一個機關即使充分理解系統邏輯（認知能力具備），若契約上無法暫停或修改系統運作（決策能力缺失），仍不構成完整的 UCPR。</w:t>
      </w:r>
    </w:p>
    <w:p w:rsidR="00054B3F" w:rsidRDefault="00675D53">
      <w:pPr>
        <w:pStyle w:val="3"/>
      </w:pPr>
      <w:proofErr w:type="spellStart"/>
      <w:r>
        <w:t>形式再介入權限與實質再介入能力</w:t>
      </w:r>
      <w:proofErr w:type="spellEnd"/>
    </w:p>
    <w:p w:rsidR="00054B3F" w:rsidRDefault="00675D53">
      <w:pPr>
        <w:spacing w:after="120" w:line="360" w:lineRule="auto"/>
      </w:pPr>
      <w:r>
        <w:rPr>
          <w:rFonts w:eastAsia="Times New Roman"/>
        </w:rPr>
        <w:t xml:space="preserve">UCPR </w:t>
      </w:r>
      <w:proofErr w:type="spellStart"/>
      <w:r>
        <w:rPr>
          <w:rFonts w:eastAsia="Times New Roman"/>
        </w:rPr>
        <w:t>最重要的補充，是必須區分形式再介入權限與實質再介入能力，避免只做法律形式分析</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形式再介入權限：法律上可以審查、修改、停止或追究</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實質再介入能力：實際上知道系統如何運作，並且有技術、人力、契約與組織能力行使權限</w:t>
      </w:r>
      <w:proofErr w:type="spellEnd"/>
      <w:r>
        <w:rPr>
          <w:rFonts w:eastAsia="Times New Roman"/>
        </w:rPr>
        <w:t>。</w:t>
      </w:r>
    </w:p>
    <w:p w:rsidR="00054B3F" w:rsidRDefault="00675D53">
      <w:pPr>
        <w:spacing w:after="120" w:line="360" w:lineRule="auto"/>
      </w:pPr>
      <w:r>
        <w:rPr>
          <w:rFonts w:eastAsia="Times New Roman"/>
        </w:rPr>
        <w:t>例如，政府即使契約上擁有停止系統的權力，但若沒有原始碼、無法取得訓練資料、</w:t>
      </w:r>
      <w:r>
        <w:rPr>
          <w:rFonts w:eastAsia="Times New Roman"/>
        </w:rPr>
        <w:lastRenderedPageBreak/>
        <w:t xml:space="preserve">缺乏技術人員，或必須完全依賴供應商，便可能是「有權限但無能力」。因此，UCPR </w:t>
      </w:r>
      <w:proofErr w:type="spellStart"/>
      <w:r>
        <w:rPr>
          <w:rFonts w:eastAsia="Times New Roman"/>
        </w:rPr>
        <w:t>不宜設計成三項能力的簡單加總。認知、決策與課責能力具有構成性關係：其中一項長期缺失，都可能使整體的最終再介入能力失效</w:t>
      </w:r>
      <w:proofErr w:type="spellEnd"/>
      <w:r>
        <w:rPr>
          <w:rFonts w:eastAsia="Times New Roman"/>
        </w:rPr>
        <w:t>。</w:t>
      </w:r>
    </w:p>
    <w:p w:rsidR="00054B3F" w:rsidRDefault="00675D53">
      <w:pPr>
        <w:spacing w:after="120" w:line="360" w:lineRule="auto"/>
      </w:pPr>
      <w:r>
        <w:rPr>
          <w:rFonts w:eastAsia="Times New Roman"/>
        </w:rPr>
        <w:t xml:space="preserve">034 </w:t>
      </w:r>
      <w:proofErr w:type="spellStart"/>
      <w:r>
        <w:rPr>
          <w:rFonts w:eastAsia="Times New Roman"/>
        </w:rPr>
        <w:t>已以</w:t>
      </w:r>
      <w:proofErr w:type="spellEnd"/>
      <w:r>
        <w:rPr>
          <w:rFonts w:eastAsia="Times New Roman"/>
        </w:rPr>
        <w:t xml:space="preserve"> UCPR </w:t>
      </w:r>
      <w:proofErr w:type="spellStart"/>
      <w:r>
        <w:rPr>
          <w:rFonts w:eastAsia="Times New Roman"/>
        </w:rPr>
        <w:t>三面向為固定量尺，逐條審計臺灣</w:t>
      </w:r>
      <w:proofErr w:type="spellEnd"/>
      <w:r>
        <w:rPr>
          <w:rFonts w:eastAsia="Times New Roman"/>
        </w:rPr>
        <w:t xml:space="preserve"> AI </w:t>
      </w:r>
      <w:proofErr w:type="spellStart"/>
      <w:r>
        <w:rPr>
          <w:rFonts w:eastAsia="Times New Roman"/>
        </w:rPr>
        <w:t>基本法及子法、EU</w:t>
      </w:r>
      <w:proofErr w:type="spellEnd"/>
      <w:r>
        <w:rPr>
          <w:rFonts w:eastAsia="Times New Roman"/>
        </w:rPr>
        <w:t xml:space="preserve"> AI Act、加拿大自動化決策指令三份現行文本，並新增「法律位階」作為比較軸；同時區分「形式再介入權限」與「規範性實質能力」，提出七項臺灣制度缺口（暫時性與</w:t>
      </w:r>
      <w:r>
        <w:rPr>
          <w:rFonts w:eastAsia="Times New Roman"/>
        </w:rPr>
        <w:t xml:space="preserve">結構性）。下表為 034 </w:t>
      </w:r>
      <w:proofErr w:type="spellStart"/>
      <w:r>
        <w:rPr>
          <w:rFonts w:eastAsia="Times New Roman"/>
        </w:rPr>
        <w:t>所載之比較矩陣框架</w:t>
      </w:r>
      <w:proofErr w:type="spellEnd"/>
      <w:r>
        <w:rPr>
          <w:rFonts w:eastAsia="Times New Roman"/>
        </w:rPr>
        <w:t>：</w:t>
      </w:r>
    </w:p>
    <w:p w:rsidR="00054B3F" w:rsidRDefault="00675D53">
      <w:pPr>
        <w:spacing w:before="160" w:after="80"/>
      </w:pPr>
      <w:r>
        <w:rPr>
          <w:rFonts w:eastAsia="Times New Roman"/>
          <w:b/>
          <w:bCs/>
          <w:sz w:val="22"/>
          <w:szCs w:val="22"/>
        </w:rPr>
        <w:t xml:space="preserve">表 4　UCPR 跨國制度比較矩陣框架（034 </w:t>
      </w:r>
      <w:proofErr w:type="spellStart"/>
      <w:r>
        <w:rPr>
          <w:rFonts w:eastAsia="Times New Roman"/>
          <w:b/>
          <w:bCs/>
          <w:sz w:val="22"/>
          <w:szCs w:val="22"/>
        </w:rPr>
        <w:t>已完成第一輪文本審計</w:t>
      </w:r>
      <w:proofErr w:type="spellEnd"/>
      <w:r>
        <w:rPr>
          <w:rFonts w:eastAsia="Times New Roman"/>
          <w:b/>
          <w:bCs/>
          <w:sz w:val="22"/>
          <w:szCs w:val="22"/>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75"/>
        <w:gridCol w:w="2075"/>
        <w:gridCol w:w="2076"/>
      </w:tblGrid>
      <w:tr w:rsidR="00054B3F">
        <w:tblPrEx>
          <w:tblCellMar>
            <w:top w:w="0" w:type="dxa"/>
            <w:bottom w:w="0" w:type="dxa"/>
          </w:tblCellMar>
        </w:tblPrEx>
        <w:tc>
          <w:tcPr>
            <w:tcW w:w="28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r>
              <w:rPr>
                <w:rFonts w:eastAsia="Times New Roman"/>
                <w:b/>
                <w:bCs/>
                <w:sz w:val="20"/>
                <w:szCs w:val="20"/>
              </w:rPr>
              <w:t xml:space="preserve">UCPR </w:t>
            </w:r>
            <w:proofErr w:type="spellStart"/>
            <w:r>
              <w:rPr>
                <w:rFonts w:eastAsia="Times New Roman"/>
                <w:b/>
                <w:bCs/>
                <w:sz w:val="20"/>
                <w:szCs w:val="20"/>
              </w:rPr>
              <w:t>面向</w:t>
            </w:r>
            <w:proofErr w:type="spellEnd"/>
          </w:p>
        </w:tc>
        <w:tc>
          <w:tcPr>
            <w:tcW w:w="2075"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臺灣</w:t>
            </w:r>
            <w:proofErr w:type="spellEnd"/>
          </w:p>
        </w:tc>
        <w:tc>
          <w:tcPr>
            <w:tcW w:w="2075"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r>
              <w:rPr>
                <w:rFonts w:eastAsia="Times New Roman"/>
                <w:b/>
                <w:bCs/>
                <w:sz w:val="20"/>
                <w:szCs w:val="20"/>
              </w:rPr>
              <w:t>EU</w:t>
            </w:r>
          </w:p>
        </w:tc>
        <w:tc>
          <w:tcPr>
            <w:tcW w:w="2076"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加拿大</w:t>
            </w:r>
            <w:proofErr w:type="spellEnd"/>
          </w:p>
        </w:tc>
      </w:tr>
      <w:tr w:rsidR="00054B3F">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認知（人類覆核、審計權</w:t>
            </w:r>
            <w:proofErr w:type="spellEnd"/>
            <w:r>
              <w:rPr>
                <w:rFonts w:eastAsia="Times New Roman"/>
                <w:sz w:val="20"/>
                <w:szCs w:val="20"/>
              </w:rPr>
              <w:t>）</w:t>
            </w:r>
          </w:p>
        </w:tc>
        <w:tc>
          <w:tcPr>
            <w:tcW w:w="2075"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c>
          <w:tcPr>
            <w:tcW w:w="2075"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c>
          <w:tcPr>
            <w:tcW w:w="207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r>
      <w:tr w:rsidR="00054B3F">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決策（修改權、停止權</w:t>
            </w:r>
            <w:proofErr w:type="spellEnd"/>
            <w:r>
              <w:rPr>
                <w:rFonts w:eastAsia="Times New Roman"/>
                <w:sz w:val="20"/>
                <w:szCs w:val="20"/>
              </w:rPr>
              <w:t>）</w:t>
            </w:r>
          </w:p>
        </w:tc>
        <w:tc>
          <w:tcPr>
            <w:tcW w:w="2075"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c>
          <w:tcPr>
            <w:tcW w:w="2075"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c>
          <w:tcPr>
            <w:tcW w:w="207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r>
      <w:tr w:rsidR="00054B3F">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課責（救濟、責任歸屬</w:t>
            </w:r>
            <w:proofErr w:type="spellEnd"/>
            <w:r>
              <w:rPr>
                <w:rFonts w:eastAsia="Times New Roman"/>
                <w:sz w:val="20"/>
                <w:szCs w:val="20"/>
              </w:rPr>
              <w:t>）</w:t>
            </w:r>
          </w:p>
        </w:tc>
        <w:tc>
          <w:tcPr>
            <w:tcW w:w="2075"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c>
          <w:tcPr>
            <w:tcW w:w="2075"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c>
          <w:tcPr>
            <w:tcW w:w="207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已審計</w:t>
            </w:r>
            <w:proofErr w:type="spellEnd"/>
          </w:p>
        </w:tc>
      </w:tr>
    </w:tbl>
    <w:p w:rsidR="00054B3F" w:rsidRDefault="00675D53">
      <w:pPr>
        <w:spacing w:after="120" w:line="360" w:lineRule="auto"/>
      </w:pPr>
      <w:r>
        <w:rPr>
          <w:rFonts w:eastAsia="Times New Roman"/>
        </w:rPr>
        <w:t xml:space="preserve">031 </w:t>
      </w:r>
      <w:proofErr w:type="spellStart"/>
      <w:r>
        <w:rPr>
          <w:rFonts w:eastAsia="Times New Roman"/>
        </w:rPr>
        <w:t>對電子圍籬個案的檢視顯示，UCPR</w:t>
      </w:r>
      <w:proofErr w:type="spellEnd"/>
      <w:r>
        <w:rPr>
          <w:rFonts w:eastAsia="Times New Roman"/>
        </w:rPr>
        <w:t xml:space="preserve"> </w:t>
      </w:r>
      <w:proofErr w:type="spellStart"/>
      <w:r>
        <w:rPr>
          <w:rFonts w:eastAsia="Times New Roman"/>
        </w:rPr>
        <w:t>三面向在單一個案的文件審查中，對應程度僅達「中至低</w:t>
      </w:r>
      <w:proofErr w:type="spellEnd"/>
      <w:r>
        <w:rPr>
          <w:rFonts w:eastAsia="Times New Roman"/>
        </w:rPr>
        <w:t xml:space="preserve">」。032 的 P3 </w:t>
      </w:r>
      <w:proofErr w:type="spellStart"/>
      <w:r>
        <w:rPr>
          <w:rFonts w:eastAsia="Times New Roman"/>
        </w:rPr>
        <w:t>再介入能力命題已將此進一步表述為可檢驗命題：缺乏事中暫停、修改或否決權的機關，即使具備事後申訴與救濟程序，仍不具備充分的</w:t>
      </w:r>
      <w:proofErr w:type="spellEnd"/>
      <w:r>
        <w:rPr>
          <w:rFonts w:eastAsia="Times New Roman"/>
        </w:rPr>
        <w:t xml:space="preserve"> </w:t>
      </w:r>
      <w:proofErr w:type="spellStart"/>
      <w:r>
        <w:rPr>
          <w:rFonts w:eastAsia="Times New Roman"/>
        </w:rPr>
        <w:t>UCPR。第四研究群在</w:t>
      </w:r>
      <w:proofErr w:type="spellEnd"/>
      <w:r>
        <w:rPr>
          <w:rFonts w:eastAsia="Times New Roman"/>
        </w:rPr>
        <w:t xml:space="preserve"> 034 完成文本層次審計後，核心任務已轉向：把這條命題與經驗資料結合，檢驗「形式權限」與「經驗性實質能力」的落差，究竟在哪些制度設計與組織條件下最為明顯。</w:t>
      </w:r>
    </w:p>
    <w:p w:rsidR="00054B3F" w:rsidRDefault="00675D53">
      <w:pPr>
        <w:pStyle w:val="3"/>
      </w:pPr>
      <w:proofErr w:type="spellStart"/>
      <w:r>
        <w:t>優先缺口</w:t>
      </w:r>
      <w:proofErr w:type="spellEnd"/>
      <w:r>
        <w:t>：「</w:t>
      </w:r>
      <w:proofErr w:type="spellStart"/>
      <w:r>
        <w:t>形式權限</w:t>
      </w:r>
      <w:proofErr w:type="spellEnd"/>
      <w:r>
        <w:t xml:space="preserve"> vs. </w:t>
      </w:r>
      <w:proofErr w:type="spellStart"/>
      <w:r>
        <w:t>經驗性實質能力」的經驗檢驗</w:t>
      </w:r>
      <w:proofErr w:type="spellEnd"/>
    </w:p>
    <w:p w:rsidR="00054B3F" w:rsidRDefault="00675D53">
      <w:pPr>
        <w:spacing w:after="120" w:line="360" w:lineRule="auto"/>
      </w:pPr>
      <w:r>
        <w:rPr>
          <w:rFonts w:eastAsia="Times New Roman"/>
        </w:rPr>
        <w:t>034 已在文本層次區分形式再介入權</w:t>
      </w:r>
      <w:r>
        <w:rPr>
          <w:rFonts w:eastAsia="Times New Roman"/>
        </w:rPr>
        <w:t>限與規範性實質能力。最關鍵的下一步是經驗性檢驗：安全閥與再介入權限寫在紙上或契約上，是否真的被啟動？覆核者是否具備時間、資訊與誘因去行使推翻權？此缺口無法僅靠法律文本或單一個案文件研究回答，需要流程資料、訪談或行為觀察，並與第三研究群的「安全閥空轉」問題合併推進。</w:t>
      </w:r>
    </w:p>
    <w:p w:rsidR="00054B3F" w:rsidRDefault="00675D53">
      <w:pPr>
        <w:pStyle w:val="1"/>
      </w:pPr>
      <w:proofErr w:type="spellStart"/>
      <w:r>
        <w:t>柒、第五研究群：組織與制度</w:t>
      </w:r>
      <w:proofErr w:type="spellEnd"/>
    </w:p>
    <w:p w:rsidR="00054B3F" w:rsidRDefault="00675D53">
      <w:pPr>
        <w:spacing w:after="120" w:line="360" w:lineRule="auto"/>
      </w:pPr>
      <w:proofErr w:type="spellStart"/>
      <w:r>
        <w:rPr>
          <w:rFonts w:eastAsia="Times New Roman"/>
        </w:rPr>
        <w:t>第五研究群涵蓋</w:t>
      </w:r>
      <w:proofErr w:type="spellEnd"/>
      <w:r>
        <w:rPr>
          <w:rFonts w:eastAsia="Times New Roman"/>
        </w:rPr>
        <w:t xml:space="preserve"> AI </w:t>
      </w:r>
      <w:proofErr w:type="spellStart"/>
      <w:r>
        <w:rPr>
          <w:rFonts w:eastAsia="Times New Roman"/>
        </w:rPr>
        <w:t>採購、契約、演算法影響評估（AIA</w:t>
      </w:r>
      <w:proofErr w:type="spellEnd"/>
      <w:r>
        <w:rPr>
          <w:rFonts w:eastAsia="Times New Roman"/>
        </w:rPr>
        <w:t>）、</w:t>
      </w:r>
      <w:proofErr w:type="spellStart"/>
      <w:r>
        <w:rPr>
          <w:rFonts w:eastAsia="Times New Roman"/>
        </w:rPr>
        <w:t>稽核、監督、資料治理、模型漂移、系統更新、強制停止機制（kill</w:t>
      </w:r>
      <w:proofErr w:type="spellEnd"/>
      <w:r>
        <w:rPr>
          <w:rFonts w:eastAsia="Times New Roman"/>
        </w:rPr>
        <w:t xml:space="preserve"> </w:t>
      </w:r>
      <w:r>
        <w:rPr>
          <w:rFonts w:eastAsia="Times New Roman"/>
        </w:rPr>
        <w:lastRenderedPageBreak/>
        <w:t xml:space="preserve">switch）、救濟銜接等議題。這是五個研究群中目前最開放、也最缺乏系列內既有專篇處理的領域：031 僅將公私協同治理與委外責任列為待驗證假說，032 </w:t>
      </w:r>
      <w:proofErr w:type="spellStart"/>
      <w:r>
        <w:rPr>
          <w:rFonts w:eastAsia="Times New Roman"/>
        </w:rPr>
        <w:t>僅以</w:t>
      </w:r>
      <w:proofErr w:type="spellEnd"/>
      <w:r>
        <w:rPr>
          <w:rFonts w:eastAsia="Times New Roman"/>
        </w:rPr>
        <w:t xml:space="preserve"> P4 外包風險命題點出私人供應商掌握模型更新與資料管線控制權的潛在風險，034 </w:t>
      </w:r>
      <w:proofErr w:type="spellStart"/>
      <w:r>
        <w:rPr>
          <w:rFonts w:eastAsia="Times New Roman"/>
        </w:rPr>
        <w:t>雖已處理採購與外部供應商在臺灣</w:t>
      </w:r>
      <w:proofErr w:type="spellEnd"/>
      <w:r>
        <w:rPr>
          <w:rFonts w:eastAsia="Times New Roman"/>
        </w:rPr>
        <w:t xml:space="preserve"> AI </w:t>
      </w:r>
      <w:proofErr w:type="spellStart"/>
      <w:r>
        <w:rPr>
          <w:rFonts w:eastAsia="Times New Roman"/>
        </w:rPr>
        <w:t>基本法制度中的定位，但其分析對象是法律文本而非組織實務，兩者角度不同，不能互相取代</w:t>
      </w:r>
      <w:proofErr w:type="spellEnd"/>
      <w:r>
        <w:rPr>
          <w:rFonts w:eastAsia="Times New Roman"/>
        </w:rPr>
        <w:t>。</w:t>
      </w:r>
    </w:p>
    <w:p w:rsidR="00054B3F" w:rsidRDefault="00675D53">
      <w:pPr>
        <w:spacing w:after="120" w:line="360" w:lineRule="auto"/>
      </w:pPr>
      <w:proofErr w:type="spellStart"/>
      <w:r>
        <w:rPr>
          <w:rFonts w:eastAsia="Times New Roman"/>
        </w:rPr>
        <w:t>這個研究群的問題性質，多</w:t>
      </w:r>
      <w:r>
        <w:rPr>
          <w:rFonts w:eastAsia="Times New Roman"/>
        </w:rPr>
        <w:t>半跨越</w:t>
      </w:r>
      <w:proofErr w:type="spellEnd"/>
      <w:r>
        <w:rPr>
          <w:rFonts w:eastAsia="Times New Roman"/>
        </w:rPr>
        <w:t xml:space="preserve"> </w:t>
      </w:r>
      <w:proofErr w:type="spellStart"/>
      <w:r>
        <w:rPr>
          <w:rFonts w:eastAsia="Times New Roman"/>
        </w:rPr>
        <w:t>DAA、裁量場、UCPR</w:t>
      </w:r>
      <w:proofErr w:type="spellEnd"/>
      <w:r>
        <w:rPr>
          <w:rFonts w:eastAsia="Times New Roman"/>
        </w:rPr>
        <w:t xml:space="preserve"> </w:t>
      </w:r>
      <w:proofErr w:type="spellStart"/>
      <w:r>
        <w:rPr>
          <w:rFonts w:eastAsia="Times New Roman"/>
        </w:rPr>
        <w:t>三個構面，屬於應用層次的組織設計問題：AI</w:t>
      </w:r>
      <w:proofErr w:type="spellEnd"/>
      <w:r>
        <w:rPr>
          <w:rFonts w:eastAsia="Times New Roman"/>
        </w:rPr>
        <w:t xml:space="preserve"> 採購契約如何影響公共機關之決策能力？演算法影響評估應在行政流程的哪個節點嵌入才能發揮把關功能？模型更新與資料漂移長期而言如何侵蝕原已存在的 UCPR？組織與制度層次的設計選擇，往往決定了公共機關最終走向抵抗或調適的哪一種回應路徑。由於系列中尚無專篇以此為主要分析對象，本文將第五研究群列為優先建議展開的領域，並建議其研究設計宜採取制度分析與長期追蹤兩種方法並用。</w:t>
      </w:r>
    </w:p>
    <w:p w:rsidR="00054B3F" w:rsidRDefault="00675D53">
      <w:pPr>
        <w:pStyle w:val="3"/>
      </w:pPr>
      <w:proofErr w:type="spellStart"/>
      <w:r>
        <w:t>優先缺口：長期組織追蹤</w:t>
      </w:r>
      <w:proofErr w:type="spellEnd"/>
    </w:p>
    <w:p w:rsidR="00054B3F" w:rsidRDefault="00675D53">
      <w:pPr>
        <w:spacing w:after="120" w:line="360" w:lineRule="auto"/>
      </w:pPr>
      <w:r>
        <w:rPr>
          <w:rFonts w:eastAsia="Times New Roman"/>
        </w:rPr>
        <w:t xml:space="preserve">AI </w:t>
      </w:r>
      <w:proofErr w:type="spellStart"/>
      <w:r>
        <w:rPr>
          <w:rFonts w:eastAsia="Times New Roman"/>
        </w:rPr>
        <w:t>採購契約、模型更新、資料漂移、供應商更替</w:t>
      </w:r>
      <w:r>
        <w:rPr>
          <w:rFonts w:eastAsia="Times New Roman"/>
        </w:rPr>
        <w:t>、人員流動如何逐步侵蝕原已存在的</w:t>
      </w:r>
      <w:proofErr w:type="spellEnd"/>
      <w:r>
        <w:rPr>
          <w:rFonts w:eastAsia="Times New Roman"/>
        </w:rPr>
        <w:t xml:space="preserve"> UCPR，目前系列中完全沒有專篇處理。034 已指出採購契約缺口屬結構性缺口，但分析對象仍是法律文本而非組織實務。此缺口適合以長期追蹤與制度分析並用，對應三階段研究設計的第三階段，也是目前最缺乏系列內累積的領域。</w:t>
      </w:r>
    </w:p>
    <w:p w:rsidR="00054B3F" w:rsidRDefault="00675D53">
      <w:pPr>
        <w:pStyle w:val="1"/>
      </w:pPr>
      <w:proofErr w:type="spellStart"/>
      <w:r>
        <w:t>捌、研究方法議程與三階段研究設計</w:t>
      </w:r>
      <w:proofErr w:type="spellEnd"/>
    </w:p>
    <w:p w:rsidR="00054B3F" w:rsidRDefault="00675D53">
      <w:pPr>
        <w:pStyle w:val="2"/>
      </w:pPr>
      <w:proofErr w:type="spellStart"/>
      <w:r>
        <w:t>一、核心構念與方法的基本配對</w:t>
      </w:r>
      <w:proofErr w:type="spellEnd"/>
    </w:p>
    <w:p w:rsidR="00054B3F" w:rsidRDefault="00675D53">
      <w:pPr>
        <w:spacing w:after="120" w:line="360" w:lineRule="auto"/>
      </w:pPr>
      <w:proofErr w:type="spellStart"/>
      <w:r>
        <w:rPr>
          <w:rFonts w:eastAsia="Times New Roman"/>
        </w:rPr>
        <w:t>本章建立問題與方法的對應。下表為</w:t>
      </w:r>
      <w:proofErr w:type="spellEnd"/>
      <w:r>
        <w:rPr>
          <w:rFonts w:eastAsia="Times New Roman"/>
        </w:rPr>
        <w:t xml:space="preserve"> GDA </w:t>
      </w:r>
      <w:proofErr w:type="spellStart"/>
      <w:r>
        <w:rPr>
          <w:rFonts w:eastAsia="Times New Roman"/>
        </w:rPr>
        <w:t>模型核心構念與研究方法的基本配對，其中「SDC（裁量空間壓縮</w:t>
      </w:r>
      <w:proofErr w:type="spellEnd"/>
      <w:r>
        <w:rPr>
          <w:rFonts w:eastAsia="Times New Roman"/>
        </w:rPr>
        <w:t>）」</w:t>
      </w:r>
      <w:proofErr w:type="spellStart"/>
      <w:r>
        <w:rPr>
          <w:rFonts w:eastAsia="Times New Roman"/>
        </w:rPr>
        <w:t>為裁量場構面下的描述性概念，非規範轉換構面之判準</w:t>
      </w:r>
      <w:proofErr w:type="spellEnd"/>
      <w:r>
        <w:rPr>
          <w:rFonts w:eastAsia="Times New Roman"/>
        </w:rPr>
        <w:t>：</w:t>
      </w:r>
    </w:p>
    <w:p w:rsidR="00054B3F" w:rsidRDefault="00675D53">
      <w:pPr>
        <w:spacing w:before="160" w:after="80"/>
      </w:pPr>
      <w:r>
        <w:rPr>
          <w:rFonts w:eastAsia="Times New Roman"/>
          <w:b/>
          <w:bCs/>
          <w:sz w:val="22"/>
          <w:szCs w:val="22"/>
        </w:rPr>
        <w:t xml:space="preserve">表 5　</w:t>
      </w:r>
      <w:proofErr w:type="spellStart"/>
      <w:r>
        <w:rPr>
          <w:rFonts w:eastAsia="Times New Roman"/>
          <w:b/>
          <w:bCs/>
          <w:sz w:val="22"/>
          <w:szCs w:val="22"/>
        </w:rPr>
        <w:t>核心構念與適合方法</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054B3F">
        <w:tblPrEx>
          <w:tblCellMar>
            <w:top w:w="0" w:type="dxa"/>
            <w:bottom w:w="0" w:type="dxa"/>
          </w:tblCellMar>
        </w:tblPrEx>
        <w:tc>
          <w:tcPr>
            <w:tcW w:w="35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核心構念</w:t>
            </w:r>
            <w:proofErr w:type="spellEnd"/>
          </w:p>
        </w:tc>
        <w:tc>
          <w:tcPr>
            <w:tcW w:w="5526"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適合</w:t>
            </w:r>
            <w:r>
              <w:rPr>
                <w:rFonts w:eastAsia="Times New Roman"/>
                <w:b/>
                <w:bCs/>
                <w:sz w:val="20"/>
                <w:szCs w:val="20"/>
              </w:rPr>
              <w:t>方法</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DAA</w:t>
            </w:r>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個案研究</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裁量場</w:t>
            </w:r>
            <w:proofErr w:type="spellEnd"/>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流程研究</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lastRenderedPageBreak/>
              <w:t>SDC（裁量空間壓縮</w:t>
            </w:r>
            <w:proofErr w:type="spellEnd"/>
            <w:r>
              <w:rPr>
                <w:rFonts w:eastAsia="Times New Roman"/>
                <w:sz w:val="20"/>
                <w:szCs w:val="20"/>
              </w:rPr>
              <w:t>）</w:t>
            </w:r>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比較個案</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UCPR</w:t>
            </w:r>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制度分析</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推翻成本</w:t>
            </w:r>
            <w:proofErr w:type="spellEnd"/>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訪談／問卷</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規範轉換</w:t>
            </w:r>
            <w:proofErr w:type="spellEnd"/>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法律分析</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AI </w:t>
            </w:r>
            <w:proofErr w:type="spellStart"/>
            <w:r>
              <w:rPr>
                <w:rFonts w:eastAsia="Times New Roman"/>
                <w:sz w:val="20"/>
                <w:szCs w:val="20"/>
              </w:rPr>
              <w:t>治理</w:t>
            </w:r>
            <w:proofErr w:type="spellEnd"/>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跨國比較</w:t>
            </w:r>
            <w:proofErr w:type="spellEnd"/>
          </w:p>
        </w:tc>
      </w:tr>
      <w:tr w:rsidR="00054B3F">
        <w:tblPrEx>
          <w:tblCellMar>
            <w:top w:w="0" w:type="dxa"/>
            <w:bottom w:w="0" w:type="dxa"/>
          </w:tblCellMar>
        </w:tblPrEx>
        <w:tc>
          <w:tcPr>
            <w:tcW w:w="3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資料漂移</w:t>
            </w:r>
            <w:proofErr w:type="spellEnd"/>
          </w:p>
        </w:tc>
        <w:tc>
          <w:tcPr>
            <w:tcW w:w="55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長期追蹤</w:t>
            </w:r>
            <w:proofErr w:type="spellEnd"/>
          </w:p>
        </w:tc>
      </w:tr>
    </w:tbl>
    <w:p w:rsidR="00054B3F" w:rsidRDefault="00675D53">
      <w:pPr>
        <w:spacing w:after="120" w:line="360" w:lineRule="auto"/>
      </w:pPr>
      <w:r>
        <w:rPr>
          <w:rFonts w:eastAsia="Times New Roman"/>
        </w:rPr>
        <w:t xml:space="preserve">上表僅是核心構念與方法的基本配對，實際研究問題往往需要組合多種方法。下表進一步依五個研究群，列出代表性問題、適合方法，以及該問題目前在系列中的現況（已依 034、035 </w:t>
      </w:r>
      <w:proofErr w:type="spellStart"/>
      <w:r>
        <w:rPr>
          <w:rFonts w:eastAsia="Times New Roman"/>
        </w:rPr>
        <w:t>完成後狀態更新</w:t>
      </w:r>
      <w:proofErr w:type="spellEnd"/>
      <w:r>
        <w:rPr>
          <w:rFonts w:eastAsia="Times New Roman"/>
        </w:rPr>
        <w:t>）：</w:t>
      </w:r>
    </w:p>
    <w:p w:rsidR="00054B3F" w:rsidRDefault="00675D53">
      <w:pPr>
        <w:spacing w:before="160" w:after="80"/>
      </w:pPr>
      <w:r>
        <w:rPr>
          <w:rFonts w:eastAsia="Times New Roman"/>
          <w:b/>
          <w:bCs/>
          <w:sz w:val="22"/>
          <w:szCs w:val="22"/>
        </w:rPr>
        <w:t xml:space="preserve">表 6　</w:t>
      </w:r>
      <w:proofErr w:type="spellStart"/>
      <w:r>
        <w:rPr>
          <w:rFonts w:eastAsia="Times New Roman"/>
          <w:b/>
          <w:bCs/>
          <w:sz w:val="22"/>
          <w:szCs w:val="22"/>
        </w:rPr>
        <w:t>五個研究群的問題</w:t>
      </w:r>
      <w:proofErr w:type="spellEnd"/>
      <w:r>
        <w:rPr>
          <w:rFonts w:eastAsia="Times New Roman"/>
          <w:b/>
          <w:bCs/>
          <w:sz w:val="22"/>
          <w:szCs w:val="22"/>
        </w:rPr>
        <w:t>—</w:t>
      </w:r>
      <w:proofErr w:type="spellStart"/>
      <w:r>
        <w:rPr>
          <w:rFonts w:eastAsia="Times New Roman"/>
          <w:b/>
          <w:bCs/>
          <w:sz w:val="22"/>
          <w:szCs w:val="22"/>
        </w:rPr>
        <w:t>方法</w:t>
      </w:r>
      <w:proofErr w:type="spellEnd"/>
      <w:r>
        <w:rPr>
          <w:rFonts w:eastAsia="Times New Roman"/>
          <w:b/>
          <w:bCs/>
          <w:sz w:val="22"/>
          <w:szCs w:val="22"/>
        </w:rPr>
        <w:t xml:space="preserve">—現況對照（034／035 </w:t>
      </w:r>
      <w:proofErr w:type="spellStart"/>
      <w:r>
        <w:rPr>
          <w:rFonts w:eastAsia="Times New Roman"/>
          <w:b/>
          <w:bCs/>
          <w:sz w:val="22"/>
          <w:szCs w:val="22"/>
        </w:rPr>
        <w:t>校準後</w:t>
      </w:r>
      <w:proofErr w:type="spellEnd"/>
      <w:r>
        <w:rPr>
          <w:rFonts w:eastAsia="Times New Roman"/>
          <w:b/>
          <w:bCs/>
          <w:sz w:val="22"/>
          <w:szCs w:val="22"/>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1"/>
        <w:gridCol w:w="4760"/>
        <w:gridCol w:w="1960"/>
        <w:gridCol w:w="4305"/>
      </w:tblGrid>
      <w:tr w:rsidR="00054B3F">
        <w:tblPrEx>
          <w:tblCellMar>
            <w:top w:w="0" w:type="dxa"/>
            <w:bottom w:w="0" w:type="dxa"/>
          </w:tblCellMar>
        </w:tblPrEx>
        <w:tc>
          <w:tcPr>
            <w:tcW w:w="12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研究群</w:t>
            </w:r>
            <w:proofErr w:type="spellEnd"/>
          </w:p>
        </w:tc>
        <w:tc>
          <w:tcPr>
            <w:tcW w:w="28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代表性問題</w:t>
            </w:r>
            <w:proofErr w:type="spellEnd"/>
          </w:p>
        </w:tc>
        <w:tc>
          <w:tcPr>
            <w:tcW w:w="1800"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適合方法</w:t>
            </w:r>
            <w:proofErr w:type="spellEnd"/>
          </w:p>
        </w:tc>
        <w:tc>
          <w:tcPr>
            <w:tcW w:w="3226" w:type="dxa"/>
            <w:tcBorders>
              <w:top w:val="single" w:sz="1" w:space="0" w:color="666666"/>
              <w:left w:val="single" w:sz="1" w:space="0" w:color="666666"/>
              <w:bottom w:val="single" w:sz="1" w:space="0" w:color="666666"/>
              <w:right w:val="single" w:sz="1" w:space="0" w:color="666666"/>
            </w:tcBorders>
            <w:shd w:val="clear" w:color="auto" w:fill="E8E8E8"/>
            <w:tcMar>
              <w:top w:w="60" w:type="dxa"/>
              <w:left w:w="80" w:type="dxa"/>
              <w:bottom w:w="60" w:type="dxa"/>
              <w:right w:w="80" w:type="dxa"/>
            </w:tcMar>
          </w:tcPr>
          <w:p w:rsidR="00054B3F" w:rsidRDefault="00675D53">
            <w:pPr>
              <w:spacing w:after="40"/>
            </w:pPr>
            <w:proofErr w:type="spellStart"/>
            <w:r>
              <w:rPr>
                <w:rFonts w:eastAsia="Times New Roman"/>
                <w:b/>
                <w:bCs/>
                <w:sz w:val="20"/>
                <w:szCs w:val="20"/>
              </w:rPr>
              <w:t>現況（校準後</w:t>
            </w:r>
            <w:proofErr w:type="spellEnd"/>
            <w:r>
              <w:rPr>
                <w:rFonts w:eastAsia="Times New Roman"/>
                <w:b/>
                <w:bCs/>
                <w:sz w:val="20"/>
                <w:szCs w:val="20"/>
              </w:rPr>
              <w:t>）</w:t>
            </w:r>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第一群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AI </w:t>
            </w:r>
            <w:proofErr w:type="spellStart"/>
            <w:r>
              <w:rPr>
                <w:rFonts w:eastAsia="Times New Roman"/>
                <w:sz w:val="20"/>
                <w:szCs w:val="20"/>
              </w:rPr>
              <w:t>供應商、資料提供者是否應被納入</w:t>
            </w:r>
            <w:proofErr w:type="spellEnd"/>
            <w:r>
              <w:rPr>
                <w:rFonts w:eastAsia="Times New Roman"/>
                <w:sz w:val="20"/>
                <w:szCs w:val="20"/>
              </w:rPr>
              <w:t xml:space="preserve"> DAA </w:t>
            </w:r>
            <w:proofErr w:type="spellStart"/>
            <w:r>
              <w:rPr>
                <w:rFonts w:eastAsia="Times New Roman"/>
                <w:sz w:val="20"/>
                <w:szCs w:val="20"/>
              </w:rPr>
              <w:t>的正式構成要素</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個案研究／比較個案</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031 </w:t>
            </w:r>
            <w:proofErr w:type="spellStart"/>
            <w:r>
              <w:rPr>
                <w:rFonts w:eastAsia="Times New Roman"/>
                <w:sz w:val="20"/>
                <w:szCs w:val="20"/>
              </w:rPr>
              <w:t>已嘗試編碼，惟參數設定者之法律性質仍【U</w:t>
            </w:r>
            <w:proofErr w:type="spellEnd"/>
            <w:r>
              <w:rPr>
                <w:rFonts w:eastAsia="Times New Roman"/>
                <w:sz w:val="20"/>
                <w:szCs w:val="20"/>
              </w:rPr>
              <w:t>】</w:t>
            </w:r>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第一群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公私協同治理下，委外責任如何在</w:t>
            </w:r>
            <w:proofErr w:type="spellEnd"/>
            <w:r>
              <w:rPr>
                <w:rFonts w:eastAsia="Times New Roman"/>
                <w:sz w:val="20"/>
                <w:szCs w:val="20"/>
              </w:rPr>
              <w:t xml:space="preserve"> DAA </w:t>
            </w:r>
            <w:proofErr w:type="spellStart"/>
            <w:r>
              <w:rPr>
                <w:rFonts w:eastAsia="Times New Roman"/>
                <w:sz w:val="20"/>
                <w:szCs w:val="20"/>
              </w:rPr>
              <w:t>四層中定位</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個案研究／制度分析</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031 </w:t>
            </w:r>
            <w:proofErr w:type="spellStart"/>
            <w:r>
              <w:rPr>
                <w:rFonts w:eastAsia="Times New Roman"/>
                <w:sz w:val="20"/>
                <w:szCs w:val="20"/>
              </w:rPr>
              <w:t>列為待驗證假說，尚無實證資料</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第二群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人類覆核節點的實質推翻率如何測量</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流程研究／訪談問卷</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032 之 P2 </w:t>
            </w:r>
            <w:proofErr w:type="spellStart"/>
            <w:r>
              <w:rPr>
                <w:rFonts w:eastAsia="Times New Roman"/>
                <w:sz w:val="20"/>
                <w:szCs w:val="20"/>
              </w:rPr>
              <w:t>命題尚待驗證；SDC</w:t>
            </w:r>
            <w:proofErr w:type="spellEnd"/>
            <w:r>
              <w:rPr>
                <w:rFonts w:eastAsia="Times New Roman"/>
                <w:sz w:val="20"/>
                <w:szCs w:val="20"/>
              </w:rPr>
              <w:t xml:space="preserve"> </w:t>
            </w:r>
            <w:proofErr w:type="spellStart"/>
            <w:r>
              <w:rPr>
                <w:rFonts w:eastAsia="Times New Roman"/>
                <w:sz w:val="20"/>
                <w:szCs w:val="20"/>
              </w:rPr>
              <w:t>可觀察指標仍缺</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第二群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SDC </w:t>
            </w:r>
            <w:proofErr w:type="spellStart"/>
            <w:r>
              <w:rPr>
                <w:rFonts w:eastAsia="Times New Roman"/>
                <w:sz w:val="20"/>
                <w:szCs w:val="20"/>
              </w:rPr>
              <w:t>能否延伸適用於司法審查階段</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流程研究／比較個案</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031 </w:t>
            </w:r>
            <w:proofErr w:type="spellStart"/>
            <w:r>
              <w:rPr>
                <w:rFonts w:eastAsia="Times New Roman"/>
                <w:sz w:val="20"/>
                <w:szCs w:val="20"/>
              </w:rPr>
              <w:t>標示為理論外推，資料不足以確認</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第三群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規範轉換四判準應如何組合為可操作的強度分級</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法律分析</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035 </w:t>
            </w:r>
            <w:proofErr w:type="spellStart"/>
            <w:r>
              <w:rPr>
                <w:rFonts w:eastAsia="Times New Roman"/>
                <w:sz w:val="20"/>
                <w:szCs w:val="20"/>
              </w:rPr>
              <w:t>已完成第一輪操作化工具；經驗檢驗空白</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第三群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個案中技術選擇的規範轉換強度如何跨案例比較</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比較個案</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操作化已具備，跨案例應用尚未展開</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第四群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臺灣、EU、加拿大三制度之</w:t>
            </w:r>
            <w:proofErr w:type="spellEnd"/>
            <w:r>
              <w:rPr>
                <w:rFonts w:eastAsia="Times New Roman"/>
                <w:sz w:val="20"/>
                <w:szCs w:val="20"/>
              </w:rPr>
              <w:t xml:space="preserve"> UCPR </w:t>
            </w:r>
            <w:proofErr w:type="spellStart"/>
            <w:r>
              <w:rPr>
                <w:rFonts w:eastAsia="Times New Roman"/>
                <w:sz w:val="20"/>
                <w:szCs w:val="20"/>
              </w:rPr>
              <w:t>涵蓋程度有何差異</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制度分析／跨國比較</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034 </w:t>
            </w:r>
            <w:proofErr w:type="spellStart"/>
            <w:r>
              <w:rPr>
                <w:rFonts w:eastAsia="Times New Roman"/>
                <w:sz w:val="20"/>
                <w:szCs w:val="20"/>
              </w:rPr>
              <w:t>已完成第一輪文本層次審計</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第四群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w:t>
            </w:r>
            <w:proofErr w:type="spellStart"/>
            <w:r>
              <w:rPr>
                <w:rFonts w:eastAsia="Times New Roman"/>
                <w:sz w:val="20"/>
                <w:szCs w:val="20"/>
              </w:rPr>
              <w:t>形式再介入」與「實質再介入」的落差如何量測</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制度分析／訪談問卷</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文本層次已區分；經驗性實質能力仍完全空白</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第五群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AI </w:t>
            </w:r>
            <w:proofErr w:type="spellStart"/>
            <w:r>
              <w:rPr>
                <w:rFonts w:eastAsia="Times New Roman"/>
                <w:sz w:val="20"/>
                <w:szCs w:val="20"/>
              </w:rPr>
              <w:t>採購契約如何影響公共機關之決策能力</w:t>
            </w:r>
            <w:proofErr w:type="spellEnd"/>
            <w:r>
              <w:rPr>
                <w:rFonts w:eastAsia="Times New Roman"/>
                <w:sz w:val="20"/>
                <w:szCs w:val="20"/>
              </w:rPr>
              <w:t>？</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制度分析／個案研究</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r>
              <w:rPr>
                <w:rFonts w:eastAsia="Times New Roman"/>
                <w:sz w:val="20"/>
                <w:szCs w:val="20"/>
              </w:rPr>
              <w:t xml:space="preserve">032 之 P4 </w:t>
            </w:r>
            <w:proofErr w:type="spellStart"/>
            <w:r>
              <w:rPr>
                <w:rFonts w:eastAsia="Times New Roman"/>
                <w:sz w:val="20"/>
                <w:szCs w:val="20"/>
              </w:rPr>
              <w:t>命題尚待驗證；組織實務追蹤空白</w:t>
            </w:r>
            <w:proofErr w:type="spellEnd"/>
          </w:p>
        </w:tc>
      </w:tr>
      <w:tr w:rsidR="00054B3F">
        <w:tblPrEx>
          <w:tblCellMar>
            <w:top w:w="0" w:type="dxa"/>
            <w:bottom w:w="0" w:type="dxa"/>
          </w:tblCellMar>
        </w:tblPrEx>
        <w:tc>
          <w:tcPr>
            <w:tcW w:w="1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第五群</w:t>
            </w:r>
            <w:proofErr w:type="spellEnd"/>
          </w:p>
        </w:tc>
        <w:tc>
          <w:tcPr>
            <w:tcW w:w="2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模型更新與資料漂移，長期而言如何侵蝕</w:t>
            </w:r>
            <w:proofErr w:type="spellEnd"/>
            <w:r>
              <w:rPr>
                <w:rFonts w:eastAsia="Times New Roman"/>
                <w:sz w:val="20"/>
                <w:szCs w:val="20"/>
              </w:rPr>
              <w:t xml:space="preserve"> UCPR？</w:t>
            </w:r>
          </w:p>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長期追蹤</w:t>
            </w:r>
            <w:proofErr w:type="spellEnd"/>
          </w:p>
        </w:tc>
        <w:tc>
          <w:tcPr>
            <w:tcW w:w="322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rsidR="00054B3F" w:rsidRDefault="00675D53">
            <w:pPr>
              <w:spacing w:after="40"/>
            </w:pPr>
            <w:proofErr w:type="spellStart"/>
            <w:r>
              <w:rPr>
                <w:rFonts w:eastAsia="Times New Roman"/>
                <w:sz w:val="20"/>
                <w:szCs w:val="20"/>
              </w:rPr>
              <w:t>系列中尚無專篇處理；目前最缺乏累積</w:t>
            </w:r>
            <w:proofErr w:type="spellEnd"/>
          </w:p>
        </w:tc>
      </w:tr>
    </w:tbl>
    <w:p w:rsidR="00054B3F" w:rsidRDefault="00675D53">
      <w:pPr>
        <w:pStyle w:val="2"/>
      </w:pPr>
      <w:r>
        <w:t xml:space="preserve">二、三階段研究設計（034／035 </w:t>
      </w:r>
      <w:proofErr w:type="spellStart"/>
      <w:r>
        <w:t>校準後更新</w:t>
      </w:r>
      <w:proofErr w:type="spellEnd"/>
      <w:r>
        <w:t>）</w:t>
      </w:r>
    </w:p>
    <w:p w:rsidR="00054B3F" w:rsidRDefault="00675D53">
      <w:pPr>
        <w:spacing w:after="120" w:line="360" w:lineRule="auto"/>
      </w:pPr>
      <w:proofErr w:type="spellStart"/>
      <w:r>
        <w:rPr>
          <w:rFonts w:eastAsia="Times New Roman"/>
        </w:rPr>
        <w:t>若要將這份議程轉化為後續研究，可優先採取以下三階段，使問題清單不再停留在盤點，而能進入可分工執行的研究序列。本版依</w:t>
      </w:r>
      <w:proofErr w:type="spellEnd"/>
      <w:r>
        <w:rPr>
          <w:rFonts w:eastAsia="Times New Roman"/>
        </w:rPr>
        <w:t xml:space="preserve"> 034、035 </w:t>
      </w:r>
      <w:proofErr w:type="spellStart"/>
      <w:r>
        <w:rPr>
          <w:rFonts w:eastAsia="Times New Roman"/>
        </w:rPr>
        <w:t>完成後之實際狀態，更新各階段之優先性說明</w:t>
      </w:r>
      <w:proofErr w:type="spellEnd"/>
      <w:r>
        <w:rPr>
          <w:rFonts w:eastAsia="Times New Roman"/>
        </w:rPr>
        <w:t>。</w:t>
      </w:r>
    </w:p>
    <w:p w:rsidR="00054B3F" w:rsidRDefault="00675D53">
      <w:pPr>
        <w:pStyle w:val="3"/>
      </w:pPr>
      <w:proofErr w:type="spellStart"/>
      <w:r>
        <w:t>第一階段：驗證裁量命題（仍為最高優先</w:t>
      </w:r>
      <w:proofErr w:type="spellEnd"/>
      <w:r>
        <w:t>）</w:t>
      </w:r>
    </w:p>
    <w:p w:rsidR="00054B3F" w:rsidRDefault="00675D53">
      <w:pPr>
        <w:spacing w:after="120" w:line="360" w:lineRule="auto"/>
      </w:pPr>
      <w:proofErr w:type="spellStart"/>
      <w:r>
        <w:rPr>
          <w:rFonts w:eastAsia="Times New Roman"/>
        </w:rPr>
        <w:t>以多個</w:t>
      </w:r>
      <w:proofErr w:type="spellEnd"/>
      <w:r>
        <w:rPr>
          <w:rFonts w:eastAsia="Times New Roman"/>
        </w:rPr>
        <w:t xml:space="preserve"> AI 行政個案建立流程資料，檢驗：行政結果涉及的生成位置越多，是否越難追溯與理解；模型門檻與介面預設越固定，人類覆核推翻率是否越低；形式覆核與實質覆核能否</w:t>
      </w:r>
      <w:r>
        <w:rPr>
          <w:rFonts w:eastAsia="Times New Roman"/>
        </w:rPr>
        <w:lastRenderedPageBreak/>
        <w:t xml:space="preserve">透過文件、訪談及行為資料區分。此階段直接對應 032 的 P1、P2 </w:t>
      </w:r>
      <w:proofErr w:type="spellStart"/>
      <w:r>
        <w:rPr>
          <w:rFonts w:eastAsia="Times New Roman"/>
        </w:rPr>
        <w:t>命題，以及第二研究群的操作化缺口。因</w:t>
      </w:r>
      <w:proofErr w:type="spellEnd"/>
      <w:r>
        <w:rPr>
          <w:rFonts w:eastAsia="Times New Roman"/>
        </w:rPr>
        <w:t xml:space="preserve"> 035 </w:t>
      </w:r>
      <w:proofErr w:type="spellStart"/>
      <w:r>
        <w:rPr>
          <w:rFonts w:eastAsia="Times New Roman"/>
        </w:rPr>
        <w:t>已提供例外條件的操作化工具，測量設計可直接銜接</w:t>
      </w:r>
      <w:proofErr w:type="spellEnd"/>
      <w:r>
        <w:rPr>
          <w:rFonts w:eastAsia="Times New Roman"/>
        </w:rPr>
        <w:t>。</w:t>
      </w:r>
    </w:p>
    <w:p w:rsidR="00054B3F" w:rsidRDefault="00675D53">
      <w:pPr>
        <w:pStyle w:val="3"/>
      </w:pPr>
      <w:proofErr w:type="spellStart"/>
      <w:r>
        <w:t>第二階段：進行制度文本審計（已由</w:t>
      </w:r>
      <w:proofErr w:type="spellEnd"/>
      <w:r>
        <w:t xml:space="preserve"> 034 </w:t>
      </w:r>
      <w:proofErr w:type="spellStart"/>
      <w:r>
        <w:t>完成第一輪</w:t>
      </w:r>
      <w:proofErr w:type="spellEnd"/>
      <w:r>
        <w:t>）</w:t>
      </w:r>
    </w:p>
    <w:p w:rsidR="00054B3F" w:rsidRDefault="00675D53">
      <w:pPr>
        <w:spacing w:after="120" w:line="360" w:lineRule="auto"/>
      </w:pPr>
      <w:r>
        <w:rPr>
          <w:rFonts w:eastAsia="Times New Roman"/>
        </w:rPr>
        <w:t>比較臺灣、歐盟與加拿大制度，逐條檢查：是否有模型說明與稽核權；機關是否有修改、暫停與停止權；是否有明確的責任歸屬和救濟途徑；法律</w:t>
      </w:r>
      <w:r>
        <w:rPr>
          <w:rFonts w:eastAsia="Times New Roman"/>
        </w:rPr>
        <w:t xml:space="preserve">上的權限是否搭配實際執行能力。此階段已由 034 </w:t>
      </w:r>
      <w:proofErr w:type="spellStart"/>
      <w:r>
        <w:rPr>
          <w:rFonts w:eastAsia="Times New Roman"/>
        </w:rPr>
        <w:t>完成第一輪文本層次審計。後續可擴及更多法域或更新後的子法文本，但不再是「尚未啟動」的空白。後續重點轉為經驗性實質能力的測量</w:t>
      </w:r>
      <w:proofErr w:type="spellEnd"/>
      <w:r>
        <w:rPr>
          <w:rFonts w:eastAsia="Times New Roman"/>
        </w:rPr>
        <w:t>。</w:t>
      </w:r>
    </w:p>
    <w:p w:rsidR="00054B3F" w:rsidRDefault="00675D53">
      <w:pPr>
        <w:pStyle w:val="3"/>
      </w:pPr>
      <w:proofErr w:type="spellStart"/>
      <w:r>
        <w:t>第三階段：進行長期組織追蹤（目前完全空白，建議列為中期最需投入</w:t>
      </w:r>
      <w:proofErr w:type="spellEnd"/>
      <w:r>
        <w:t>）</w:t>
      </w:r>
    </w:p>
    <w:p w:rsidR="00054B3F" w:rsidRDefault="00675D53">
      <w:pPr>
        <w:spacing w:after="120" w:line="360" w:lineRule="auto"/>
      </w:pPr>
      <w:proofErr w:type="spellStart"/>
      <w:r>
        <w:rPr>
          <w:rFonts w:eastAsia="Times New Roman"/>
        </w:rPr>
        <w:t>觀察系統導入後的模型更新、資料漂移、供應商更替與人員流動，分析</w:t>
      </w:r>
      <w:proofErr w:type="spellEnd"/>
      <w:r>
        <w:rPr>
          <w:rFonts w:eastAsia="Times New Roman"/>
        </w:rPr>
        <w:t xml:space="preserve"> UCPR 是否會逐步被侵蝕。這部分不能只靠單一時間點的法律或政策分析，必須追蹤系統在不同階段的實際運作，因此特別適合第五研究群。目前系列中完全沒有專篇處理，建議列為中期最需投入資源的方向。</w:t>
      </w:r>
    </w:p>
    <w:p w:rsidR="00054B3F" w:rsidRDefault="00675D53">
      <w:pPr>
        <w:spacing w:after="120" w:line="360" w:lineRule="auto"/>
      </w:pPr>
      <w:r>
        <w:rPr>
          <w:rFonts w:eastAsia="Times New Roman"/>
        </w:rPr>
        <w:t>必須誠實指出，方</w:t>
      </w:r>
      <w:r>
        <w:rPr>
          <w:rFonts w:eastAsia="Times New Roman"/>
        </w:rPr>
        <w:t>法欄位標示的是「適合」而非「唯一可行」的方法，現況欄位所引之命題與假說均尚未經任何經驗資料檢驗（034、035 提供的是文本層次與操作化工具，而非經驗驗證）。這張地圖的作用，是把「還有哪些問題可以研究」轉譯為「用什麼方法、依何種順序研究」，供後續研究者作為起點。</w:t>
      </w:r>
    </w:p>
    <w:p w:rsidR="00054B3F" w:rsidRDefault="00675D53">
      <w:pPr>
        <w:pStyle w:val="2"/>
      </w:pPr>
      <w:r>
        <w:t xml:space="preserve">三、目前最需優先補強的操作化與經驗缺口（034、035 </w:t>
      </w:r>
      <w:proofErr w:type="spellStart"/>
      <w:r>
        <w:t>完成後更新</w:t>
      </w:r>
      <w:proofErr w:type="spellEnd"/>
      <w:r>
        <w:t>）</w:t>
      </w:r>
    </w:p>
    <w:p w:rsidR="00054B3F" w:rsidRDefault="00675D53">
      <w:pPr>
        <w:spacing w:after="120" w:line="360" w:lineRule="auto"/>
      </w:pPr>
      <w:r>
        <w:rPr>
          <w:rFonts w:eastAsia="Times New Roman"/>
        </w:rPr>
        <w:t xml:space="preserve">在 034 </w:t>
      </w:r>
      <w:proofErr w:type="spellStart"/>
      <w:r>
        <w:rPr>
          <w:rFonts w:eastAsia="Times New Roman"/>
        </w:rPr>
        <w:t>完成</w:t>
      </w:r>
      <w:proofErr w:type="spellEnd"/>
      <w:r>
        <w:rPr>
          <w:rFonts w:eastAsia="Times New Roman"/>
        </w:rPr>
        <w:t xml:space="preserve"> UCPR 文本審計、035 完成規範轉換操作化之後，系列內最明顯的空白已從「概念尚未操作化」轉向「操作化工具尚未接受經驗資料檢驗」以及「組織與制度層次的長期追蹤</w:t>
      </w:r>
      <w:r>
        <w:rPr>
          <w:rFonts w:eastAsia="Times New Roman"/>
        </w:rPr>
        <w:t>完全缺失」。具體而言，目前最需優先補強的缺口可重新排序如下：</w:t>
      </w:r>
    </w:p>
    <w:p w:rsidR="00054B3F" w:rsidRDefault="00675D53">
      <w:pPr>
        <w:pStyle w:val="a4"/>
        <w:numPr>
          <w:ilvl w:val="0"/>
          <w:numId w:val="3"/>
        </w:numPr>
        <w:spacing w:after="80" w:line="360" w:lineRule="auto"/>
      </w:pPr>
      <w:proofErr w:type="spellStart"/>
      <w:r>
        <w:rPr>
          <w:rFonts w:eastAsia="Times New Roman"/>
        </w:rPr>
        <w:t>裁量空間壓縮（SDC）的跨案例測量與量化指標（第二研究群</w:t>
      </w:r>
      <w:proofErr w:type="spellEnd"/>
      <w:r>
        <w:rPr>
          <w:rFonts w:eastAsia="Times New Roman"/>
        </w:rPr>
        <w:t xml:space="preserve">）。035 </w:t>
      </w:r>
      <w:proofErr w:type="spellStart"/>
      <w:r>
        <w:rPr>
          <w:rFonts w:eastAsia="Times New Roman"/>
        </w:rPr>
        <w:t>已提供例外條件的低／中／高指標與「形式簽核</w:t>
      </w:r>
      <w:proofErr w:type="spellEnd"/>
      <w:r>
        <w:rPr>
          <w:rFonts w:eastAsia="Times New Roman"/>
        </w:rPr>
        <w:t xml:space="preserve"> vs. 實質判斷」的區分；034 </w:t>
      </w:r>
      <w:proofErr w:type="spellStart"/>
      <w:r>
        <w:rPr>
          <w:rFonts w:eastAsia="Times New Roman"/>
        </w:rPr>
        <w:t>亦在決策能力審計中標註人工介入強度。但</w:t>
      </w:r>
      <w:proofErr w:type="spellEnd"/>
      <w:r>
        <w:rPr>
          <w:rFonts w:eastAsia="Times New Roman"/>
        </w:rPr>
        <w:t xml:space="preserve"> SDC 本身仍缺乏跨案例的可觀察指標與測量程序。優先發展方向包括：實質推翻率</w:t>
      </w:r>
      <w:r>
        <w:rPr>
          <w:rFonts w:eastAsia="Times New Roman"/>
        </w:rPr>
        <w:lastRenderedPageBreak/>
        <w:t xml:space="preserve">、覆核者能否取得完整資料與模型說明、覆核時間與案件量、系統預設值被接受的比例，以及不同組織文化下的差異。此缺口直接對應 032 的 P1、P2 </w:t>
      </w:r>
      <w:proofErr w:type="spellStart"/>
      <w:r>
        <w:rPr>
          <w:rFonts w:eastAsia="Times New Roman"/>
        </w:rPr>
        <w:t>命題，且是三階段研究設計中第一階段的核心任務</w:t>
      </w:r>
      <w:proofErr w:type="spellEnd"/>
      <w:r>
        <w:rPr>
          <w:rFonts w:eastAsia="Times New Roman"/>
        </w:rPr>
        <w:t>。</w:t>
      </w:r>
    </w:p>
    <w:p w:rsidR="00054B3F" w:rsidRDefault="00675D53">
      <w:pPr>
        <w:pStyle w:val="a4"/>
        <w:numPr>
          <w:ilvl w:val="0"/>
          <w:numId w:val="3"/>
        </w:numPr>
        <w:spacing w:after="80" w:line="360" w:lineRule="auto"/>
      </w:pPr>
      <w:r>
        <w:rPr>
          <w:rFonts w:eastAsia="Times New Roman"/>
        </w:rPr>
        <w:t>「</w:t>
      </w:r>
      <w:proofErr w:type="spellStart"/>
      <w:r>
        <w:rPr>
          <w:rFonts w:eastAsia="Times New Roman"/>
        </w:rPr>
        <w:t>安全閥空轉」與「形式權限</w:t>
      </w:r>
      <w:proofErr w:type="spellEnd"/>
      <w:r>
        <w:rPr>
          <w:rFonts w:eastAsia="Times New Roman"/>
        </w:rPr>
        <w:t xml:space="preserve"> vs. </w:t>
      </w:r>
      <w:proofErr w:type="spellStart"/>
      <w:r>
        <w:rPr>
          <w:rFonts w:eastAsia="Times New Roman"/>
        </w:rPr>
        <w:t>經驗性實質能力」的經驗檢驗（第三、四研究群的交會處</w:t>
      </w:r>
      <w:proofErr w:type="spellEnd"/>
      <w:r>
        <w:rPr>
          <w:rFonts w:eastAsia="Times New Roman"/>
        </w:rPr>
        <w:t xml:space="preserve">）。035 </w:t>
      </w:r>
      <w:proofErr w:type="spellStart"/>
      <w:r>
        <w:rPr>
          <w:rFonts w:eastAsia="Times New Roman"/>
        </w:rPr>
        <w:t>已意識到「名目存在</w:t>
      </w:r>
      <w:proofErr w:type="spellEnd"/>
      <w:r>
        <w:rPr>
          <w:rFonts w:eastAsia="Times New Roman"/>
        </w:rPr>
        <w:t xml:space="preserve"> ≠ </w:t>
      </w:r>
      <w:proofErr w:type="spellStart"/>
      <w:r>
        <w:rPr>
          <w:rFonts w:eastAsia="Times New Roman"/>
        </w:rPr>
        <w:t>實際可用</w:t>
      </w:r>
      <w:proofErr w:type="spellEnd"/>
      <w:r>
        <w:rPr>
          <w:rFonts w:eastAsia="Times New Roman"/>
        </w:rPr>
        <w:t>」，並在邊界規則中預留空間；034 已在文本層次區分形式再介入權限與規範性實質能力。兩者合併後，最關鍵的下一步是經驗性檢驗：安全閥寫在紙上或契約上，是否真的被啟動？覆核者是否具備時間、資訊與誘因去行使推翻權？此缺口無法僅靠法律文本或單一個案文件研究回答，需要流程資料、訪談或行為觀察。</w:t>
      </w:r>
    </w:p>
    <w:p w:rsidR="00054B3F" w:rsidRDefault="00675D53">
      <w:pPr>
        <w:pStyle w:val="a4"/>
        <w:numPr>
          <w:ilvl w:val="0"/>
          <w:numId w:val="3"/>
        </w:numPr>
        <w:spacing w:after="80" w:line="360" w:lineRule="auto"/>
      </w:pPr>
      <w:proofErr w:type="spellStart"/>
      <w:r>
        <w:rPr>
          <w:rFonts w:eastAsia="Times New Roman"/>
        </w:rPr>
        <w:t>第五研究群的長期組織追蹤（組織與制度</w:t>
      </w:r>
      <w:proofErr w:type="spellEnd"/>
      <w:r>
        <w:rPr>
          <w:rFonts w:eastAsia="Times New Roman"/>
        </w:rPr>
        <w:t xml:space="preserve">）。AI </w:t>
      </w:r>
      <w:proofErr w:type="spellStart"/>
      <w:r>
        <w:rPr>
          <w:rFonts w:eastAsia="Times New Roman"/>
        </w:rPr>
        <w:t>採購契約、模型更新、資料漂移、供應商更替、人員流動如何逐步侵蝕原已存在的</w:t>
      </w:r>
      <w:proofErr w:type="spellEnd"/>
      <w:r>
        <w:rPr>
          <w:rFonts w:eastAsia="Times New Roman"/>
        </w:rPr>
        <w:t xml:space="preserve"> UCPR，目前系列中完全沒有專篇處理。034 已指出採購契約缺口屬結構性缺口，但分析對象仍是法律文本而非組織實務。此缺口適合以長期追蹤與制度分析並用，對應三階段研究設計的第三階段，也是目前最缺乏系列內累積的領域。</w:t>
      </w:r>
    </w:p>
    <w:p w:rsidR="00054B3F" w:rsidRDefault="00675D53">
      <w:pPr>
        <w:pStyle w:val="a4"/>
        <w:numPr>
          <w:ilvl w:val="0"/>
          <w:numId w:val="3"/>
        </w:numPr>
        <w:spacing w:after="80" w:line="360" w:lineRule="auto"/>
      </w:pPr>
      <w:r>
        <w:rPr>
          <w:rFonts w:eastAsia="Times New Roman"/>
        </w:rPr>
        <w:t xml:space="preserve">DAA </w:t>
      </w:r>
      <w:proofErr w:type="spellStart"/>
      <w:r>
        <w:rPr>
          <w:rFonts w:eastAsia="Times New Roman"/>
        </w:rPr>
        <w:t>責任邊界的進一步釐清（第一研究群</w:t>
      </w:r>
      <w:proofErr w:type="spellEnd"/>
      <w:r>
        <w:rPr>
          <w:rFonts w:eastAsia="Times New Roman"/>
        </w:rPr>
        <w:t xml:space="preserve">）。031 </w:t>
      </w:r>
      <w:proofErr w:type="spellStart"/>
      <w:r>
        <w:rPr>
          <w:rFonts w:eastAsia="Times New Roman"/>
        </w:rPr>
        <w:t>已初步辨識四類作用者，但</w:t>
      </w:r>
      <w:proofErr w:type="spellEnd"/>
      <w:r>
        <w:rPr>
          <w:rFonts w:eastAsia="Times New Roman"/>
        </w:rPr>
        <w:t xml:space="preserve"> AI 供應商是否應具有獨立於行政機關的法律分析地位、系統維護者的模型更新是否構成持續性計算性作用、基</w:t>
      </w:r>
      <w:r>
        <w:rPr>
          <w:rFonts w:eastAsia="Times New Roman"/>
        </w:rPr>
        <w:t>礎設施提供者在何種條件下成為構成要素，仍主要停留在理論性假說。此缺口可與第五研究群的契約與採購研究合併推進。</w:t>
      </w:r>
    </w:p>
    <w:p w:rsidR="00054B3F" w:rsidRDefault="00675D53">
      <w:pPr>
        <w:spacing w:after="120" w:line="360" w:lineRule="auto"/>
      </w:pPr>
      <w:r>
        <w:rPr>
          <w:rFonts w:eastAsia="Times New Roman"/>
        </w:rPr>
        <w:t>以上更新不改變五條總結性命題的內容，只是把「哪些命題已有文本層次初步支持、哪些仍完全缺乏經驗資料」說清楚，使議程能真正發揮「指出下一步最該被測量、比較與長期追蹤的位置」的功能。</w:t>
      </w:r>
    </w:p>
    <w:p w:rsidR="00054B3F" w:rsidRDefault="00675D53">
      <w:pPr>
        <w:pStyle w:val="1"/>
      </w:pPr>
      <w:proofErr w:type="spellStart"/>
      <w:r>
        <w:t>玖、AI</w:t>
      </w:r>
      <w:proofErr w:type="spellEnd"/>
      <w:r>
        <w:t xml:space="preserve"> </w:t>
      </w:r>
      <w:proofErr w:type="spellStart"/>
      <w:r>
        <w:t>公共行政研究的「下一批問題</w:t>
      </w:r>
      <w:proofErr w:type="spellEnd"/>
      <w:r>
        <w:t>」</w:t>
      </w:r>
    </w:p>
    <w:p w:rsidR="00054B3F" w:rsidRDefault="00675D53">
      <w:pPr>
        <w:spacing w:after="120" w:line="360" w:lineRule="auto"/>
      </w:pPr>
      <w:proofErr w:type="spellStart"/>
      <w:r>
        <w:rPr>
          <w:rFonts w:eastAsia="Times New Roman"/>
        </w:rPr>
        <w:t>本章彙整前述五個研究群與方法議程，列出二十七個具體研究題目，直接成為</w:t>
      </w:r>
      <w:proofErr w:type="spellEnd"/>
      <w:r>
        <w:rPr>
          <w:rFonts w:eastAsia="Times New Roman"/>
        </w:rPr>
        <w:t xml:space="preserve"> 036 </w:t>
      </w:r>
      <w:proofErr w:type="spellStart"/>
      <w:r>
        <w:rPr>
          <w:rFonts w:eastAsia="Times New Roman"/>
        </w:rPr>
        <w:t>以後系列研究的母議程</w:t>
      </w:r>
      <w:proofErr w:type="spellEnd"/>
      <w:r>
        <w:rPr>
          <w:rFonts w:eastAsia="Times New Roman"/>
        </w:rPr>
        <w:t>。</w:t>
      </w:r>
    </w:p>
    <w:p w:rsidR="00054B3F" w:rsidRDefault="00675D53">
      <w:pPr>
        <w:pStyle w:val="2"/>
      </w:pPr>
      <w:proofErr w:type="spellStart"/>
      <w:r>
        <w:lastRenderedPageBreak/>
        <w:t>一、行政行動群</w:t>
      </w:r>
      <w:proofErr w:type="spellEnd"/>
    </w:p>
    <w:p w:rsidR="00054B3F" w:rsidRDefault="00675D53">
      <w:pPr>
        <w:pStyle w:val="a4"/>
        <w:numPr>
          <w:ilvl w:val="0"/>
          <w:numId w:val="4"/>
        </w:numPr>
        <w:spacing w:after="80" w:line="360" w:lineRule="auto"/>
      </w:pPr>
      <w:r>
        <w:rPr>
          <w:rFonts w:eastAsia="Times New Roman"/>
        </w:rPr>
        <w:t xml:space="preserve">AI </w:t>
      </w:r>
      <w:proofErr w:type="spellStart"/>
      <w:r>
        <w:rPr>
          <w:rFonts w:eastAsia="Times New Roman"/>
        </w:rPr>
        <w:t>供應商在</w:t>
      </w:r>
      <w:proofErr w:type="spellEnd"/>
      <w:r>
        <w:rPr>
          <w:rFonts w:eastAsia="Times New Roman"/>
        </w:rPr>
        <w:t xml:space="preserve"> DAA </w:t>
      </w:r>
      <w:proofErr w:type="spellStart"/>
      <w:r>
        <w:rPr>
          <w:rFonts w:eastAsia="Times New Roman"/>
        </w:rPr>
        <w:t>中應否具有獨立於行政機關的法律地位</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資料</w:t>
      </w:r>
      <w:r>
        <w:rPr>
          <w:rFonts w:eastAsia="Times New Roman"/>
        </w:rPr>
        <w:t>提供者（如電信業者）之目的外利用授權，如何影響</w:t>
      </w:r>
      <w:proofErr w:type="spellEnd"/>
      <w:r>
        <w:rPr>
          <w:rFonts w:eastAsia="Times New Roman"/>
        </w:rPr>
        <w:t xml:space="preserve"> DAA </w:t>
      </w:r>
      <w:proofErr w:type="spellStart"/>
      <w:r>
        <w:rPr>
          <w:rFonts w:eastAsia="Times New Roman"/>
        </w:rPr>
        <w:t>的結構性作用者要素</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公私協同治理下，委外契約如何界定「誰對技術參數負最終責任</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系統維護者（負責模型更新、修補）是否應被視為持續性的計算性作用者</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跨機關共構的</w:t>
      </w:r>
      <w:proofErr w:type="spellEnd"/>
      <w:r>
        <w:rPr>
          <w:rFonts w:eastAsia="Times New Roman"/>
        </w:rPr>
        <w:t xml:space="preserve"> AI </w:t>
      </w:r>
      <w:proofErr w:type="spellStart"/>
      <w:r>
        <w:rPr>
          <w:rFonts w:eastAsia="Times New Roman"/>
        </w:rPr>
        <w:t>系統（如多部會共用之風險評分系統</w:t>
      </w:r>
      <w:proofErr w:type="spellEnd"/>
      <w:r>
        <w:rPr>
          <w:rFonts w:eastAsia="Times New Roman"/>
        </w:rPr>
        <w:t xml:space="preserve">），DAA </w:t>
      </w:r>
      <w:proofErr w:type="spellStart"/>
      <w:r>
        <w:rPr>
          <w:rFonts w:eastAsia="Times New Roman"/>
        </w:rPr>
        <w:t>四層構成如何跨機關拆解</w:t>
      </w:r>
      <w:proofErr w:type="spellEnd"/>
      <w:r>
        <w:rPr>
          <w:rFonts w:eastAsia="Times New Roman"/>
        </w:rPr>
        <w:t>？</w:t>
      </w:r>
    </w:p>
    <w:p w:rsidR="00054B3F" w:rsidRDefault="00675D53">
      <w:pPr>
        <w:pStyle w:val="2"/>
      </w:pPr>
      <w:proofErr w:type="spellStart"/>
      <w:r>
        <w:t>二、裁量群</w:t>
      </w:r>
      <w:proofErr w:type="spellEnd"/>
    </w:p>
    <w:p w:rsidR="00054B3F" w:rsidRDefault="00675D53">
      <w:pPr>
        <w:pStyle w:val="a4"/>
        <w:numPr>
          <w:ilvl w:val="0"/>
          <w:numId w:val="4"/>
        </w:numPr>
        <w:spacing w:after="80" w:line="360" w:lineRule="auto"/>
      </w:pPr>
      <w:proofErr w:type="spellStart"/>
      <w:r>
        <w:rPr>
          <w:rFonts w:eastAsia="Times New Roman"/>
        </w:rPr>
        <w:t>人類覆核節點的實質推翻率，在不同組織文化下是否存在系統性差異</w:t>
      </w:r>
      <w:proofErr w:type="spellEnd"/>
      <w:r>
        <w:rPr>
          <w:rFonts w:eastAsia="Times New Roman"/>
        </w:rPr>
        <w:t>？</w:t>
      </w:r>
    </w:p>
    <w:p w:rsidR="00054B3F" w:rsidRDefault="00675D53">
      <w:pPr>
        <w:pStyle w:val="a4"/>
        <w:numPr>
          <w:ilvl w:val="0"/>
          <w:numId w:val="4"/>
        </w:numPr>
        <w:spacing w:after="80" w:line="360" w:lineRule="auto"/>
      </w:pPr>
      <w:r>
        <w:rPr>
          <w:rFonts w:eastAsia="Times New Roman"/>
        </w:rPr>
        <w:t>「</w:t>
      </w:r>
      <w:proofErr w:type="spellStart"/>
      <w:r>
        <w:rPr>
          <w:rFonts w:eastAsia="Times New Roman"/>
        </w:rPr>
        <w:t>形式覆核」與「實質覆核」的區辨指標，能否發展為可量化之觀察工具</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裁量空間壓縮（SDC）是否可延伸適用於司法審查階段（如機組員提審案件之通案化現象</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前置配置與模型轉譯階段的裁量，是否存在制度性補救機制（如強制影響評估</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介面設計（如預設值、警示呈現方式）如何測量其對人類覆核之「預設依賴」效果</w:t>
      </w:r>
      <w:proofErr w:type="spellEnd"/>
      <w:r>
        <w:rPr>
          <w:rFonts w:eastAsia="Times New Roman"/>
        </w:rPr>
        <w:t>？</w:t>
      </w:r>
    </w:p>
    <w:p w:rsidR="00054B3F" w:rsidRDefault="00675D53">
      <w:pPr>
        <w:pStyle w:val="2"/>
      </w:pPr>
      <w:proofErr w:type="spellStart"/>
      <w:r>
        <w:t>三、規範轉換群</w:t>
      </w:r>
      <w:proofErr w:type="spellEnd"/>
    </w:p>
    <w:p w:rsidR="00054B3F" w:rsidRDefault="00675D53">
      <w:pPr>
        <w:pStyle w:val="a4"/>
        <w:numPr>
          <w:ilvl w:val="0"/>
          <w:numId w:val="4"/>
        </w:numPr>
        <w:spacing w:after="80" w:line="360" w:lineRule="auto"/>
      </w:pPr>
      <w:proofErr w:type="spellStart"/>
      <w:r>
        <w:rPr>
          <w:rFonts w:eastAsia="Times New Roman"/>
        </w:rPr>
        <w:t>規範轉換四判準（價值、理由、例外、責任）之組合，應如何轉譯為可操作之強度分級</w:t>
      </w:r>
      <w:proofErr w:type="spellEnd"/>
      <w:r>
        <w:rPr>
          <w:rFonts w:eastAsia="Times New Roman"/>
        </w:rPr>
        <w:t xml:space="preserve">？（035 </w:t>
      </w:r>
      <w:proofErr w:type="spellStart"/>
      <w:r>
        <w:rPr>
          <w:rFonts w:eastAsia="Times New Roman"/>
        </w:rPr>
        <w:t>已提供第一輪工具，後續重點為經驗修正</w:t>
      </w:r>
      <w:proofErr w:type="spellEnd"/>
      <w:r>
        <w:rPr>
          <w:rFonts w:eastAsia="Times New Roman"/>
        </w:rPr>
        <w:t>）</w:t>
      </w:r>
    </w:p>
    <w:p w:rsidR="00054B3F" w:rsidRDefault="00675D53">
      <w:pPr>
        <w:pStyle w:val="a4"/>
        <w:numPr>
          <w:ilvl w:val="0"/>
          <w:numId w:val="4"/>
        </w:numPr>
        <w:spacing w:after="80" w:line="360" w:lineRule="auto"/>
      </w:pPr>
      <w:r>
        <w:rPr>
          <w:rFonts w:eastAsia="Times New Roman"/>
        </w:rPr>
        <w:t>「</w:t>
      </w:r>
      <w:proofErr w:type="spellStart"/>
      <w:r>
        <w:rPr>
          <w:rFonts w:eastAsia="Times New Roman"/>
        </w:rPr>
        <w:t>技術→行政→政策→規範」轉換光譜上，個案應如何定位</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不同政策領域（防疫、社福資格認定、風險評分）之規範轉換強度是否存在系統性差異</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規範轉換一旦發生，是否存在可逆轉之制度設計（如定期重新審查技術參數、落日條款</w:t>
      </w:r>
      <w:proofErr w:type="spellEnd"/>
      <w:r>
        <w:rPr>
          <w:rFonts w:eastAsia="Times New Roman"/>
        </w:rPr>
        <w:t>）？</w:t>
      </w:r>
    </w:p>
    <w:p w:rsidR="00054B3F" w:rsidRDefault="00675D53">
      <w:pPr>
        <w:pStyle w:val="2"/>
      </w:pPr>
      <w:proofErr w:type="spellStart"/>
      <w:r>
        <w:t>四、權威與</w:t>
      </w:r>
      <w:proofErr w:type="spellEnd"/>
      <w:r>
        <w:t xml:space="preserve"> UCPR 群</w:t>
      </w:r>
    </w:p>
    <w:p w:rsidR="00054B3F" w:rsidRDefault="00675D53">
      <w:pPr>
        <w:pStyle w:val="a4"/>
        <w:numPr>
          <w:ilvl w:val="0"/>
          <w:numId w:val="4"/>
        </w:numPr>
        <w:spacing w:after="80" w:line="360" w:lineRule="auto"/>
      </w:pPr>
      <w:proofErr w:type="spellStart"/>
      <w:r>
        <w:rPr>
          <w:rFonts w:eastAsia="Times New Roman"/>
        </w:rPr>
        <w:lastRenderedPageBreak/>
        <w:t>臺灣</w:t>
      </w:r>
      <w:proofErr w:type="spellEnd"/>
      <w:r>
        <w:rPr>
          <w:rFonts w:eastAsia="Times New Roman"/>
        </w:rPr>
        <w:t xml:space="preserve"> AI </w:t>
      </w:r>
      <w:proofErr w:type="spellStart"/>
      <w:r>
        <w:rPr>
          <w:rFonts w:eastAsia="Times New Roman"/>
        </w:rPr>
        <w:t>基本法及子法、EU</w:t>
      </w:r>
      <w:proofErr w:type="spellEnd"/>
      <w:r>
        <w:rPr>
          <w:rFonts w:eastAsia="Times New Roman"/>
        </w:rPr>
        <w:t xml:space="preserve"> AI </w:t>
      </w:r>
      <w:proofErr w:type="spellStart"/>
      <w:r>
        <w:rPr>
          <w:rFonts w:eastAsia="Times New Roman"/>
        </w:rPr>
        <w:t>Act、加拿大</w:t>
      </w:r>
      <w:proofErr w:type="spellEnd"/>
      <w:r>
        <w:rPr>
          <w:rFonts w:eastAsia="Times New Roman"/>
        </w:rPr>
        <w:t xml:space="preserve"> AIA </w:t>
      </w:r>
      <w:proofErr w:type="spellStart"/>
      <w:r>
        <w:rPr>
          <w:rFonts w:eastAsia="Times New Roman"/>
        </w:rPr>
        <w:t>三制度之</w:t>
      </w:r>
      <w:proofErr w:type="spellEnd"/>
      <w:r>
        <w:rPr>
          <w:rFonts w:eastAsia="Times New Roman"/>
        </w:rPr>
        <w:t xml:space="preserve"> UCPR </w:t>
      </w:r>
      <w:proofErr w:type="spellStart"/>
      <w:r>
        <w:rPr>
          <w:rFonts w:eastAsia="Times New Roman"/>
        </w:rPr>
        <w:t>涵蓋程度有何差異</w:t>
      </w:r>
      <w:proofErr w:type="spellEnd"/>
      <w:r>
        <w:rPr>
          <w:rFonts w:eastAsia="Times New Roman"/>
        </w:rPr>
        <w:t xml:space="preserve">？（034 </w:t>
      </w:r>
      <w:proofErr w:type="spellStart"/>
      <w:r>
        <w:rPr>
          <w:rFonts w:eastAsia="Times New Roman"/>
        </w:rPr>
        <w:t>已完成第一輪文本審計</w:t>
      </w:r>
      <w:proofErr w:type="spellEnd"/>
      <w:r>
        <w:rPr>
          <w:rFonts w:eastAsia="Times New Roman"/>
        </w:rPr>
        <w:t>）</w:t>
      </w:r>
    </w:p>
    <w:p w:rsidR="00054B3F" w:rsidRDefault="00675D53">
      <w:pPr>
        <w:pStyle w:val="a4"/>
        <w:numPr>
          <w:ilvl w:val="0"/>
          <w:numId w:val="4"/>
        </w:numPr>
        <w:spacing w:after="80" w:line="360" w:lineRule="auto"/>
      </w:pPr>
      <w:r>
        <w:rPr>
          <w:rFonts w:eastAsia="Times New Roman"/>
        </w:rPr>
        <w:t>「</w:t>
      </w:r>
      <w:proofErr w:type="spellStart"/>
      <w:r>
        <w:rPr>
          <w:rFonts w:eastAsia="Times New Roman"/>
        </w:rPr>
        <w:t>形式再介入權限」與「實質再介入能力」之落差，如何在不同國家的實務中量測</w:t>
      </w:r>
      <w:proofErr w:type="spellEnd"/>
      <w:r>
        <w:rPr>
          <w:rFonts w:eastAsia="Times New Roman"/>
        </w:rPr>
        <w:t>？（</w:t>
      </w:r>
      <w:proofErr w:type="spellStart"/>
      <w:r>
        <w:rPr>
          <w:rFonts w:eastAsia="Times New Roman"/>
        </w:rPr>
        <w:t>文本層次已區分，經驗層次空白</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契約條款（如原始碼託管權、強制停止權）如何影響公共機關之決策性再介入能力</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認知性再介入所需之技術能力（如稽核人力、模型可解釋性要求</w:t>
      </w:r>
      <w:proofErr w:type="spellEnd"/>
      <w:r>
        <w:rPr>
          <w:rFonts w:eastAsia="Times New Roman"/>
        </w:rPr>
        <w:t>），</w:t>
      </w:r>
      <w:proofErr w:type="spellStart"/>
      <w:r>
        <w:rPr>
          <w:rFonts w:eastAsia="Times New Roman"/>
        </w:rPr>
        <w:t>各國制度是否明文規定</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課責性再介入之實效，能否以救濟案件之實體審查比例作為觀察指標</w:t>
      </w:r>
      <w:proofErr w:type="spellEnd"/>
      <w:r>
        <w:rPr>
          <w:rFonts w:eastAsia="Times New Roman"/>
        </w:rPr>
        <w:t>？</w:t>
      </w:r>
    </w:p>
    <w:p w:rsidR="00054B3F" w:rsidRDefault="00675D53">
      <w:pPr>
        <w:pStyle w:val="2"/>
      </w:pPr>
      <w:proofErr w:type="spellStart"/>
      <w:r>
        <w:t>五、組織與制度群</w:t>
      </w:r>
      <w:proofErr w:type="spellEnd"/>
    </w:p>
    <w:p w:rsidR="00054B3F" w:rsidRDefault="00675D53">
      <w:pPr>
        <w:pStyle w:val="a4"/>
        <w:numPr>
          <w:ilvl w:val="0"/>
          <w:numId w:val="4"/>
        </w:numPr>
        <w:spacing w:after="80" w:line="360" w:lineRule="auto"/>
      </w:pPr>
      <w:r>
        <w:rPr>
          <w:rFonts w:eastAsia="Times New Roman"/>
        </w:rPr>
        <w:t xml:space="preserve">AI </w:t>
      </w:r>
      <w:proofErr w:type="spellStart"/>
      <w:r>
        <w:rPr>
          <w:rFonts w:eastAsia="Times New Roman"/>
        </w:rPr>
        <w:t>採購契約應納入哪些條款，才能維持公共機關之</w:t>
      </w:r>
      <w:proofErr w:type="spellEnd"/>
      <w:r>
        <w:rPr>
          <w:rFonts w:eastAsia="Times New Roman"/>
        </w:rPr>
        <w:t xml:space="preserve"> UCPR？</w:t>
      </w:r>
    </w:p>
    <w:p w:rsidR="00054B3F" w:rsidRDefault="00675D53">
      <w:pPr>
        <w:pStyle w:val="a4"/>
        <w:numPr>
          <w:ilvl w:val="0"/>
          <w:numId w:val="4"/>
        </w:numPr>
        <w:spacing w:after="80" w:line="360" w:lineRule="auto"/>
      </w:pPr>
      <w:proofErr w:type="spellStart"/>
      <w:r>
        <w:rPr>
          <w:rFonts w:eastAsia="Times New Roman"/>
        </w:rPr>
        <w:t>演算法影響評估（AIA）制度應在行政流程的哪個節點嵌入，才能發揮前置配置階段的把關功能</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模型更新與資料漂移，長期而言如何侵蝕原已存在之</w:t>
      </w:r>
      <w:proofErr w:type="spellEnd"/>
      <w:r>
        <w:rPr>
          <w:rFonts w:eastAsia="Times New Roman"/>
        </w:rPr>
        <w:t xml:space="preserve"> </w:t>
      </w:r>
      <w:proofErr w:type="spellStart"/>
      <w:r>
        <w:rPr>
          <w:rFonts w:eastAsia="Times New Roman"/>
        </w:rPr>
        <w:t>UCPR？應以何種頻率重新稽核</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強制停止機制（kill</w:t>
      </w:r>
      <w:proofErr w:type="spellEnd"/>
      <w:r>
        <w:rPr>
          <w:rFonts w:eastAsia="Times New Roman"/>
        </w:rPr>
        <w:t xml:space="preserve"> </w:t>
      </w:r>
      <w:proofErr w:type="spellStart"/>
      <w:r>
        <w:rPr>
          <w:rFonts w:eastAsia="Times New Roman"/>
        </w:rPr>
        <w:t>switch）在公共部門</w:t>
      </w:r>
      <w:proofErr w:type="spellEnd"/>
      <w:r>
        <w:rPr>
          <w:rFonts w:eastAsia="Times New Roman"/>
        </w:rPr>
        <w:t xml:space="preserve"> AI </w:t>
      </w:r>
      <w:proofErr w:type="spellStart"/>
      <w:r>
        <w:rPr>
          <w:rFonts w:eastAsia="Times New Roman"/>
        </w:rPr>
        <w:t>系統中，其法律與技術可行性各為何</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救濟銜接（如提審制度與行政訴訟之管轄分工）在</w:t>
      </w:r>
      <w:proofErr w:type="spellEnd"/>
      <w:r>
        <w:rPr>
          <w:rFonts w:eastAsia="Times New Roman"/>
        </w:rPr>
        <w:t xml:space="preserve"> AI </w:t>
      </w:r>
      <w:proofErr w:type="spellStart"/>
      <w:r>
        <w:rPr>
          <w:rFonts w:eastAsia="Times New Roman"/>
        </w:rPr>
        <w:t>輔助行政決定的脈絡下，應如何重新設計</w:t>
      </w:r>
      <w:proofErr w:type="spellEnd"/>
      <w:r>
        <w:rPr>
          <w:rFonts w:eastAsia="Times New Roman"/>
        </w:rPr>
        <w:t>？</w:t>
      </w:r>
    </w:p>
    <w:p w:rsidR="00054B3F" w:rsidRDefault="00675D53">
      <w:pPr>
        <w:pStyle w:val="2"/>
      </w:pPr>
      <w:proofErr w:type="spellStart"/>
      <w:r>
        <w:t>六、跨群與</w:t>
      </w:r>
      <w:r>
        <w:t>方法論問題</w:t>
      </w:r>
      <w:proofErr w:type="spellEnd"/>
    </w:p>
    <w:p w:rsidR="00054B3F" w:rsidRDefault="00675D53">
      <w:pPr>
        <w:pStyle w:val="a4"/>
        <w:numPr>
          <w:ilvl w:val="0"/>
          <w:numId w:val="4"/>
        </w:numPr>
        <w:spacing w:after="80" w:line="360" w:lineRule="auto"/>
      </w:pPr>
      <w:proofErr w:type="spellStart"/>
      <w:r>
        <w:rPr>
          <w:rFonts w:eastAsia="Times New Roman"/>
        </w:rPr>
        <w:t>DAA、裁量場、UCPR</w:t>
      </w:r>
      <w:proofErr w:type="spellEnd"/>
      <w:r>
        <w:rPr>
          <w:rFonts w:eastAsia="Times New Roman"/>
        </w:rPr>
        <w:t xml:space="preserve"> </w:t>
      </w:r>
      <w:proofErr w:type="spellStart"/>
      <w:r>
        <w:rPr>
          <w:rFonts w:eastAsia="Times New Roman"/>
        </w:rPr>
        <w:t>三構面之間的因果連動（GDA</w:t>
      </w:r>
      <w:proofErr w:type="spellEnd"/>
      <w:r>
        <w:rPr>
          <w:rFonts w:eastAsia="Times New Roman"/>
        </w:rPr>
        <w:t xml:space="preserve"> </w:t>
      </w:r>
      <w:proofErr w:type="spellStart"/>
      <w:r>
        <w:rPr>
          <w:rFonts w:eastAsia="Times New Roman"/>
        </w:rPr>
        <w:t>模型之</w:t>
      </w:r>
      <w:proofErr w:type="spellEnd"/>
      <w:r>
        <w:rPr>
          <w:rFonts w:eastAsia="Times New Roman"/>
        </w:rPr>
        <w:t xml:space="preserve"> P1—P4 </w:t>
      </w:r>
      <w:proofErr w:type="spellStart"/>
      <w:r>
        <w:rPr>
          <w:rFonts w:eastAsia="Times New Roman"/>
        </w:rPr>
        <w:t>命題</w:t>
      </w:r>
      <w:proofErr w:type="spellEnd"/>
      <w:r>
        <w:rPr>
          <w:rFonts w:eastAsia="Times New Roman"/>
        </w:rPr>
        <w:t>），</w:t>
      </w:r>
      <w:proofErr w:type="spellStart"/>
      <w:r>
        <w:rPr>
          <w:rFonts w:eastAsia="Times New Roman"/>
        </w:rPr>
        <w:t>應優先以何種研究設計檢驗</w:t>
      </w:r>
      <w:proofErr w:type="spellEnd"/>
      <w:r>
        <w:rPr>
          <w:rFonts w:eastAsia="Times New Roman"/>
        </w:rPr>
        <w:t>？</w:t>
      </w:r>
    </w:p>
    <w:p w:rsidR="00054B3F" w:rsidRDefault="00675D53">
      <w:pPr>
        <w:pStyle w:val="a4"/>
        <w:numPr>
          <w:ilvl w:val="0"/>
          <w:numId w:val="4"/>
        </w:numPr>
        <w:spacing w:after="80" w:line="360" w:lineRule="auto"/>
      </w:pPr>
      <w:proofErr w:type="spellStart"/>
      <w:r>
        <w:rPr>
          <w:rFonts w:eastAsia="Times New Roman"/>
        </w:rPr>
        <w:t>單一深度個案研究法（如</w:t>
      </w:r>
      <w:proofErr w:type="spellEnd"/>
      <w:r>
        <w:rPr>
          <w:rFonts w:eastAsia="Times New Roman"/>
        </w:rPr>
        <w:t xml:space="preserve"> 031 </w:t>
      </w:r>
      <w:proofErr w:type="spellStart"/>
      <w:r>
        <w:rPr>
          <w:rFonts w:eastAsia="Times New Roman"/>
        </w:rPr>
        <w:t>之作法）與跨案例比較法，在驗證</w:t>
      </w:r>
      <w:proofErr w:type="spellEnd"/>
      <w:r>
        <w:rPr>
          <w:rFonts w:eastAsia="Times New Roman"/>
        </w:rPr>
        <w:t xml:space="preserve"> GDA </w:t>
      </w:r>
      <w:proofErr w:type="spellStart"/>
      <w:r>
        <w:rPr>
          <w:rFonts w:eastAsia="Times New Roman"/>
        </w:rPr>
        <w:t>模型上各自之優勢與限制為何</w:t>
      </w:r>
      <w:proofErr w:type="spellEnd"/>
      <w:r>
        <w:rPr>
          <w:rFonts w:eastAsia="Times New Roman"/>
        </w:rPr>
        <w:t>？</w:t>
      </w:r>
    </w:p>
    <w:p w:rsidR="00054B3F" w:rsidRDefault="00675D53">
      <w:pPr>
        <w:pStyle w:val="a4"/>
        <w:numPr>
          <w:ilvl w:val="0"/>
          <w:numId w:val="4"/>
        </w:numPr>
        <w:spacing w:after="80" w:line="360" w:lineRule="auto"/>
      </w:pPr>
      <w:r>
        <w:rPr>
          <w:rFonts w:eastAsia="Times New Roman"/>
        </w:rPr>
        <w:t xml:space="preserve">GDA </w:t>
      </w:r>
      <w:proofErr w:type="spellStart"/>
      <w:r>
        <w:rPr>
          <w:rFonts w:eastAsia="Times New Roman"/>
        </w:rPr>
        <w:t>模型的四個分析構面，是否可能存在系統性地無法涵蓋的行政行動類型（如純粹裁量、無涉技術中介的傳統行政處分</w:t>
      </w:r>
      <w:proofErr w:type="spellEnd"/>
      <w:r>
        <w:rPr>
          <w:rFonts w:eastAsia="Times New Roman"/>
        </w:rPr>
        <w:t>）？</w:t>
      </w:r>
    </w:p>
    <w:p w:rsidR="00054B3F" w:rsidRDefault="00675D53">
      <w:pPr>
        <w:spacing w:after="120" w:line="360" w:lineRule="auto"/>
      </w:pPr>
      <w:proofErr w:type="spellStart"/>
      <w:r>
        <w:rPr>
          <w:rFonts w:eastAsia="Times New Roman"/>
        </w:rPr>
        <w:lastRenderedPageBreak/>
        <w:t>這二十七個問題並非窮盡清單。比較合理的排序方式，是延續</w:t>
      </w:r>
      <w:proofErr w:type="spellEnd"/>
      <w:r>
        <w:rPr>
          <w:rFonts w:eastAsia="Times New Roman"/>
        </w:rPr>
        <w:t xml:space="preserve"> 032 </w:t>
      </w:r>
      <w:proofErr w:type="spellStart"/>
      <w:r>
        <w:rPr>
          <w:rFonts w:eastAsia="Times New Roman"/>
        </w:rPr>
        <w:t>結論已提出的建議，並依</w:t>
      </w:r>
      <w:proofErr w:type="spellEnd"/>
      <w:r>
        <w:rPr>
          <w:rFonts w:eastAsia="Times New Roman"/>
        </w:rPr>
        <w:t xml:space="preserve"> 034、035 完成後狀態調整：031 </w:t>
      </w:r>
      <w:proofErr w:type="spellStart"/>
      <w:r>
        <w:rPr>
          <w:rFonts w:eastAsia="Times New Roman"/>
        </w:rPr>
        <w:t>的個案檢視應優先驗證</w:t>
      </w:r>
      <w:proofErr w:type="spellEnd"/>
      <w:r>
        <w:rPr>
          <w:rFonts w:eastAsia="Times New Roman"/>
        </w:rPr>
        <w:t xml:space="preserve"> P1、P2 </w:t>
      </w:r>
      <w:proofErr w:type="spellStart"/>
      <w:r>
        <w:rPr>
          <w:rFonts w:eastAsia="Times New Roman"/>
        </w:rPr>
        <w:t>命題（對</w:t>
      </w:r>
      <w:r>
        <w:rPr>
          <w:rFonts w:eastAsia="Times New Roman"/>
        </w:rPr>
        <w:t>應問題</w:t>
      </w:r>
      <w:proofErr w:type="spellEnd"/>
      <w:r>
        <w:rPr>
          <w:rFonts w:eastAsia="Times New Roman"/>
        </w:rPr>
        <w:t xml:space="preserve"> 6、8）；034 </w:t>
      </w:r>
      <w:proofErr w:type="spellStart"/>
      <w:r>
        <w:rPr>
          <w:rFonts w:eastAsia="Times New Roman"/>
        </w:rPr>
        <w:t>已完成文本層次審計，後續經驗性實質能力測量可對應問題</w:t>
      </w:r>
      <w:proofErr w:type="spellEnd"/>
      <w:r>
        <w:rPr>
          <w:rFonts w:eastAsia="Times New Roman"/>
        </w:rPr>
        <w:t xml:space="preserve"> 16、17；035 </w:t>
      </w:r>
      <w:proofErr w:type="spellStart"/>
      <w:r>
        <w:rPr>
          <w:rFonts w:eastAsia="Times New Roman"/>
        </w:rPr>
        <w:t>對規範轉換判準的操作化，則可直接作為問題</w:t>
      </w:r>
      <w:proofErr w:type="spellEnd"/>
      <w:r>
        <w:rPr>
          <w:rFonts w:eastAsia="Times New Roman"/>
        </w:rPr>
        <w:t xml:space="preserve"> 11 </w:t>
      </w:r>
      <w:proofErr w:type="spellStart"/>
      <w:r>
        <w:rPr>
          <w:rFonts w:eastAsia="Times New Roman"/>
        </w:rPr>
        <w:t>的解答起點，後續重點為跨案例應用與邊界規則的經驗修正</w:t>
      </w:r>
      <w:proofErr w:type="spellEnd"/>
      <w:r>
        <w:rPr>
          <w:rFonts w:eastAsia="Times New Roman"/>
        </w:rPr>
        <w:t>。</w:t>
      </w:r>
    </w:p>
    <w:p w:rsidR="00054B3F" w:rsidRDefault="00675D53">
      <w:pPr>
        <w:pStyle w:val="1"/>
      </w:pPr>
      <w:proofErr w:type="spellStart"/>
      <w:r>
        <w:t>拾、五條總結性命題與結論</w:t>
      </w:r>
      <w:proofErr w:type="spellEnd"/>
    </w:p>
    <w:p w:rsidR="00054B3F" w:rsidRDefault="00675D53">
      <w:pPr>
        <w:pStyle w:val="2"/>
      </w:pPr>
      <w:proofErr w:type="spellStart"/>
      <w:r>
        <w:t>一、五條總結性命題</w:t>
      </w:r>
      <w:proofErr w:type="spellEnd"/>
    </w:p>
    <w:p w:rsidR="00054B3F" w:rsidRDefault="00675D53">
      <w:pPr>
        <w:spacing w:after="120" w:line="360" w:lineRule="auto"/>
      </w:pPr>
      <w:proofErr w:type="spellStart"/>
      <w:r>
        <w:rPr>
          <w:rFonts w:eastAsia="Times New Roman"/>
        </w:rPr>
        <w:t>為使議程不僅停留在問題清單，本文將分散於各研究群的核心主張，收斂為五條可繼續檢驗的總結性命題</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生成分散命題：行政結果的生成者越分散，責任追溯與行政說明越困難</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裁量轉移命題：裁量不會因自動化而消失，而會轉移至資料選擇、模型設定、介面設計與覆核流程</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規範轉換命</w:t>
      </w:r>
      <w:r>
        <w:rPr>
          <w:rFonts w:eastAsia="Times New Roman"/>
        </w:rPr>
        <w:t>題：當技術設定同時涉及公共價值、理由要求、例外限制與責任歸屬時，技術選擇即具有公共規範性</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再介入能力命題：事後救濟不能取代事中暫停、修改與否決能力</w:t>
      </w:r>
      <w:proofErr w:type="spellEnd"/>
      <w:r>
        <w:rPr>
          <w:rFonts w:eastAsia="Times New Roman"/>
        </w:rPr>
        <w:t>。</w:t>
      </w:r>
    </w:p>
    <w:p w:rsidR="00054B3F" w:rsidRDefault="00675D53">
      <w:pPr>
        <w:pStyle w:val="a4"/>
        <w:numPr>
          <w:ilvl w:val="0"/>
          <w:numId w:val="2"/>
        </w:numPr>
        <w:spacing w:after="80" w:line="360" w:lineRule="auto"/>
      </w:pPr>
      <w:proofErr w:type="spellStart"/>
      <w:r>
        <w:rPr>
          <w:rFonts w:eastAsia="Times New Roman"/>
        </w:rPr>
        <w:t>組織依賴命題：公共機關對私人供應商的技術、資料與模型更新依賴越高，UCPR</w:t>
      </w:r>
      <w:proofErr w:type="spellEnd"/>
      <w:r>
        <w:rPr>
          <w:rFonts w:eastAsia="Times New Roman"/>
        </w:rPr>
        <w:t xml:space="preserve"> </w:t>
      </w:r>
      <w:proofErr w:type="spellStart"/>
      <w:r>
        <w:rPr>
          <w:rFonts w:eastAsia="Times New Roman"/>
        </w:rPr>
        <w:t>越可能出現形式存在、實質弱化的落差</w:t>
      </w:r>
      <w:proofErr w:type="spellEnd"/>
      <w:r>
        <w:rPr>
          <w:rFonts w:eastAsia="Times New Roman"/>
        </w:rPr>
        <w:t>。</w:t>
      </w:r>
    </w:p>
    <w:p w:rsidR="00054B3F" w:rsidRDefault="00675D53">
      <w:pPr>
        <w:spacing w:after="120" w:line="360" w:lineRule="auto"/>
      </w:pPr>
      <w:proofErr w:type="spellStart"/>
      <w:r>
        <w:rPr>
          <w:rFonts w:eastAsia="Times New Roman"/>
        </w:rPr>
        <w:t>這五條命題共同說明：GDA</w:t>
      </w:r>
      <w:proofErr w:type="spellEnd"/>
      <w:r>
        <w:rPr>
          <w:rFonts w:eastAsia="Times New Roman"/>
        </w:rPr>
        <w:t xml:space="preserve"> </w:t>
      </w:r>
      <w:proofErr w:type="spellStart"/>
      <w:r>
        <w:rPr>
          <w:rFonts w:eastAsia="Times New Roman"/>
        </w:rPr>
        <w:t>的主要任務不是宣稱</w:t>
      </w:r>
      <w:proofErr w:type="spellEnd"/>
      <w:r>
        <w:rPr>
          <w:rFonts w:eastAsia="Times New Roman"/>
        </w:rPr>
        <w:t xml:space="preserve"> AI </w:t>
      </w:r>
      <w:proofErr w:type="spellStart"/>
      <w:r>
        <w:rPr>
          <w:rFonts w:eastAsia="Times New Roman"/>
        </w:rPr>
        <w:t>行政必然失去公共性，而是提供一套方法，辨識公共性究竟在哪個生成節點、裁量節點、規範轉換節點或制度能力節點發生變化</w:t>
      </w:r>
      <w:proofErr w:type="spellEnd"/>
      <w:r>
        <w:rPr>
          <w:rFonts w:eastAsia="Times New Roman"/>
        </w:rPr>
        <w:t>。</w:t>
      </w:r>
    </w:p>
    <w:p w:rsidR="00054B3F" w:rsidRDefault="00675D53">
      <w:pPr>
        <w:pStyle w:val="2"/>
      </w:pPr>
      <w:proofErr w:type="spellStart"/>
      <w:r>
        <w:t>二、結論</w:t>
      </w:r>
      <w:proofErr w:type="spellEnd"/>
    </w:p>
    <w:p w:rsidR="00054B3F" w:rsidRDefault="00675D53">
      <w:pPr>
        <w:spacing w:after="120" w:line="360" w:lineRule="auto"/>
      </w:pPr>
      <w:r>
        <w:rPr>
          <w:rFonts w:eastAsia="Times New Roman"/>
        </w:rPr>
        <w:t xml:space="preserve">GDA </w:t>
      </w:r>
      <w:proofErr w:type="spellStart"/>
      <w:r>
        <w:rPr>
          <w:rFonts w:eastAsia="Times New Roman"/>
        </w:rPr>
        <w:t>模型不只是完成一套理論，也應該成為一套研究問題生成器。本文的任務，正是把</w:t>
      </w:r>
      <w:proofErr w:type="spellEnd"/>
      <w:r>
        <w:rPr>
          <w:rFonts w:eastAsia="Times New Roman"/>
        </w:rPr>
        <w:t xml:space="preserve"> GDA 模型從一套已經定位完成（032）、尚待實證檢視（031 已初步展開）的理論陳述，轉化為一份可供後續研究者直接使用的問題—方法配對地圖：五個研究群、二十七題具體問題、核心構念與方法的基本配對、三階</w:t>
      </w:r>
      <w:r>
        <w:rPr>
          <w:rFonts w:eastAsia="Times New Roman"/>
        </w:rPr>
        <w:lastRenderedPageBreak/>
        <w:t>段研究設計，以及五條總結性命題。</w:t>
      </w:r>
    </w:p>
    <w:p w:rsidR="00054B3F" w:rsidRDefault="00675D53">
      <w:pPr>
        <w:spacing w:after="120" w:line="360" w:lineRule="auto"/>
      </w:pPr>
      <w:proofErr w:type="spellStart"/>
      <w:r>
        <w:rPr>
          <w:rFonts w:eastAsia="Times New Roman"/>
        </w:rPr>
        <w:t>本校準版進一步依</w:t>
      </w:r>
      <w:proofErr w:type="spellEnd"/>
      <w:r>
        <w:rPr>
          <w:rFonts w:eastAsia="Times New Roman"/>
        </w:rPr>
        <w:t xml:space="preserve"> 034、035 完成後之實際狀態，更新議程現況：規範轉換的操作化工具已具備（035），UCPR 的文本層次比較已完成（034）；</w:t>
      </w:r>
      <w:proofErr w:type="spellStart"/>
      <w:r>
        <w:rPr>
          <w:rFonts w:eastAsia="Times New Roman"/>
        </w:rPr>
        <w:t>後續最需優先補強的，是</w:t>
      </w:r>
      <w:proofErr w:type="spellEnd"/>
      <w:r>
        <w:rPr>
          <w:rFonts w:eastAsia="Times New Roman"/>
        </w:rPr>
        <w:t xml:space="preserve"> SDC </w:t>
      </w:r>
      <w:proofErr w:type="spellStart"/>
      <w:r>
        <w:rPr>
          <w:rFonts w:eastAsia="Times New Roman"/>
        </w:rPr>
        <w:t>的跨案例測量、安</w:t>
      </w:r>
      <w:r>
        <w:rPr>
          <w:rFonts w:eastAsia="Times New Roman"/>
        </w:rPr>
        <w:t>全閥空轉與經驗性實質能力的檢驗，以及第五研究群的長期組織追蹤</w:t>
      </w:r>
      <w:proofErr w:type="spellEnd"/>
      <w:r>
        <w:rPr>
          <w:rFonts w:eastAsia="Times New Roman"/>
        </w:rPr>
        <w:t>。</w:t>
      </w:r>
    </w:p>
    <w:p w:rsidR="00054B3F" w:rsidRDefault="00675D53">
      <w:pPr>
        <w:spacing w:after="120" w:line="360" w:lineRule="auto"/>
      </w:pPr>
      <w:r>
        <w:rPr>
          <w:rFonts w:eastAsia="Times New Roman"/>
        </w:rPr>
        <w:t>本文必須誠實地重申其限制。第一，本文所列問題與方法配對，均屬理論推導之產物；034、035 雖已提供第一輪文本層次與操作化成果，但其經驗性檢驗仍完全空白。第二，本文提出的二十七題問題本身可能並不完整——議程建構法的本質，是提供一個系統性推導問題的起點，而非窮盡列舉。</w:t>
      </w:r>
    </w:p>
    <w:p w:rsidR="00054B3F" w:rsidRDefault="00675D53">
      <w:pPr>
        <w:spacing w:after="120" w:line="360" w:lineRule="auto"/>
      </w:pPr>
      <w:proofErr w:type="spellStart"/>
      <w:r>
        <w:rPr>
          <w:rFonts w:eastAsia="Times New Roman"/>
        </w:rPr>
        <w:t>最後，回到本文開頭的提問：GDA</w:t>
      </w:r>
      <w:proofErr w:type="spellEnd"/>
      <w:r>
        <w:rPr>
          <w:rFonts w:eastAsia="Times New Roman"/>
        </w:rPr>
        <w:t xml:space="preserve"> 模型建立以後，還有哪些重要問題可以研究？本文的答案並非一份封閉的清單，而是一套可持續擴充的地圖——生成、裁量、規範轉換、權威四個構面提供了推導問題的固定座標；目前最需要優先補強的，不是再增加概念，而是把 DAA </w:t>
      </w:r>
      <w:proofErr w:type="spellStart"/>
      <w:r>
        <w:rPr>
          <w:rFonts w:eastAsia="Times New Roman"/>
        </w:rPr>
        <w:t>的責任邊界、SDC</w:t>
      </w:r>
      <w:proofErr w:type="spellEnd"/>
      <w:r>
        <w:rPr>
          <w:rFonts w:eastAsia="Times New Roman"/>
        </w:rPr>
        <w:t xml:space="preserve"> </w:t>
      </w:r>
      <w:proofErr w:type="spellStart"/>
      <w:r>
        <w:rPr>
          <w:rFonts w:eastAsia="Times New Roman"/>
        </w:rPr>
        <w:t>的可觀察指標、規範轉換的強度分級（已有工具、待經驗修正</w:t>
      </w:r>
      <w:proofErr w:type="spellEnd"/>
      <w:r>
        <w:rPr>
          <w:rFonts w:eastAsia="Times New Roman"/>
        </w:rPr>
        <w:t>），</w:t>
      </w:r>
      <w:proofErr w:type="spellStart"/>
      <w:r>
        <w:rPr>
          <w:rFonts w:eastAsia="Times New Roman"/>
        </w:rPr>
        <w:t>以及</w:t>
      </w:r>
      <w:proofErr w:type="spellEnd"/>
      <w:r>
        <w:rPr>
          <w:rFonts w:eastAsia="Times New Roman"/>
        </w:rPr>
        <w:t xml:space="preserve"> UCPR </w:t>
      </w:r>
      <w:proofErr w:type="spellStart"/>
      <w:r>
        <w:rPr>
          <w:rFonts w:eastAsia="Times New Roman"/>
        </w:rPr>
        <w:t>的形式／實質落差（文本層次已完成、經驗層次空白</w:t>
      </w:r>
      <w:proofErr w:type="spellEnd"/>
      <w:r>
        <w:rPr>
          <w:rFonts w:eastAsia="Times New Roman"/>
        </w:rPr>
        <w:t>），</w:t>
      </w:r>
      <w:proofErr w:type="spellStart"/>
      <w:r>
        <w:rPr>
          <w:rFonts w:eastAsia="Times New Roman"/>
        </w:rPr>
        <w:t>轉成可以檢驗的研究設計。GDA</w:t>
      </w:r>
      <w:proofErr w:type="spellEnd"/>
      <w:r>
        <w:rPr>
          <w:rFonts w:eastAsia="Times New Roman"/>
        </w:rPr>
        <w:t xml:space="preserve"> </w:t>
      </w:r>
      <w:proofErr w:type="spellStart"/>
      <w:r>
        <w:rPr>
          <w:rFonts w:eastAsia="Times New Roman"/>
        </w:rPr>
        <w:t>模型是否真能承受住這一整套研究議程的檢驗，答案終究不在本文，而在</w:t>
      </w:r>
      <w:proofErr w:type="spellEnd"/>
      <w:r>
        <w:rPr>
          <w:rFonts w:eastAsia="Times New Roman"/>
        </w:rPr>
        <w:t xml:space="preserve"> 036 </w:t>
      </w:r>
      <w:proofErr w:type="spellStart"/>
      <w:r>
        <w:rPr>
          <w:rFonts w:eastAsia="Times New Roman"/>
        </w:rPr>
        <w:t>以後陸續展開的具</w:t>
      </w:r>
      <w:r>
        <w:rPr>
          <w:rFonts w:eastAsia="Times New Roman"/>
        </w:rPr>
        <w:t>體研究之中</w:t>
      </w:r>
      <w:proofErr w:type="spellEnd"/>
      <w:r>
        <w:rPr>
          <w:rFonts w:eastAsia="Times New Roman"/>
        </w:rPr>
        <w:t>。</w:t>
      </w:r>
    </w:p>
    <w:p w:rsidR="00054B3F" w:rsidRDefault="00675D53">
      <w:pPr>
        <w:pStyle w:val="1"/>
      </w:pPr>
      <w:proofErr w:type="spellStart"/>
      <w:r>
        <w:t>參考文獻</w:t>
      </w:r>
      <w:proofErr w:type="spellEnd"/>
    </w:p>
    <w:p w:rsidR="00054B3F" w:rsidRDefault="00675D53">
      <w:pPr>
        <w:spacing w:after="120" w:line="360" w:lineRule="auto"/>
      </w:pPr>
      <w:r>
        <w:rPr>
          <w:rFonts w:eastAsia="Times New Roman"/>
        </w:rPr>
        <w:t xml:space="preserve">Afzal, M., &amp; </w:t>
      </w:r>
      <w:proofErr w:type="spellStart"/>
      <w:r>
        <w:rPr>
          <w:rFonts w:eastAsia="Times New Roman"/>
        </w:rPr>
        <w:t>Panagiotopoulos</w:t>
      </w:r>
      <w:proofErr w:type="spellEnd"/>
      <w:r>
        <w:rPr>
          <w:rFonts w:eastAsia="Times New Roman"/>
        </w:rPr>
        <w:t>, P. (2025). How public officials perceive algorithmic discretion: A study of status quo bias in policing. Public Administration Review, 85(5), 1385–1397.</w:t>
      </w:r>
    </w:p>
    <w:p w:rsidR="00054B3F" w:rsidRDefault="00675D53">
      <w:pPr>
        <w:spacing w:after="120" w:line="360" w:lineRule="auto"/>
      </w:pPr>
      <w:proofErr w:type="spellStart"/>
      <w:r>
        <w:rPr>
          <w:rFonts w:eastAsia="Times New Roman"/>
        </w:rPr>
        <w:t>Bovens</w:t>
      </w:r>
      <w:proofErr w:type="spellEnd"/>
      <w:r>
        <w:rPr>
          <w:rFonts w:eastAsia="Times New Roman"/>
        </w:rPr>
        <w:t xml:space="preserve">, M., &amp; </w:t>
      </w:r>
      <w:proofErr w:type="spellStart"/>
      <w:r>
        <w:rPr>
          <w:rFonts w:eastAsia="Times New Roman"/>
        </w:rPr>
        <w:t>Zouridis</w:t>
      </w:r>
      <w:proofErr w:type="spellEnd"/>
      <w:r>
        <w:rPr>
          <w:rFonts w:eastAsia="Times New Roman"/>
        </w:rPr>
        <w:t>, S. (2002). From street-level to syste</w:t>
      </w:r>
      <w:r>
        <w:rPr>
          <w:rFonts w:eastAsia="Times New Roman"/>
        </w:rPr>
        <w:t>m-level bureaucracies: How information and communication technology is transforming administrative discretion and constitutional control. Public Administration Review, 62(2), 174–184.</w:t>
      </w:r>
    </w:p>
    <w:p w:rsidR="00054B3F" w:rsidRDefault="00675D53">
      <w:pPr>
        <w:spacing w:after="120" w:line="360" w:lineRule="auto"/>
      </w:pPr>
      <w:proofErr w:type="spellStart"/>
      <w:r>
        <w:rPr>
          <w:rFonts w:eastAsia="Times New Roman"/>
        </w:rPr>
        <w:t>Busuioc</w:t>
      </w:r>
      <w:proofErr w:type="spellEnd"/>
      <w:r>
        <w:rPr>
          <w:rFonts w:eastAsia="Times New Roman"/>
        </w:rPr>
        <w:t>, M. (2021). Accountable artificial intelligence: Holding algorit</w:t>
      </w:r>
      <w:r>
        <w:rPr>
          <w:rFonts w:eastAsia="Times New Roman"/>
        </w:rPr>
        <w:t xml:space="preserve">hms to account. </w:t>
      </w:r>
      <w:r>
        <w:rPr>
          <w:rFonts w:eastAsia="Times New Roman"/>
        </w:rPr>
        <w:lastRenderedPageBreak/>
        <w:t>Public Administration Review, 81(5), 825–836.</w:t>
      </w:r>
    </w:p>
    <w:p w:rsidR="00054B3F" w:rsidRDefault="00675D53">
      <w:pPr>
        <w:spacing w:after="120" w:line="360" w:lineRule="auto"/>
      </w:pPr>
      <w:r>
        <w:rPr>
          <w:rFonts w:eastAsia="Times New Roman"/>
        </w:rPr>
        <w:t>Citron, D. K. (2008). Technological due process. Washington University Law Review, 85(6), 1249–1313.</w:t>
      </w:r>
    </w:p>
    <w:p w:rsidR="00054B3F" w:rsidRDefault="00675D53">
      <w:pPr>
        <w:spacing w:after="120" w:line="360" w:lineRule="auto"/>
      </w:pPr>
      <w:r>
        <w:rPr>
          <w:rFonts w:eastAsia="Times New Roman"/>
        </w:rPr>
        <w:t xml:space="preserve">Danaher, J. (2016). The threat of </w:t>
      </w:r>
      <w:proofErr w:type="spellStart"/>
      <w:r>
        <w:rPr>
          <w:rFonts w:eastAsia="Times New Roman"/>
        </w:rPr>
        <w:t>algocracy</w:t>
      </w:r>
      <w:proofErr w:type="spellEnd"/>
      <w:r>
        <w:rPr>
          <w:rFonts w:eastAsia="Times New Roman"/>
        </w:rPr>
        <w:t>: Reality, resistance and accommodation. Philosoph</w:t>
      </w:r>
      <w:r>
        <w:rPr>
          <w:rFonts w:eastAsia="Times New Roman"/>
        </w:rPr>
        <w:t>y &amp; Technology, 29(3), 245–268.</w:t>
      </w:r>
    </w:p>
    <w:p w:rsidR="00054B3F" w:rsidRDefault="00675D53">
      <w:pPr>
        <w:spacing w:after="120" w:line="360" w:lineRule="auto"/>
      </w:pPr>
      <w:r>
        <w:rPr>
          <w:rFonts w:eastAsia="Times New Roman"/>
        </w:rPr>
        <w:t>盧建旭（作者前作，未出版工作稿，未公開發表）。027〈誰在行政行動〉、028〈裁量何在〉、029〈不可外包的行政〉、030〈人工智慧時代公共行政之「生成—裁量—權威」理論架構〉、031〈電子圍籬作為分散式行政行動：以030模型初步檢視台灣COVID-19智慧監控系統之文件個案研究〉、032〈人工智慧時代公共行政理論的再定位：從數位治理到「生成—裁量—權威」〉。</w:t>
      </w:r>
    </w:p>
    <w:p w:rsidR="00054B3F" w:rsidRDefault="00675D53">
      <w:pPr>
        <w:spacing w:after="120" w:line="360" w:lineRule="auto"/>
      </w:pPr>
      <w:r>
        <w:rPr>
          <w:rFonts w:eastAsia="Times New Roman"/>
        </w:rPr>
        <w:t>盧建旭（已完成）。034〈最終再介入能力的制度化：臺灣、歐盟與加拿大人工智慧治理規範</w:t>
      </w:r>
      <w:r>
        <w:rPr>
          <w:rFonts w:eastAsia="Times New Roman"/>
        </w:rPr>
        <w:t xml:space="preserve">之比較分析〉、035〈規範何以轉換？人工智慧行政中技術選擇轉化為公共規範的條件〉。〔本版依 034、035 </w:t>
      </w:r>
      <w:proofErr w:type="spellStart"/>
      <w:r>
        <w:rPr>
          <w:rFonts w:eastAsia="Times New Roman"/>
        </w:rPr>
        <w:t>完成後之實際狀態，更新議程校準與優先缺口排序</w:t>
      </w:r>
      <w:proofErr w:type="spellEnd"/>
      <w:r>
        <w:rPr>
          <w:rFonts w:eastAsia="Times New Roman"/>
        </w:rPr>
        <w:t>。〕</w:t>
      </w:r>
    </w:p>
    <w:sectPr w:rsidR="00054B3F">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D53" w:rsidRDefault="00675D53">
      <w:r>
        <w:separator/>
      </w:r>
    </w:p>
  </w:endnote>
  <w:endnote w:type="continuationSeparator" w:id="0">
    <w:p w:rsidR="00675D53" w:rsidRDefault="0067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B3F" w:rsidRDefault="00675D53">
    <w:pPr>
      <w:jc w:val="center"/>
    </w:pPr>
    <w:r>
      <w:rPr>
        <w:rFonts w:eastAsia="Times New Roman"/>
        <w:sz w:val="18"/>
        <w:szCs w:val="18"/>
      </w:rPr>
      <w:t xml:space="preserve">— </w:t>
    </w:r>
    <w:r>
      <w:rPr>
        <w:sz w:val="18"/>
        <w:szCs w:val="18"/>
      </w:rPr>
      <w:fldChar w:fldCharType="begin"/>
    </w:r>
    <w:r>
      <w:rPr>
        <w:rFonts w:eastAsia="Times New Roman"/>
        <w:sz w:val="18"/>
        <w:szCs w:val="18"/>
      </w:rPr>
      <w:instrText>PAGE</w:instrText>
    </w:r>
    <w:r w:rsidR="003901A6">
      <w:rPr>
        <w:sz w:val="18"/>
        <w:szCs w:val="18"/>
      </w:rPr>
      <w:fldChar w:fldCharType="separate"/>
    </w:r>
    <w:r w:rsidR="003901A6">
      <w:rPr>
        <w:rFonts w:eastAsia="Times New Roman"/>
        <w:noProof/>
        <w:sz w:val="18"/>
        <w:szCs w:val="18"/>
      </w:rPr>
      <w:t>1</w:t>
    </w:r>
    <w:r>
      <w:rPr>
        <w:sz w:val="18"/>
        <w:szCs w:val="18"/>
      </w:rPr>
      <w:fldChar w:fldCharType="end"/>
    </w:r>
    <w:r>
      <w:rPr>
        <w:rFonts w:eastAsia="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D53" w:rsidRDefault="00675D53">
      <w:r>
        <w:separator/>
      </w:r>
    </w:p>
  </w:footnote>
  <w:footnote w:type="continuationSeparator" w:id="0">
    <w:p w:rsidR="00675D53" w:rsidRDefault="00675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B3F" w:rsidRDefault="00675D53">
    <w:pPr>
      <w:jc w:val="right"/>
    </w:pPr>
    <w:r>
      <w:rPr>
        <w:rFonts w:eastAsia="Times New Roman"/>
        <w:color w:val="666666"/>
        <w:sz w:val="18"/>
        <w:szCs w:val="18"/>
      </w:rPr>
      <w:t>033　人工智慧時代公共行政研究議程（整合補強稿・034／035校準版）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30BCE"/>
    <w:multiLevelType w:val="hybridMultilevel"/>
    <w:tmpl w:val="28B4FEE8"/>
    <w:lvl w:ilvl="0" w:tplc="BF969454">
      <w:start w:val="1"/>
      <w:numFmt w:val="decimal"/>
      <w:lvlText w:val="%1."/>
      <w:lvlJc w:val="left"/>
      <w:pPr>
        <w:ind w:left="720" w:hanging="360"/>
      </w:pPr>
    </w:lvl>
    <w:lvl w:ilvl="1" w:tplc="D86E7A58">
      <w:numFmt w:val="decimal"/>
      <w:lvlText w:val=""/>
      <w:lvlJc w:val="left"/>
    </w:lvl>
    <w:lvl w:ilvl="2" w:tplc="0B26F3AA">
      <w:numFmt w:val="decimal"/>
      <w:lvlText w:val=""/>
      <w:lvlJc w:val="left"/>
    </w:lvl>
    <w:lvl w:ilvl="3" w:tplc="5DC8277E">
      <w:numFmt w:val="decimal"/>
      <w:lvlText w:val=""/>
      <w:lvlJc w:val="left"/>
    </w:lvl>
    <w:lvl w:ilvl="4" w:tplc="5820375C">
      <w:numFmt w:val="decimal"/>
      <w:lvlText w:val=""/>
      <w:lvlJc w:val="left"/>
    </w:lvl>
    <w:lvl w:ilvl="5" w:tplc="2BF0E8FE">
      <w:numFmt w:val="decimal"/>
      <w:lvlText w:val=""/>
      <w:lvlJc w:val="left"/>
    </w:lvl>
    <w:lvl w:ilvl="6" w:tplc="D51419F8">
      <w:numFmt w:val="decimal"/>
      <w:lvlText w:val=""/>
      <w:lvlJc w:val="left"/>
    </w:lvl>
    <w:lvl w:ilvl="7" w:tplc="C378526A">
      <w:numFmt w:val="decimal"/>
      <w:lvlText w:val=""/>
      <w:lvlJc w:val="left"/>
    </w:lvl>
    <w:lvl w:ilvl="8" w:tplc="FC1A3172">
      <w:numFmt w:val="decimal"/>
      <w:lvlText w:val=""/>
      <w:lvlJc w:val="left"/>
    </w:lvl>
  </w:abstractNum>
  <w:abstractNum w:abstractNumId="1" w15:restartNumberingAfterBreak="0">
    <w:nsid w:val="284632DA"/>
    <w:multiLevelType w:val="hybridMultilevel"/>
    <w:tmpl w:val="05D2829E"/>
    <w:lvl w:ilvl="0" w:tplc="8F6452AC">
      <w:start w:val="1"/>
      <w:numFmt w:val="bullet"/>
      <w:lvlText w:val="●"/>
      <w:lvlJc w:val="left"/>
      <w:pPr>
        <w:ind w:left="720" w:hanging="360"/>
      </w:pPr>
    </w:lvl>
    <w:lvl w:ilvl="1" w:tplc="F68CDF20">
      <w:start w:val="1"/>
      <w:numFmt w:val="bullet"/>
      <w:lvlText w:val="○"/>
      <w:lvlJc w:val="left"/>
      <w:pPr>
        <w:ind w:left="1440" w:hanging="360"/>
      </w:pPr>
    </w:lvl>
    <w:lvl w:ilvl="2" w:tplc="68666860">
      <w:start w:val="1"/>
      <w:numFmt w:val="bullet"/>
      <w:lvlText w:val="■"/>
      <w:lvlJc w:val="left"/>
      <w:pPr>
        <w:ind w:left="2160" w:hanging="360"/>
      </w:pPr>
    </w:lvl>
    <w:lvl w:ilvl="3" w:tplc="905A5856">
      <w:start w:val="1"/>
      <w:numFmt w:val="bullet"/>
      <w:lvlText w:val="●"/>
      <w:lvlJc w:val="left"/>
      <w:pPr>
        <w:ind w:left="2880" w:hanging="360"/>
      </w:pPr>
    </w:lvl>
    <w:lvl w:ilvl="4" w:tplc="2E583224">
      <w:start w:val="1"/>
      <w:numFmt w:val="bullet"/>
      <w:lvlText w:val="○"/>
      <w:lvlJc w:val="left"/>
      <w:pPr>
        <w:ind w:left="3600" w:hanging="360"/>
      </w:pPr>
    </w:lvl>
    <w:lvl w:ilvl="5" w:tplc="19508444">
      <w:start w:val="1"/>
      <w:numFmt w:val="bullet"/>
      <w:lvlText w:val="■"/>
      <w:lvlJc w:val="left"/>
      <w:pPr>
        <w:ind w:left="4320" w:hanging="360"/>
      </w:pPr>
    </w:lvl>
    <w:lvl w:ilvl="6" w:tplc="8C121E98">
      <w:start w:val="1"/>
      <w:numFmt w:val="bullet"/>
      <w:lvlText w:val="●"/>
      <w:lvlJc w:val="left"/>
      <w:pPr>
        <w:ind w:left="5040" w:hanging="360"/>
      </w:pPr>
    </w:lvl>
    <w:lvl w:ilvl="7" w:tplc="2398DF0A">
      <w:start w:val="1"/>
      <w:numFmt w:val="bullet"/>
      <w:lvlText w:val="●"/>
      <w:lvlJc w:val="left"/>
      <w:pPr>
        <w:ind w:left="5760" w:hanging="360"/>
      </w:pPr>
    </w:lvl>
    <w:lvl w:ilvl="8" w:tplc="067AC8EC">
      <w:start w:val="1"/>
      <w:numFmt w:val="bullet"/>
      <w:lvlText w:val="●"/>
      <w:lvlJc w:val="left"/>
      <w:pPr>
        <w:ind w:left="6480" w:hanging="360"/>
      </w:pPr>
    </w:lvl>
  </w:abstractNum>
  <w:abstractNum w:abstractNumId="2" w15:restartNumberingAfterBreak="0">
    <w:nsid w:val="29C646EA"/>
    <w:multiLevelType w:val="hybridMultilevel"/>
    <w:tmpl w:val="6C6AA9A8"/>
    <w:lvl w:ilvl="0" w:tplc="2C0C1F76">
      <w:start w:val="1"/>
      <w:numFmt w:val="decimal"/>
      <w:lvlText w:val="%1．"/>
      <w:lvlJc w:val="left"/>
      <w:pPr>
        <w:ind w:left="720" w:hanging="360"/>
      </w:pPr>
    </w:lvl>
    <w:lvl w:ilvl="1" w:tplc="7404571E">
      <w:numFmt w:val="decimal"/>
      <w:lvlText w:val=""/>
      <w:lvlJc w:val="left"/>
    </w:lvl>
    <w:lvl w:ilvl="2" w:tplc="A8F67D74">
      <w:numFmt w:val="decimal"/>
      <w:lvlText w:val=""/>
      <w:lvlJc w:val="left"/>
    </w:lvl>
    <w:lvl w:ilvl="3" w:tplc="445C0D42">
      <w:numFmt w:val="decimal"/>
      <w:lvlText w:val=""/>
      <w:lvlJc w:val="left"/>
    </w:lvl>
    <w:lvl w:ilvl="4" w:tplc="0846DF56">
      <w:numFmt w:val="decimal"/>
      <w:lvlText w:val=""/>
      <w:lvlJc w:val="left"/>
    </w:lvl>
    <w:lvl w:ilvl="5" w:tplc="9BB857EE">
      <w:numFmt w:val="decimal"/>
      <w:lvlText w:val=""/>
      <w:lvlJc w:val="left"/>
    </w:lvl>
    <w:lvl w:ilvl="6" w:tplc="D56C219C">
      <w:numFmt w:val="decimal"/>
      <w:lvlText w:val=""/>
      <w:lvlJc w:val="left"/>
    </w:lvl>
    <w:lvl w:ilvl="7" w:tplc="A9BE8C34">
      <w:numFmt w:val="decimal"/>
      <w:lvlText w:val=""/>
      <w:lvlJc w:val="left"/>
    </w:lvl>
    <w:lvl w:ilvl="8" w:tplc="3FC85264">
      <w:numFmt w:val="decimal"/>
      <w:lvlText w:val=""/>
      <w:lvlJc w:val="left"/>
    </w:lvl>
  </w:abstractNum>
  <w:abstractNum w:abstractNumId="3" w15:restartNumberingAfterBreak="0">
    <w:nsid w:val="346D06F2"/>
    <w:multiLevelType w:val="hybridMultilevel"/>
    <w:tmpl w:val="32986BC6"/>
    <w:lvl w:ilvl="0" w:tplc="E5E880B6">
      <w:start w:val="1"/>
      <w:numFmt w:val="decimal"/>
      <w:lvlText w:val="%1."/>
      <w:lvlJc w:val="left"/>
      <w:pPr>
        <w:ind w:left="720" w:hanging="360"/>
      </w:pPr>
    </w:lvl>
    <w:lvl w:ilvl="1" w:tplc="522CC6C8">
      <w:numFmt w:val="decimal"/>
      <w:lvlText w:val=""/>
      <w:lvlJc w:val="left"/>
    </w:lvl>
    <w:lvl w:ilvl="2" w:tplc="62B66DB0">
      <w:numFmt w:val="decimal"/>
      <w:lvlText w:val=""/>
      <w:lvlJc w:val="left"/>
    </w:lvl>
    <w:lvl w:ilvl="3" w:tplc="5BC61676">
      <w:numFmt w:val="decimal"/>
      <w:lvlText w:val=""/>
      <w:lvlJc w:val="left"/>
    </w:lvl>
    <w:lvl w:ilvl="4" w:tplc="2D8235DC">
      <w:numFmt w:val="decimal"/>
      <w:lvlText w:val=""/>
      <w:lvlJc w:val="left"/>
    </w:lvl>
    <w:lvl w:ilvl="5" w:tplc="B50063DC">
      <w:numFmt w:val="decimal"/>
      <w:lvlText w:val=""/>
      <w:lvlJc w:val="left"/>
    </w:lvl>
    <w:lvl w:ilvl="6" w:tplc="7F405A02">
      <w:numFmt w:val="decimal"/>
      <w:lvlText w:val=""/>
      <w:lvlJc w:val="left"/>
    </w:lvl>
    <w:lvl w:ilvl="7" w:tplc="921E2116">
      <w:numFmt w:val="decimal"/>
      <w:lvlText w:val=""/>
      <w:lvlJc w:val="left"/>
    </w:lvl>
    <w:lvl w:ilvl="8" w:tplc="A900CECC">
      <w:numFmt w:val="decimal"/>
      <w:lvlText w:val=""/>
      <w:lvlJc w:val="left"/>
    </w:lvl>
  </w:abstractNum>
  <w:abstractNum w:abstractNumId="4" w15:restartNumberingAfterBreak="0">
    <w:nsid w:val="56321680"/>
    <w:multiLevelType w:val="hybridMultilevel"/>
    <w:tmpl w:val="E0DE3E5A"/>
    <w:lvl w:ilvl="0" w:tplc="673A9D52">
      <w:start w:val="1"/>
      <w:numFmt w:val="bullet"/>
      <w:lvlText w:val="•"/>
      <w:lvlJc w:val="left"/>
      <w:pPr>
        <w:ind w:left="720" w:hanging="360"/>
      </w:pPr>
    </w:lvl>
    <w:lvl w:ilvl="1" w:tplc="EF14825A">
      <w:numFmt w:val="decimal"/>
      <w:lvlText w:val=""/>
      <w:lvlJc w:val="left"/>
    </w:lvl>
    <w:lvl w:ilvl="2" w:tplc="1AD4812C">
      <w:numFmt w:val="decimal"/>
      <w:lvlText w:val=""/>
      <w:lvlJc w:val="left"/>
    </w:lvl>
    <w:lvl w:ilvl="3" w:tplc="FF421A3C">
      <w:numFmt w:val="decimal"/>
      <w:lvlText w:val=""/>
      <w:lvlJc w:val="left"/>
    </w:lvl>
    <w:lvl w:ilvl="4" w:tplc="EA74F492">
      <w:numFmt w:val="decimal"/>
      <w:lvlText w:val=""/>
      <w:lvlJc w:val="left"/>
    </w:lvl>
    <w:lvl w:ilvl="5" w:tplc="05B42EC4">
      <w:numFmt w:val="decimal"/>
      <w:lvlText w:val=""/>
      <w:lvlJc w:val="left"/>
    </w:lvl>
    <w:lvl w:ilvl="6" w:tplc="A546190A">
      <w:numFmt w:val="decimal"/>
      <w:lvlText w:val=""/>
      <w:lvlJc w:val="left"/>
    </w:lvl>
    <w:lvl w:ilvl="7" w:tplc="D5D6F33E">
      <w:numFmt w:val="decimal"/>
      <w:lvlText w:val=""/>
      <w:lvlJc w:val="left"/>
    </w:lvl>
    <w:lvl w:ilvl="8" w:tplc="51B29ADE">
      <w:numFmt w:val="decimal"/>
      <w:lvlText w:val=""/>
      <w:lvlJc w:val="left"/>
    </w:lvl>
  </w:abstractNum>
  <w:abstractNum w:abstractNumId="5" w15:restartNumberingAfterBreak="0">
    <w:nsid w:val="6C653A8B"/>
    <w:multiLevelType w:val="hybridMultilevel"/>
    <w:tmpl w:val="525AA684"/>
    <w:lvl w:ilvl="0" w:tplc="A84029A6">
      <w:start w:val="1"/>
      <w:numFmt w:val="decimal"/>
      <w:lvlText w:val="%1."/>
      <w:lvlJc w:val="left"/>
      <w:pPr>
        <w:ind w:left="720" w:hanging="360"/>
      </w:pPr>
    </w:lvl>
    <w:lvl w:ilvl="1" w:tplc="349E1140">
      <w:numFmt w:val="decimal"/>
      <w:lvlText w:val=""/>
      <w:lvlJc w:val="left"/>
    </w:lvl>
    <w:lvl w:ilvl="2" w:tplc="3320C73C">
      <w:numFmt w:val="decimal"/>
      <w:lvlText w:val=""/>
      <w:lvlJc w:val="left"/>
    </w:lvl>
    <w:lvl w:ilvl="3" w:tplc="EA320D62">
      <w:numFmt w:val="decimal"/>
      <w:lvlText w:val=""/>
      <w:lvlJc w:val="left"/>
    </w:lvl>
    <w:lvl w:ilvl="4" w:tplc="CB74C334">
      <w:numFmt w:val="decimal"/>
      <w:lvlText w:val=""/>
      <w:lvlJc w:val="left"/>
    </w:lvl>
    <w:lvl w:ilvl="5" w:tplc="32BE32A8">
      <w:numFmt w:val="decimal"/>
      <w:lvlText w:val=""/>
      <w:lvlJc w:val="left"/>
    </w:lvl>
    <w:lvl w:ilvl="6" w:tplc="C1D81CA4">
      <w:numFmt w:val="decimal"/>
      <w:lvlText w:val=""/>
      <w:lvlJc w:val="left"/>
    </w:lvl>
    <w:lvl w:ilvl="7" w:tplc="3BC8E26A">
      <w:numFmt w:val="decimal"/>
      <w:lvlText w:val=""/>
      <w:lvlJc w:val="left"/>
    </w:lvl>
    <w:lvl w:ilvl="8" w:tplc="A2CAC238">
      <w:numFmt w:val="decimal"/>
      <w:lvlText w:val=""/>
      <w:lvlJc w:val="left"/>
    </w:lvl>
  </w:abstractNum>
  <w:abstractNum w:abstractNumId="6" w15:restartNumberingAfterBreak="0">
    <w:nsid w:val="7D8E7B15"/>
    <w:multiLevelType w:val="hybridMultilevel"/>
    <w:tmpl w:val="4C22189E"/>
    <w:lvl w:ilvl="0" w:tplc="EB6A0A0A">
      <w:start w:val="1"/>
      <w:numFmt w:val="decimal"/>
      <w:lvlText w:val="RQ%1　"/>
      <w:lvlJc w:val="left"/>
      <w:pPr>
        <w:ind w:left="720" w:hanging="360"/>
      </w:pPr>
    </w:lvl>
    <w:lvl w:ilvl="1" w:tplc="905456E8">
      <w:numFmt w:val="decimal"/>
      <w:lvlText w:val=""/>
      <w:lvlJc w:val="left"/>
    </w:lvl>
    <w:lvl w:ilvl="2" w:tplc="5A40D1CE">
      <w:numFmt w:val="decimal"/>
      <w:lvlText w:val=""/>
      <w:lvlJc w:val="left"/>
    </w:lvl>
    <w:lvl w:ilvl="3" w:tplc="7A3E3C42">
      <w:numFmt w:val="decimal"/>
      <w:lvlText w:val=""/>
      <w:lvlJc w:val="left"/>
    </w:lvl>
    <w:lvl w:ilvl="4" w:tplc="03981F26">
      <w:numFmt w:val="decimal"/>
      <w:lvlText w:val=""/>
      <w:lvlJc w:val="left"/>
    </w:lvl>
    <w:lvl w:ilvl="5" w:tplc="7C24DB6A">
      <w:numFmt w:val="decimal"/>
      <w:lvlText w:val=""/>
      <w:lvlJc w:val="left"/>
    </w:lvl>
    <w:lvl w:ilvl="6" w:tplc="EAFC75D0">
      <w:numFmt w:val="decimal"/>
      <w:lvlText w:val=""/>
      <w:lvlJc w:val="left"/>
    </w:lvl>
    <w:lvl w:ilvl="7" w:tplc="2FE4994C">
      <w:numFmt w:val="decimal"/>
      <w:lvlText w:val=""/>
      <w:lvlJc w:val="left"/>
    </w:lvl>
    <w:lvl w:ilvl="8" w:tplc="6CBCE3F8">
      <w:numFmt w:val="decimal"/>
      <w:lvlText w:val=""/>
      <w:lvlJc w:val="left"/>
    </w:lvl>
  </w:abstractNum>
  <w:num w:numId="1">
    <w:abstractNumId w:val="1"/>
    <w:lvlOverride w:ilvl="0">
      <w:startOverride w:val="1"/>
    </w:lvlOverride>
  </w:num>
  <w:num w:numId="2">
    <w:abstractNumId w:val="4"/>
    <w:lvlOverride w:ilvl="0">
      <w:startOverride w:val="1"/>
    </w:lvlOverride>
  </w:num>
  <w:num w:numId="3">
    <w:abstractNumId w:val="0"/>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B3F"/>
    <w:rsid w:val="00054B3F"/>
    <w:rsid w:val="003901A6"/>
    <w:rsid w:val="00675D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9E2A"/>
  <w15:docId w15:val="{D9C5F270-5DEB-4C75-86C3-9C009504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spacing w:before="360" w:after="200"/>
      <w:outlineLvl w:val="0"/>
    </w:pPr>
    <w:rPr>
      <w:rFonts w:eastAsia="Times New Roman"/>
      <w:b/>
      <w:bCs/>
      <w:sz w:val="28"/>
      <w:szCs w:val="28"/>
    </w:rPr>
  </w:style>
  <w:style w:type="paragraph" w:styleId="2">
    <w:name w:val="heading 2"/>
    <w:uiPriority w:val="9"/>
    <w:unhideWhenUsed/>
    <w:qFormat/>
    <w:pPr>
      <w:spacing w:before="280" w:after="160"/>
      <w:outlineLvl w:val="1"/>
    </w:pPr>
    <w:rPr>
      <w:rFonts w:eastAsia="Times New Roman"/>
      <w:b/>
      <w:bCs/>
      <w:sz w:val="26"/>
      <w:szCs w:val="26"/>
    </w:rPr>
  </w:style>
  <w:style w:type="paragraph" w:styleId="3">
    <w:name w:val="heading 3"/>
    <w:uiPriority w:val="9"/>
    <w:unhideWhenUsed/>
    <w:qFormat/>
    <w:pPr>
      <w:spacing w:before="200" w:after="120"/>
      <w:outlineLvl w:val="2"/>
    </w:pPr>
    <w:rPr>
      <w:rFonts w:eastAsia="Times New Roman"/>
      <w:b/>
      <w:bCs/>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2665</Words>
  <Characters>15196</Characters>
  <Application>Microsoft Office Word</Application>
  <DocSecurity>0</DocSecurity>
  <Lines>126</Lines>
  <Paragraphs>35</Paragraphs>
  <ScaleCrop>false</ScaleCrop>
  <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2026-08-29T13:18:00Z</dcterms:created>
  <dcterms:modified xsi:type="dcterms:W3CDTF">2026-08-30T04:26:00Z</dcterms:modified>
</cp:coreProperties>
</file>