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60AE" w:rsidRDefault="00E760AE" w:rsidP="00E760AE">
      <w:pPr>
        <w:pStyle w:val="1"/>
        <w:spacing w:after="160" w:line="360" w:lineRule="auto"/>
        <w:jc w:val="center"/>
        <w:rPr>
          <w:rFonts w:ascii="微軟正黑體" w:eastAsia="微軟正黑體" w:hAnsi="微軟正黑體" w:cs="微軟正黑體"/>
          <w:b/>
          <w:bCs/>
          <w:sz w:val="30"/>
          <w:szCs w:val="30"/>
        </w:rPr>
      </w:pPr>
      <w:r>
        <w:rPr>
          <w:rFonts w:ascii="微軟正黑體" w:eastAsia="微軟正黑體" w:hAnsi="微軟正黑體" w:cs="微軟正黑體" w:hint="eastAsia"/>
          <w:b/>
          <w:bCs/>
          <w:sz w:val="30"/>
          <w:szCs w:val="30"/>
        </w:rPr>
        <w:t>03</w:t>
      </w:r>
      <w:r>
        <w:rPr>
          <w:rFonts w:ascii="微軟正黑體" w:eastAsia="微軟正黑體" w:hAnsi="微軟正黑體" w:cs="微軟正黑體" w:hint="eastAsia"/>
          <w:b/>
          <w:bCs/>
          <w:sz w:val="30"/>
          <w:szCs w:val="30"/>
        </w:rPr>
        <w:t>2</w:t>
      </w:r>
      <w:r>
        <w:rPr>
          <w:rFonts w:ascii="微軟正黑體" w:eastAsia="微軟正黑體" w:hAnsi="微軟正黑體" w:cs="微軟正黑體"/>
          <w:b/>
          <w:bCs/>
          <w:sz w:val="30"/>
          <w:szCs w:val="30"/>
        </w:rPr>
        <w:t xml:space="preserve"> </w:t>
      </w:r>
      <w:r>
        <w:rPr>
          <w:rFonts w:ascii="微軟正黑體" w:eastAsia="微軟正黑體" w:hAnsi="微軟正黑體" w:cs="微軟正黑體" w:hint="eastAsia"/>
          <w:b/>
          <w:bCs/>
          <w:sz w:val="30"/>
          <w:szCs w:val="30"/>
        </w:rPr>
        <w:t>Ai治理系列工作論文</w:t>
      </w:r>
    </w:p>
    <w:p w:rsidR="0003266C" w:rsidRDefault="009E53B5">
      <w:pPr>
        <w:spacing w:after="60"/>
        <w:jc w:val="center"/>
      </w:pPr>
      <w:r>
        <w:rPr>
          <w:rFonts w:ascii="Noto Sans CJK TC" w:eastAsia="Noto Sans CJK TC" w:hAnsi="Noto Sans CJK TC" w:cs="Noto Sans CJK TC"/>
          <w:b/>
          <w:bCs/>
          <w:color w:val="1A365D"/>
          <w:sz w:val="34"/>
          <w:szCs w:val="34"/>
        </w:rPr>
        <w:t>人工智慧時代公共行政理論的再定位</w:t>
      </w:r>
    </w:p>
    <w:p w:rsidR="0003266C" w:rsidRDefault="009E53B5">
      <w:pPr>
        <w:spacing w:after="300"/>
        <w:jc w:val="center"/>
        <w:rPr>
          <w:rFonts w:ascii="Noto Sans CJK TC" w:hAnsi="Noto Sans CJK TC" w:cs="Noto Sans CJK TC"/>
          <w:b/>
          <w:bCs/>
          <w:color w:val="2C5282"/>
          <w:sz w:val="26"/>
          <w:szCs w:val="26"/>
        </w:rPr>
      </w:pPr>
      <w:r>
        <w:rPr>
          <w:rFonts w:ascii="Noto Sans CJK TC" w:eastAsia="Noto Sans CJK TC" w:hAnsi="Noto Sans CJK TC" w:cs="Noto Sans CJK TC"/>
          <w:b/>
          <w:bCs/>
          <w:color w:val="2C5282"/>
          <w:sz w:val="26"/>
          <w:szCs w:val="26"/>
        </w:rPr>
        <w:t>從數位治理到「生成</w:t>
      </w:r>
      <w:proofErr w:type="gramStart"/>
      <w:r>
        <w:rPr>
          <w:rFonts w:ascii="Noto Sans CJK TC" w:eastAsia="Noto Sans CJK TC" w:hAnsi="Noto Sans CJK TC" w:cs="Noto Sans CJK TC"/>
          <w:b/>
          <w:bCs/>
          <w:color w:val="2C5282"/>
          <w:sz w:val="26"/>
          <w:szCs w:val="26"/>
        </w:rPr>
        <w:t>—</w:t>
      </w:r>
      <w:proofErr w:type="gramEnd"/>
      <w:r>
        <w:rPr>
          <w:rFonts w:ascii="Noto Sans CJK TC" w:eastAsia="Noto Sans CJK TC" w:hAnsi="Noto Sans CJK TC" w:cs="Noto Sans CJK TC"/>
          <w:b/>
          <w:bCs/>
          <w:color w:val="2C5282"/>
          <w:sz w:val="26"/>
          <w:szCs w:val="26"/>
        </w:rPr>
        <w:t>裁量</w:t>
      </w:r>
      <w:proofErr w:type="gramStart"/>
      <w:r>
        <w:rPr>
          <w:rFonts w:ascii="Noto Sans CJK TC" w:eastAsia="Noto Sans CJK TC" w:hAnsi="Noto Sans CJK TC" w:cs="Noto Sans CJK TC"/>
          <w:b/>
          <w:bCs/>
          <w:color w:val="2C5282"/>
          <w:sz w:val="26"/>
          <w:szCs w:val="26"/>
        </w:rPr>
        <w:t>—</w:t>
      </w:r>
      <w:proofErr w:type="gramEnd"/>
      <w:r>
        <w:rPr>
          <w:rFonts w:ascii="Noto Sans CJK TC" w:eastAsia="Noto Sans CJK TC" w:hAnsi="Noto Sans CJK TC" w:cs="Noto Sans CJK TC"/>
          <w:b/>
          <w:bCs/>
          <w:color w:val="2C5282"/>
          <w:sz w:val="26"/>
          <w:szCs w:val="26"/>
        </w:rPr>
        <w:t>權威」</w:t>
      </w:r>
    </w:p>
    <w:p w:rsidR="00E760AE" w:rsidRPr="00E760AE" w:rsidRDefault="00E760AE">
      <w:pPr>
        <w:spacing w:after="300"/>
        <w:jc w:val="center"/>
        <w:rPr>
          <w:rFonts w:hint="eastAsia"/>
        </w:rPr>
      </w:pPr>
      <w:r>
        <w:rPr>
          <w:rFonts w:hint="eastAsia"/>
        </w:rPr>
        <w:t>盧建旭</w:t>
      </w:r>
      <w:r>
        <w:rPr>
          <w:rFonts w:hint="eastAsia"/>
        </w:rPr>
        <w:t xml:space="preserve"> Lancelot</w:t>
      </w:r>
      <w:r>
        <w:t xml:space="preserve"> </w:t>
      </w:r>
      <w:r>
        <w:rPr>
          <w:rFonts w:hint="eastAsia"/>
        </w:rPr>
        <w:t>Lu</w:t>
      </w:r>
    </w:p>
    <w:p w:rsidR="0003266C" w:rsidRDefault="009E53B5">
      <w:pPr>
        <w:pBdr>
          <w:left w:val="single" w:sz="18" w:space="10" w:color="1A365D"/>
        </w:pBdr>
        <w:spacing w:after="140"/>
        <w:ind w:left="200"/>
      </w:pPr>
      <w:bookmarkStart w:id="0" w:name="_GoBack"/>
      <w:r>
        <w:rPr>
          <w:rFonts w:ascii="Noto Sans CJK TC" w:eastAsia="Noto Sans CJK TC" w:hAnsi="Noto Sans CJK TC" w:cs="Noto Sans CJK TC"/>
          <w:b/>
          <w:bCs/>
          <w:color w:val="1A365D"/>
        </w:rPr>
        <w:t>文章定位</w:t>
      </w:r>
    </w:p>
    <w:p w:rsidR="0003266C" w:rsidRDefault="009E53B5">
      <w:pPr>
        <w:pBdr>
          <w:left w:val="single" w:sz="18" w:space="10" w:color="1A365D"/>
        </w:pBdr>
        <w:spacing w:before="60" w:after="300" w:line="320" w:lineRule="auto"/>
        <w:ind w:left="200"/>
        <w:jc w:val="both"/>
      </w:pPr>
      <w:r>
        <w:rPr>
          <w:rFonts w:eastAsia="Noto Serif CJK TC"/>
          <w:color w:val="2D3748"/>
          <w:sz w:val="21"/>
          <w:szCs w:val="21"/>
        </w:rPr>
        <w:t>本文不是</w:t>
      </w:r>
      <w:r>
        <w:rPr>
          <w:rFonts w:eastAsia="Noto Serif CJK TC"/>
          <w:color w:val="2D3748"/>
          <w:sz w:val="21"/>
          <w:szCs w:val="21"/>
        </w:rPr>
        <w:t xml:space="preserve"> GDA </w:t>
      </w:r>
      <w:r>
        <w:rPr>
          <w:rFonts w:eastAsia="Noto Serif CJK TC"/>
          <w:color w:val="2D3748"/>
          <w:sz w:val="21"/>
          <w:szCs w:val="21"/>
        </w:rPr>
        <w:t>模型</w:t>
      </w:r>
      <w:proofErr w:type="gramStart"/>
      <w:r>
        <w:rPr>
          <w:rFonts w:eastAsia="Noto Serif CJK TC"/>
          <w:color w:val="2D3748"/>
          <w:sz w:val="21"/>
          <w:szCs w:val="21"/>
        </w:rPr>
        <w:t>（</w:t>
      </w:r>
      <w:proofErr w:type="gramEnd"/>
      <w:r>
        <w:rPr>
          <w:rFonts w:eastAsia="Noto Serif CJK TC"/>
          <w:color w:val="2D3748"/>
          <w:sz w:val="21"/>
          <w:szCs w:val="21"/>
        </w:rPr>
        <w:t>生成</w:t>
      </w:r>
      <w:r>
        <w:rPr>
          <w:rFonts w:eastAsia="Noto Serif CJK TC"/>
          <w:color w:val="2D3748"/>
          <w:sz w:val="21"/>
          <w:szCs w:val="21"/>
        </w:rPr>
        <w:t>—</w:t>
      </w:r>
      <w:r>
        <w:rPr>
          <w:rFonts w:eastAsia="Noto Serif CJK TC"/>
          <w:color w:val="2D3748"/>
          <w:sz w:val="21"/>
          <w:szCs w:val="21"/>
        </w:rPr>
        <w:t>裁量</w:t>
      </w:r>
      <w:r>
        <w:rPr>
          <w:rFonts w:eastAsia="Noto Serif CJK TC"/>
          <w:color w:val="2D3748"/>
          <w:sz w:val="21"/>
          <w:szCs w:val="21"/>
        </w:rPr>
        <w:t>—</w:t>
      </w:r>
      <w:r>
        <w:rPr>
          <w:rFonts w:eastAsia="Noto Serif CJK TC"/>
          <w:color w:val="2D3748"/>
          <w:sz w:val="21"/>
          <w:szCs w:val="21"/>
        </w:rPr>
        <w:t>權威模型，</w:t>
      </w:r>
      <w:r>
        <w:rPr>
          <w:rFonts w:eastAsia="Noto Serif CJK TC"/>
          <w:color w:val="2D3748"/>
          <w:sz w:val="21"/>
          <w:szCs w:val="21"/>
        </w:rPr>
        <w:t>Generation-Discretion-Authority</w:t>
      </w:r>
      <w:r>
        <w:rPr>
          <w:rFonts w:eastAsia="Noto Serif CJK TC"/>
          <w:color w:val="2D3748"/>
          <w:sz w:val="21"/>
          <w:szCs w:val="21"/>
        </w:rPr>
        <w:t>；首次提出於作者前作〈人工智慧時代公共行政之「生成</w:t>
      </w:r>
      <w:r>
        <w:rPr>
          <w:rFonts w:eastAsia="Noto Serif CJK TC"/>
          <w:color w:val="2D3748"/>
          <w:sz w:val="21"/>
          <w:szCs w:val="21"/>
        </w:rPr>
        <w:t>—</w:t>
      </w:r>
      <w:r>
        <w:rPr>
          <w:rFonts w:eastAsia="Noto Serif CJK TC"/>
          <w:color w:val="2D3748"/>
          <w:sz w:val="21"/>
          <w:szCs w:val="21"/>
        </w:rPr>
        <w:t>裁量</w:t>
      </w:r>
      <w:r>
        <w:rPr>
          <w:rFonts w:eastAsia="Noto Serif CJK TC"/>
          <w:color w:val="2D3748"/>
          <w:sz w:val="21"/>
          <w:szCs w:val="21"/>
        </w:rPr>
        <w:t>—</w:t>
      </w:r>
      <w:r>
        <w:rPr>
          <w:rFonts w:eastAsia="Noto Serif CJK TC"/>
          <w:color w:val="2D3748"/>
          <w:sz w:val="21"/>
          <w:szCs w:val="21"/>
        </w:rPr>
        <w:t>權威」理論架構〉，工作稿編號</w:t>
      </w:r>
      <w:r>
        <w:rPr>
          <w:rFonts w:eastAsia="Noto Serif CJK TC"/>
          <w:color w:val="2D3748"/>
          <w:sz w:val="21"/>
          <w:szCs w:val="21"/>
        </w:rPr>
        <w:t xml:space="preserve"> 030</w:t>
      </w:r>
      <w:proofErr w:type="gramStart"/>
      <w:r>
        <w:rPr>
          <w:rFonts w:eastAsia="Noto Serif CJK TC"/>
          <w:color w:val="2D3748"/>
          <w:sz w:val="21"/>
          <w:szCs w:val="21"/>
        </w:rPr>
        <w:t>）</w:t>
      </w:r>
      <w:proofErr w:type="gramEnd"/>
      <w:r>
        <w:rPr>
          <w:rFonts w:eastAsia="Noto Serif CJK TC"/>
          <w:color w:val="2D3748"/>
          <w:sz w:val="21"/>
          <w:szCs w:val="21"/>
        </w:rPr>
        <w:t>的續篇實證研究，也不是重述</w:t>
      </w:r>
      <w:r>
        <w:rPr>
          <w:rFonts w:eastAsia="Noto Serif CJK TC"/>
          <w:color w:val="2D3748"/>
          <w:sz w:val="21"/>
          <w:szCs w:val="21"/>
        </w:rPr>
        <w:t xml:space="preserve"> DAA</w:t>
      </w:r>
      <w:r>
        <w:rPr>
          <w:rFonts w:eastAsia="Noto Serif CJK TC"/>
          <w:color w:val="2D3748"/>
          <w:sz w:val="21"/>
          <w:szCs w:val="21"/>
        </w:rPr>
        <w:t>、</w:t>
      </w:r>
      <w:proofErr w:type="gramStart"/>
      <w:r>
        <w:rPr>
          <w:rFonts w:eastAsia="Noto Serif CJK TC"/>
          <w:color w:val="2D3748"/>
          <w:sz w:val="21"/>
          <w:szCs w:val="21"/>
        </w:rPr>
        <w:t>裁量場</w:t>
      </w:r>
      <w:proofErr w:type="gramEnd"/>
      <w:r>
        <w:rPr>
          <w:rFonts w:eastAsia="Noto Serif CJK TC"/>
          <w:color w:val="2D3748"/>
          <w:sz w:val="21"/>
          <w:szCs w:val="21"/>
        </w:rPr>
        <w:t>與</w:t>
      </w:r>
      <w:r>
        <w:rPr>
          <w:rFonts w:eastAsia="Noto Serif CJK TC"/>
          <w:color w:val="2D3748"/>
          <w:sz w:val="21"/>
          <w:szCs w:val="21"/>
        </w:rPr>
        <w:t xml:space="preserve"> UCPR </w:t>
      </w:r>
      <w:r>
        <w:rPr>
          <w:rFonts w:eastAsia="Noto Serif CJK TC"/>
          <w:color w:val="2D3748"/>
          <w:sz w:val="21"/>
          <w:szCs w:val="21"/>
        </w:rPr>
        <w:t>的內容，而是追問：把</w:t>
      </w:r>
      <w:r>
        <w:rPr>
          <w:rFonts w:eastAsia="Noto Serif CJK TC"/>
          <w:color w:val="2D3748"/>
          <w:sz w:val="21"/>
          <w:szCs w:val="21"/>
        </w:rPr>
        <w:t xml:space="preserve"> GDA </w:t>
      </w:r>
      <w:r>
        <w:rPr>
          <w:rFonts w:eastAsia="Noto Serif CJK TC"/>
          <w:color w:val="2D3748"/>
          <w:sz w:val="21"/>
          <w:szCs w:val="21"/>
        </w:rPr>
        <w:t>模型放進當前國際</w:t>
      </w:r>
      <w:r>
        <w:rPr>
          <w:rFonts w:eastAsia="Noto Serif CJK TC"/>
          <w:color w:val="2D3748"/>
          <w:sz w:val="21"/>
          <w:szCs w:val="21"/>
        </w:rPr>
        <w:t xml:space="preserve"> AI </w:t>
      </w:r>
      <w:r>
        <w:rPr>
          <w:rFonts w:eastAsia="Noto Serif CJK TC"/>
          <w:color w:val="2D3748"/>
          <w:sz w:val="21"/>
          <w:szCs w:val="21"/>
        </w:rPr>
        <w:t>與公共行政理論的學術地圖中，它究竟站在什麼位置？在同一系列的其他三篇工作稿中，</w:t>
      </w:r>
      <w:r>
        <w:rPr>
          <w:rFonts w:eastAsia="Noto Serif CJK TC"/>
          <w:color w:val="2D3748"/>
          <w:sz w:val="21"/>
          <w:szCs w:val="21"/>
        </w:rPr>
        <w:t xml:space="preserve">033 </w:t>
      </w:r>
      <w:r>
        <w:rPr>
          <w:rFonts w:eastAsia="Noto Serif CJK TC"/>
          <w:color w:val="2D3748"/>
          <w:sz w:val="21"/>
          <w:szCs w:val="21"/>
        </w:rPr>
        <w:t>是對</w:t>
      </w:r>
      <w:r>
        <w:rPr>
          <w:rFonts w:eastAsia="Noto Serif CJK TC"/>
          <w:color w:val="2D3748"/>
          <w:sz w:val="21"/>
          <w:szCs w:val="21"/>
        </w:rPr>
        <w:t xml:space="preserve"> GDA </w:t>
      </w:r>
      <w:r>
        <w:rPr>
          <w:rFonts w:eastAsia="Noto Serif CJK TC"/>
          <w:color w:val="2D3748"/>
          <w:sz w:val="21"/>
          <w:szCs w:val="21"/>
        </w:rPr>
        <w:t>模型自身理論的延伸盤點，不涉及外部理論對話；</w:t>
      </w:r>
      <w:r>
        <w:rPr>
          <w:rFonts w:eastAsia="Noto Serif CJK TC"/>
          <w:color w:val="2D3748"/>
          <w:sz w:val="21"/>
          <w:szCs w:val="21"/>
        </w:rPr>
        <w:t xml:space="preserve">034 </w:t>
      </w:r>
      <w:r>
        <w:rPr>
          <w:rFonts w:eastAsia="Noto Serif CJK TC"/>
          <w:color w:val="2D3748"/>
          <w:sz w:val="21"/>
          <w:szCs w:val="21"/>
        </w:rPr>
        <w:t>把</w:t>
      </w:r>
      <w:r>
        <w:rPr>
          <w:rFonts w:eastAsia="Noto Serif CJK TC"/>
          <w:color w:val="2D3748"/>
          <w:sz w:val="21"/>
          <w:szCs w:val="21"/>
        </w:rPr>
        <w:t xml:space="preserve"> UCPR </w:t>
      </w:r>
      <w:r>
        <w:rPr>
          <w:rFonts w:eastAsia="Noto Serif CJK TC"/>
          <w:color w:val="2D3748"/>
          <w:sz w:val="21"/>
          <w:szCs w:val="21"/>
        </w:rPr>
        <w:t>概念應用於真實法律文本，非理論比</w:t>
      </w:r>
      <w:r>
        <w:rPr>
          <w:rFonts w:eastAsia="Noto Serif CJK TC"/>
          <w:color w:val="2D3748"/>
          <w:sz w:val="21"/>
          <w:szCs w:val="21"/>
        </w:rPr>
        <w:t>較；</w:t>
      </w:r>
      <w:r>
        <w:rPr>
          <w:rFonts w:eastAsia="Noto Serif CJK TC"/>
          <w:color w:val="2D3748"/>
          <w:sz w:val="21"/>
          <w:szCs w:val="21"/>
        </w:rPr>
        <w:t xml:space="preserve">035 </w:t>
      </w:r>
      <w:r>
        <w:rPr>
          <w:rFonts w:eastAsia="Noto Serif CJK TC"/>
          <w:color w:val="2D3748"/>
          <w:sz w:val="21"/>
          <w:szCs w:val="21"/>
        </w:rPr>
        <w:t>是純理論深化，不涉及案例或外部文獻</w:t>
      </w:r>
      <w:proofErr w:type="gramStart"/>
      <w:r>
        <w:rPr>
          <w:rFonts w:eastAsia="Noto Serif CJK TC"/>
          <w:color w:val="2D3748"/>
          <w:sz w:val="21"/>
          <w:szCs w:val="21"/>
        </w:rPr>
        <w:t>—</w:t>
      </w:r>
      <w:proofErr w:type="gramEnd"/>
      <w:r>
        <w:rPr>
          <w:rFonts w:eastAsia="Noto Serif CJK TC"/>
          <w:color w:val="2D3748"/>
          <w:sz w:val="21"/>
          <w:szCs w:val="21"/>
        </w:rPr>
        <w:t>—</w:t>
      </w:r>
      <w:r>
        <w:rPr>
          <w:rFonts w:eastAsia="Noto Serif CJK TC"/>
          <w:color w:val="2D3748"/>
          <w:sz w:val="21"/>
          <w:szCs w:val="21"/>
        </w:rPr>
        <w:t>三者的定位都與本文不同，讀者可將本文視為系列中唯一的「文獻述評與理論定位」篇章。</w:t>
      </w:r>
    </w:p>
    <w:p w:rsidR="0003266C" w:rsidRDefault="009E53B5">
      <w:pPr>
        <w:pStyle w:val="2"/>
        <w:spacing w:before="280" w:after="140" w:line="340" w:lineRule="auto"/>
      </w:pPr>
      <w:r>
        <w:rPr>
          <w:rFonts w:ascii="Noto Sans CJK TC" w:eastAsia="Noto Sans CJK TC" w:hAnsi="Noto Sans CJK TC" w:cs="Noto Sans CJK TC"/>
          <w:b/>
          <w:bCs/>
          <w:color w:val="1A365D"/>
          <w:sz w:val="27"/>
          <w:szCs w:val="27"/>
        </w:rPr>
        <w:t>摘要</w:t>
      </w:r>
    </w:p>
    <w:p w:rsidR="0003266C" w:rsidRDefault="009E53B5">
      <w:pPr>
        <w:spacing w:after="180" w:line="340" w:lineRule="auto"/>
        <w:jc w:val="both"/>
      </w:pPr>
      <w:r>
        <w:rPr>
          <w:rFonts w:eastAsia="Noto Serif CJK TC"/>
          <w:color w:val="1A202C"/>
        </w:rPr>
        <w:t>本文的任務不是重述</w:t>
      </w:r>
      <w:r>
        <w:rPr>
          <w:rFonts w:eastAsia="Noto Serif CJK TC"/>
          <w:color w:val="1A202C"/>
        </w:rPr>
        <w:t xml:space="preserve"> GDA </w:t>
      </w:r>
      <w:r>
        <w:rPr>
          <w:rFonts w:eastAsia="Noto Serif CJK TC"/>
          <w:color w:val="1A202C"/>
        </w:rPr>
        <w:t>模型的內容，而是追問：把「生成</w:t>
      </w:r>
      <w:proofErr w:type="gramStart"/>
      <w:r>
        <w:rPr>
          <w:rFonts w:eastAsia="Noto Serif CJK TC"/>
          <w:color w:val="1A202C"/>
        </w:rPr>
        <w:t>—</w:t>
      </w:r>
      <w:proofErr w:type="gramEnd"/>
      <w:r>
        <w:rPr>
          <w:rFonts w:eastAsia="Noto Serif CJK TC"/>
          <w:color w:val="1A202C"/>
        </w:rPr>
        <w:t>裁量</w:t>
      </w:r>
      <w:r>
        <w:rPr>
          <w:rFonts w:eastAsia="Noto Serif CJK TC"/>
          <w:color w:val="1A202C"/>
        </w:rPr>
        <w:t>—</w:t>
      </w:r>
      <w:r>
        <w:rPr>
          <w:rFonts w:eastAsia="Noto Serif CJK TC"/>
          <w:color w:val="1A202C"/>
        </w:rPr>
        <w:t>權威」（</w:t>
      </w:r>
      <w:r>
        <w:rPr>
          <w:rFonts w:eastAsia="Noto Serif CJK TC"/>
          <w:color w:val="1A202C"/>
        </w:rPr>
        <w:t>Generation-Discretion-Authority, GDA</w:t>
      </w:r>
      <w:r>
        <w:rPr>
          <w:rFonts w:eastAsia="Noto Serif CJK TC"/>
          <w:color w:val="1A202C"/>
        </w:rPr>
        <w:t>）模型放進當前國際</w:t>
      </w:r>
      <w:r>
        <w:rPr>
          <w:rFonts w:eastAsia="Noto Serif CJK TC"/>
          <w:color w:val="1A202C"/>
        </w:rPr>
        <w:t xml:space="preserve"> AI </w:t>
      </w:r>
      <w:r>
        <w:rPr>
          <w:rFonts w:eastAsia="Noto Serif CJK TC"/>
          <w:color w:val="1A202C"/>
        </w:rPr>
        <w:t>與公共行政研究的學術地圖中，它究竟站在什麼位置？本文以</w:t>
      </w:r>
      <w:r>
        <w:rPr>
          <w:rFonts w:eastAsia="Noto Serif CJK TC"/>
          <w:color w:val="1A202C"/>
        </w:rPr>
        <w:t xml:space="preserve"> Zhu</w:t>
      </w:r>
      <w:r>
        <w:rPr>
          <w:rFonts w:eastAsia="Noto Serif CJK TC"/>
          <w:color w:val="1A202C"/>
        </w:rPr>
        <w:t>（</w:t>
      </w:r>
      <w:r>
        <w:rPr>
          <w:rFonts w:eastAsia="Noto Serif CJK TC"/>
          <w:color w:val="1A202C"/>
        </w:rPr>
        <w:t>2026</w:t>
      </w:r>
      <w:r>
        <w:rPr>
          <w:rFonts w:eastAsia="Noto Serif CJK TC"/>
          <w:color w:val="1A202C"/>
        </w:rPr>
        <w:t>）提出的「公共行政</w:t>
      </w:r>
      <w:r>
        <w:rPr>
          <w:rFonts w:eastAsia="Noto Serif CJK TC"/>
          <w:color w:val="1A202C"/>
        </w:rPr>
        <w:t xml:space="preserve"> with</w:t>
      </w:r>
      <w:r>
        <w:rPr>
          <w:rFonts w:eastAsia="Noto Serif CJK TC"/>
          <w:color w:val="1A202C"/>
        </w:rPr>
        <w:t>／</w:t>
      </w:r>
      <w:r>
        <w:rPr>
          <w:rFonts w:eastAsia="Noto Serif CJK TC"/>
          <w:color w:val="1A202C"/>
        </w:rPr>
        <w:t>of</w:t>
      </w:r>
      <w:r>
        <w:rPr>
          <w:rFonts w:eastAsia="Noto Serif CJK TC"/>
          <w:color w:val="1A202C"/>
        </w:rPr>
        <w:t>／</w:t>
      </w:r>
      <w:r>
        <w:rPr>
          <w:rFonts w:eastAsia="Noto Serif CJK TC"/>
          <w:color w:val="1A202C"/>
        </w:rPr>
        <w:t>through AI</w:t>
      </w:r>
      <w:r>
        <w:rPr>
          <w:rFonts w:eastAsia="Noto Serif CJK TC"/>
          <w:color w:val="1A202C"/>
        </w:rPr>
        <w:t>」三元範式（</w:t>
      </w:r>
      <w:r>
        <w:rPr>
          <w:rFonts w:eastAsia="Noto Serif CJK TC"/>
          <w:color w:val="1A202C"/>
        </w:rPr>
        <w:t xml:space="preserve">with AI </w:t>
      </w:r>
      <w:r>
        <w:rPr>
          <w:rFonts w:eastAsia="Noto Serif CJK TC"/>
          <w:color w:val="1A202C"/>
        </w:rPr>
        <w:t>指以</w:t>
      </w:r>
      <w:r>
        <w:rPr>
          <w:rFonts w:eastAsia="Noto Serif CJK TC"/>
          <w:color w:val="1A202C"/>
        </w:rPr>
        <w:t xml:space="preserve"> AI </w:t>
      </w:r>
      <w:r>
        <w:rPr>
          <w:rFonts w:eastAsia="Noto Serif CJK TC"/>
          <w:color w:val="1A202C"/>
        </w:rPr>
        <w:t>強化行政能力，</w:t>
      </w:r>
      <w:r>
        <w:rPr>
          <w:rFonts w:eastAsia="Noto Serif CJK TC"/>
          <w:color w:val="1A202C"/>
        </w:rPr>
        <w:t xml:space="preserve">of AI </w:t>
      </w:r>
      <w:r>
        <w:rPr>
          <w:rFonts w:eastAsia="Noto Serif CJK TC"/>
          <w:color w:val="1A202C"/>
        </w:rPr>
        <w:t>指對</w:t>
      </w:r>
      <w:r>
        <w:rPr>
          <w:rFonts w:eastAsia="Noto Serif CJK TC"/>
          <w:color w:val="1A202C"/>
        </w:rPr>
        <w:t xml:space="preserve"> A</w:t>
      </w:r>
      <w:r>
        <w:rPr>
          <w:rFonts w:eastAsia="Noto Serif CJK TC"/>
          <w:color w:val="1A202C"/>
        </w:rPr>
        <w:t xml:space="preserve">I </w:t>
      </w:r>
      <w:r>
        <w:rPr>
          <w:rFonts w:eastAsia="Noto Serif CJK TC"/>
          <w:color w:val="1A202C"/>
        </w:rPr>
        <w:t>的倫理與</w:t>
      </w:r>
      <w:proofErr w:type="gramStart"/>
      <w:r>
        <w:rPr>
          <w:rFonts w:eastAsia="Noto Serif CJK TC"/>
          <w:color w:val="1A202C"/>
        </w:rPr>
        <w:t>規</w:t>
      </w:r>
      <w:proofErr w:type="gramEnd"/>
      <w:r>
        <w:rPr>
          <w:rFonts w:eastAsia="Noto Serif CJK TC"/>
          <w:color w:val="1A202C"/>
        </w:rPr>
        <w:t>制治理，</w:t>
      </w:r>
      <w:r>
        <w:rPr>
          <w:rFonts w:eastAsia="Noto Serif CJK TC"/>
          <w:color w:val="1A202C"/>
        </w:rPr>
        <w:t xml:space="preserve">through AI </w:t>
      </w:r>
      <w:r>
        <w:rPr>
          <w:rFonts w:eastAsia="Noto Serif CJK TC"/>
          <w:color w:val="1A202C"/>
        </w:rPr>
        <w:t>指以</w:t>
      </w:r>
      <w:r>
        <w:rPr>
          <w:rFonts w:eastAsia="Noto Serif CJK TC"/>
          <w:color w:val="1A202C"/>
        </w:rPr>
        <w:t xml:space="preserve"> AI </w:t>
      </w:r>
      <w:r>
        <w:rPr>
          <w:rFonts w:eastAsia="Noto Serif CJK TC"/>
          <w:color w:val="1A202C"/>
        </w:rPr>
        <w:t>推進學科方法與研究認識論）、以及</w:t>
      </w:r>
      <w:r>
        <w:rPr>
          <w:rFonts w:eastAsia="Noto Serif CJK TC"/>
          <w:color w:val="1A202C"/>
        </w:rPr>
        <w:t xml:space="preserve"> </w:t>
      </w:r>
      <w:proofErr w:type="spellStart"/>
      <w:r>
        <w:rPr>
          <w:rFonts w:eastAsia="Noto Serif CJK TC"/>
          <w:color w:val="1A202C"/>
        </w:rPr>
        <w:t>Criado</w:t>
      </w:r>
      <w:proofErr w:type="spellEnd"/>
      <w:r>
        <w:rPr>
          <w:rFonts w:eastAsia="Noto Serif CJK TC"/>
          <w:color w:val="1A202C"/>
        </w:rPr>
        <w:t>、</w:t>
      </w:r>
      <w:r>
        <w:rPr>
          <w:rFonts w:eastAsia="Noto Serif CJK TC"/>
          <w:color w:val="1A202C"/>
        </w:rPr>
        <w:t>Sandoval-</w:t>
      </w:r>
      <w:proofErr w:type="spellStart"/>
      <w:r>
        <w:rPr>
          <w:rFonts w:eastAsia="Noto Serif CJK TC"/>
          <w:color w:val="1A202C"/>
        </w:rPr>
        <w:t>Almazán</w:t>
      </w:r>
      <w:proofErr w:type="spellEnd"/>
      <w:r>
        <w:rPr>
          <w:rFonts w:eastAsia="Noto Serif CJK TC"/>
          <w:color w:val="1A202C"/>
        </w:rPr>
        <w:t xml:space="preserve"> </w:t>
      </w:r>
      <w:r>
        <w:rPr>
          <w:rFonts w:eastAsia="Noto Serif CJK TC"/>
          <w:color w:val="1A202C"/>
        </w:rPr>
        <w:t>與</w:t>
      </w:r>
      <w:r>
        <w:rPr>
          <w:rFonts w:eastAsia="Noto Serif CJK TC"/>
          <w:color w:val="1A202C"/>
        </w:rPr>
        <w:t xml:space="preserve"> Gil-Garcia</w:t>
      </w:r>
      <w:r>
        <w:rPr>
          <w:rFonts w:eastAsia="Noto Serif CJK TC"/>
          <w:color w:val="1A202C"/>
        </w:rPr>
        <w:t>（</w:t>
      </w:r>
      <w:r>
        <w:rPr>
          <w:rFonts w:eastAsia="Noto Serif CJK TC"/>
          <w:color w:val="1A202C"/>
        </w:rPr>
        <w:t>2025</w:t>
      </w:r>
      <w:r>
        <w:rPr>
          <w:rFonts w:eastAsia="Noto Serif CJK TC"/>
          <w:color w:val="1A202C"/>
        </w:rPr>
        <w:t>）提出的宏觀</w:t>
      </w:r>
      <w:r>
        <w:rPr>
          <w:rFonts w:eastAsia="Noto Serif CJK TC"/>
          <w:color w:val="1A202C"/>
        </w:rPr>
        <w:t>—</w:t>
      </w:r>
      <w:r>
        <w:rPr>
          <w:rFonts w:eastAsia="Noto Serif CJK TC"/>
          <w:color w:val="1A202C"/>
        </w:rPr>
        <w:t>中觀</w:t>
      </w:r>
      <w:r>
        <w:rPr>
          <w:rFonts w:eastAsia="Noto Serif CJK TC"/>
          <w:color w:val="1A202C"/>
        </w:rPr>
        <w:t>—</w:t>
      </w:r>
      <w:r>
        <w:rPr>
          <w:rFonts w:eastAsia="Noto Serif CJK TC"/>
          <w:color w:val="1A202C"/>
        </w:rPr>
        <w:t>微觀分析架構為對話對象，並將</w:t>
      </w:r>
      <w:r>
        <w:rPr>
          <w:rFonts w:eastAsia="Noto Serif CJK TC"/>
          <w:color w:val="1A202C"/>
        </w:rPr>
        <w:t xml:space="preserve"> GDA </w:t>
      </w:r>
      <w:r>
        <w:rPr>
          <w:rFonts w:eastAsia="Noto Serif CJK TC"/>
          <w:color w:val="1A202C"/>
        </w:rPr>
        <w:t>模型的核心構念</w:t>
      </w:r>
      <w:r>
        <w:rPr>
          <w:rFonts w:eastAsia="Noto Serif CJK TC"/>
          <w:color w:val="1A202C"/>
        </w:rPr>
        <w:t>——</w:t>
      </w:r>
      <w:r>
        <w:rPr>
          <w:rFonts w:eastAsia="Noto Serif CJK TC"/>
          <w:color w:val="1A202C"/>
        </w:rPr>
        <w:t>分散式行政行動（</w:t>
      </w:r>
      <w:r>
        <w:rPr>
          <w:rFonts w:eastAsia="Noto Serif CJK TC"/>
          <w:color w:val="1A202C"/>
        </w:rPr>
        <w:t>DAA</w:t>
      </w:r>
      <w:r>
        <w:rPr>
          <w:rFonts w:eastAsia="Noto Serif CJK TC"/>
          <w:color w:val="1A202C"/>
        </w:rPr>
        <w:t>）、</w:t>
      </w:r>
      <w:proofErr w:type="gramStart"/>
      <w:r>
        <w:rPr>
          <w:rFonts w:eastAsia="Noto Serif CJK TC"/>
          <w:color w:val="1A202C"/>
        </w:rPr>
        <w:t>裁量</w:t>
      </w:r>
      <w:proofErr w:type="gramEnd"/>
      <w:r>
        <w:rPr>
          <w:rFonts w:eastAsia="Noto Serif CJK TC"/>
          <w:color w:val="1A202C"/>
        </w:rPr>
        <w:t>場、最終再介入能力（</w:t>
      </w:r>
      <w:r>
        <w:rPr>
          <w:rFonts w:eastAsia="Noto Serif CJK TC"/>
          <w:color w:val="1A202C"/>
        </w:rPr>
        <w:t>UCPR</w:t>
      </w:r>
      <w:r>
        <w:rPr>
          <w:rFonts w:eastAsia="Noto Serif CJK TC"/>
          <w:color w:val="1A202C"/>
        </w:rPr>
        <w:t>）</w:t>
      </w:r>
      <w:r>
        <w:rPr>
          <w:rFonts w:eastAsia="Noto Serif CJK TC"/>
          <w:color w:val="1A202C"/>
        </w:rPr>
        <w:t>——</w:t>
      </w:r>
      <w:r>
        <w:rPr>
          <w:rFonts w:eastAsia="Noto Serif CJK TC"/>
          <w:color w:val="1A202C"/>
        </w:rPr>
        <w:t>逐一對照數位裁量理論（</w:t>
      </w:r>
      <w:proofErr w:type="spellStart"/>
      <w:r>
        <w:rPr>
          <w:rFonts w:eastAsia="Noto Serif CJK TC"/>
          <w:color w:val="1A202C"/>
        </w:rPr>
        <w:t>Bovens</w:t>
      </w:r>
      <w:proofErr w:type="spellEnd"/>
      <w:r>
        <w:rPr>
          <w:rFonts w:eastAsia="Noto Serif CJK TC"/>
          <w:color w:val="1A202C"/>
        </w:rPr>
        <w:t xml:space="preserve"> &amp; </w:t>
      </w:r>
      <w:proofErr w:type="spellStart"/>
      <w:r>
        <w:rPr>
          <w:rFonts w:eastAsia="Noto Serif CJK TC"/>
          <w:color w:val="1A202C"/>
        </w:rPr>
        <w:t>Zouridis</w:t>
      </w:r>
      <w:proofErr w:type="spellEnd"/>
      <w:r>
        <w:rPr>
          <w:rFonts w:eastAsia="Noto Serif CJK TC"/>
          <w:color w:val="1A202C"/>
        </w:rPr>
        <w:t>, 2002</w:t>
      </w:r>
      <w:r>
        <w:rPr>
          <w:rFonts w:eastAsia="Noto Serif CJK TC"/>
          <w:color w:val="1A202C"/>
        </w:rPr>
        <w:t>；</w:t>
      </w:r>
      <w:r>
        <w:rPr>
          <w:rFonts w:eastAsia="Noto Serif CJK TC"/>
          <w:color w:val="1A202C"/>
        </w:rPr>
        <w:t xml:space="preserve">Afzal &amp; </w:t>
      </w:r>
      <w:proofErr w:type="spellStart"/>
      <w:r>
        <w:rPr>
          <w:rFonts w:eastAsia="Noto Serif CJK TC"/>
          <w:color w:val="1A202C"/>
        </w:rPr>
        <w:t>Panagiotopoulos</w:t>
      </w:r>
      <w:proofErr w:type="spellEnd"/>
      <w:r>
        <w:rPr>
          <w:rFonts w:eastAsia="Noto Serif CJK TC"/>
          <w:color w:val="1A202C"/>
        </w:rPr>
        <w:t>, 2025</w:t>
      </w:r>
      <w:proofErr w:type="gramStart"/>
      <w:r>
        <w:rPr>
          <w:rFonts w:eastAsia="Noto Serif CJK TC"/>
          <w:color w:val="1A202C"/>
        </w:rPr>
        <w:t>）</w:t>
      </w:r>
      <w:proofErr w:type="gramEnd"/>
      <w:r>
        <w:rPr>
          <w:rFonts w:eastAsia="Noto Serif CJK TC"/>
          <w:color w:val="1A202C"/>
        </w:rPr>
        <w:t>、演算法治理理論（</w:t>
      </w:r>
      <w:r>
        <w:rPr>
          <w:rFonts w:eastAsia="Noto Serif CJK TC"/>
          <w:color w:val="1A202C"/>
        </w:rPr>
        <w:t>Danaher, 2016</w:t>
      </w:r>
      <w:r>
        <w:rPr>
          <w:rFonts w:eastAsia="Noto Serif CJK TC"/>
          <w:color w:val="1A202C"/>
        </w:rPr>
        <w:t>）、</w:t>
      </w:r>
      <w:r>
        <w:rPr>
          <w:rFonts w:eastAsia="Noto Serif CJK TC"/>
          <w:color w:val="1A202C"/>
        </w:rPr>
        <w:t xml:space="preserve">AI </w:t>
      </w:r>
      <w:proofErr w:type="gramStart"/>
      <w:r>
        <w:rPr>
          <w:rFonts w:eastAsia="Noto Serif CJK TC"/>
          <w:color w:val="1A202C"/>
        </w:rPr>
        <w:t>問責理</w:t>
      </w:r>
      <w:proofErr w:type="gramEnd"/>
      <w:r>
        <w:rPr>
          <w:rFonts w:eastAsia="Noto Serif CJK TC"/>
          <w:color w:val="1A202C"/>
        </w:rPr>
        <w:t>論（</w:t>
      </w:r>
      <w:proofErr w:type="spellStart"/>
      <w:r>
        <w:rPr>
          <w:rFonts w:eastAsia="Noto Serif CJK TC"/>
          <w:color w:val="1A202C"/>
        </w:rPr>
        <w:t>Bus</w:t>
      </w:r>
      <w:r>
        <w:rPr>
          <w:rFonts w:eastAsia="Noto Serif CJK TC"/>
          <w:color w:val="1A202C"/>
        </w:rPr>
        <w:t>uioc</w:t>
      </w:r>
      <w:proofErr w:type="spellEnd"/>
      <w:r>
        <w:rPr>
          <w:rFonts w:eastAsia="Noto Serif CJK TC"/>
          <w:color w:val="1A202C"/>
        </w:rPr>
        <w:t>, 2021</w:t>
      </w:r>
      <w:r>
        <w:rPr>
          <w:rFonts w:eastAsia="Noto Serif CJK TC"/>
          <w:color w:val="1A202C"/>
        </w:rPr>
        <w:t>）與行政法理論（</w:t>
      </w:r>
      <w:r>
        <w:rPr>
          <w:rFonts w:eastAsia="Noto Serif CJK TC"/>
          <w:color w:val="1A202C"/>
        </w:rPr>
        <w:t>Citron, 2008</w:t>
      </w:r>
      <w:r>
        <w:rPr>
          <w:rFonts w:eastAsia="Noto Serif CJK TC"/>
          <w:color w:val="1A202C"/>
        </w:rPr>
        <w:t>；</w:t>
      </w:r>
      <w:r>
        <w:rPr>
          <w:rFonts w:eastAsia="Noto Serif CJK TC"/>
          <w:color w:val="1A202C"/>
        </w:rPr>
        <w:t>Langer, 2024</w:t>
      </w:r>
      <w:proofErr w:type="gramStart"/>
      <w:r>
        <w:rPr>
          <w:rFonts w:eastAsia="Noto Serif CJK TC"/>
          <w:color w:val="1A202C"/>
        </w:rPr>
        <w:t>）</w:t>
      </w:r>
      <w:proofErr w:type="gramEnd"/>
      <w:r>
        <w:rPr>
          <w:rFonts w:eastAsia="Noto Serif CJK TC"/>
          <w:color w:val="1A202C"/>
        </w:rPr>
        <w:t>。本文主張：</w:t>
      </w:r>
      <w:r>
        <w:rPr>
          <w:rFonts w:eastAsia="Noto Serif CJK TC"/>
          <w:color w:val="1A202C"/>
        </w:rPr>
        <w:t xml:space="preserve">GDA </w:t>
      </w:r>
      <w:r>
        <w:rPr>
          <w:rFonts w:eastAsia="Noto Serif CJK TC"/>
          <w:color w:val="1A202C"/>
        </w:rPr>
        <w:t>模型的主要貢獻不在於分別重新命名行政生成、數位裁量或</w:t>
      </w:r>
      <w:r>
        <w:rPr>
          <w:rFonts w:eastAsia="Noto Serif CJK TC"/>
          <w:color w:val="1A202C"/>
        </w:rPr>
        <w:t xml:space="preserve"> AI </w:t>
      </w:r>
      <w:proofErr w:type="gramStart"/>
      <w:r>
        <w:rPr>
          <w:rFonts w:eastAsia="Noto Serif CJK TC"/>
          <w:color w:val="1A202C"/>
        </w:rPr>
        <w:t>問責的</w:t>
      </w:r>
      <w:proofErr w:type="gramEnd"/>
      <w:r>
        <w:rPr>
          <w:rFonts w:eastAsia="Noto Serif CJK TC"/>
          <w:color w:val="1A202C"/>
        </w:rPr>
        <w:t>既有內容，而在於把三者放進同一條時間性與因果性的分析鏈中，並將這條因果鏈轉化為六條可檢驗的理論命題（</w:t>
      </w:r>
      <w:r>
        <w:rPr>
          <w:rFonts w:eastAsia="Noto Serif CJK TC"/>
          <w:color w:val="1A202C"/>
        </w:rPr>
        <w:t>P1–P6</w:t>
      </w:r>
      <w:r>
        <w:rPr>
          <w:rFonts w:eastAsia="Noto Serif CJK TC"/>
          <w:color w:val="1A202C"/>
        </w:rPr>
        <w:t>）</w:t>
      </w:r>
      <w:r>
        <w:rPr>
          <w:rFonts w:eastAsia="Noto Serif CJK TC"/>
          <w:color w:val="1A202C"/>
        </w:rPr>
        <w:t>——</w:t>
      </w:r>
      <w:r>
        <w:rPr>
          <w:rFonts w:eastAsia="Noto Serif CJK TC"/>
          <w:color w:val="1A202C"/>
        </w:rPr>
        <w:t>這個貢獻目前仍限於概念層次，尚未取得跨國實證檢驗；其中「權威</w:t>
      </w:r>
      <w:proofErr w:type="gramStart"/>
      <w:r>
        <w:rPr>
          <w:rFonts w:eastAsia="Noto Serif CJK TC"/>
          <w:color w:val="1A202C"/>
        </w:rPr>
        <w:t>外部化</w:t>
      </w:r>
      <w:proofErr w:type="gramEnd"/>
      <w:r>
        <w:rPr>
          <w:rFonts w:eastAsia="Noto Serif CJK TC"/>
          <w:color w:val="1A202C"/>
        </w:rPr>
        <w:t>」命題（</w:t>
      </w:r>
      <w:r>
        <w:rPr>
          <w:rFonts w:eastAsia="Noto Serif CJK TC"/>
          <w:color w:val="1A202C"/>
        </w:rPr>
        <w:t>P6</w:t>
      </w:r>
      <w:r>
        <w:rPr>
          <w:rFonts w:eastAsia="Noto Serif CJK TC"/>
          <w:color w:val="1A202C"/>
        </w:rPr>
        <w:t>）雖已取得</w:t>
      </w:r>
      <w:r>
        <w:rPr>
          <w:rFonts w:eastAsia="Noto Serif CJK TC"/>
          <w:color w:val="1A202C"/>
        </w:rPr>
        <w:t xml:space="preserve"> Cho</w:t>
      </w:r>
      <w:r>
        <w:rPr>
          <w:rFonts w:eastAsia="Noto Serif CJK TC"/>
          <w:color w:val="1A202C"/>
        </w:rPr>
        <w:t>、</w:t>
      </w:r>
      <w:r>
        <w:rPr>
          <w:rFonts w:eastAsia="Noto Serif CJK TC"/>
          <w:color w:val="1A202C"/>
        </w:rPr>
        <w:t xml:space="preserve">Fan </w:t>
      </w:r>
      <w:r>
        <w:rPr>
          <w:rFonts w:eastAsia="Noto Serif CJK TC"/>
          <w:color w:val="1A202C"/>
        </w:rPr>
        <w:t>與</w:t>
      </w:r>
      <w:r>
        <w:rPr>
          <w:rFonts w:eastAsia="Noto Serif CJK TC"/>
          <w:color w:val="1A202C"/>
        </w:rPr>
        <w:t xml:space="preserve"> Zheng</w:t>
      </w:r>
      <w:r>
        <w:rPr>
          <w:rFonts w:eastAsia="Noto Serif CJK TC"/>
          <w:color w:val="1A202C"/>
        </w:rPr>
        <w:t>（</w:t>
      </w:r>
      <w:r>
        <w:rPr>
          <w:rFonts w:eastAsia="Noto Serif CJK TC"/>
          <w:color w:val="1A202C"/>
        </w:rPr>
        <w:t>2026</w:t>
      </w:r>
      <w:r>
        <w:rPr>
          <w:rFonts w:eastAsia="Noto Serif CJK TC"/>
          <w:color w:val="1A202C"/>
        </w:rPr>
        <w:t>）及聯合國</w:t>
      </w:r>
      <w:r>
        <w:rPr>
          <w:rFonts w:eastAsia="Noto Serif CJK TC"/>
          <w:color w:val="1A202C"/>
        </w:rPr>
        <w:t xml:space="preserve"> CEPA </w:t>
      </w:r>
      <w:r>
        <w:rPr>
          <w:rFonts w:eastAsia="Noto Serif CJK TC"/>
          <w:color w:val="1A202C"/>
        </w:rPr>
        <w:t>相關文件的初步概念性參照，但這兩項</w:t>
      </w:r>
      <w:proofErr w:type="gramStart"/>
      <w:r>
        <w:rPr>
          <w:rFonts w:eastAsia="Noto Serif CJK TC"/>
          <w:color w:val="1A202C"/>
        </w:rPr>
        <w:t>來源均非針</w:t>
      </w:r>
      <w:proofErr w:type="gramEnd"/>
      <w:r>
        <w:rPr>
          <w:rFonts w:eastAsia="Noto Serif CJK TC"/>
          <w:color w:val="1A202C"/>
        </w:rPr>
        <w:t>對</w:t>
      </w:r>
      <w:r>
        <w:rPr>
          <w:rFonts w:eastAsia="Noto Serif CJK TC"/>
          <w:color w:val="1A202C"/>
        </w:rPr>
        <w:t xml:space="preserve"> P6 </w:t>
      </w:r>
      <w:r>
        <w:rPr>
          <w:rFonts w:eastAsia="Noto Serif CJK TC"/>
          <w:color w:val="1A202C"/>
        </w:rPr>
        <w:t>設計之實證研究，</w:t>
      </w:r>
      <w:r>
        <w:rPr>
          <w:rFonts w:eastAsia="Noto Serif CJK TC"/>
          <w:color w:val="1A202C"/>
        </w:rPr>
        <w:t>其在既有國際文獻中的經驗對應仍是本系列後續（尤其</w:t>
      </w:r>
      <w:r>
        <w:rPr>
          <w:rFonts w:eastAsia="Noto Serif CJK TC"/>
          <w:color w:val="1A202C"/>
        </w:rPr>
        <w:t xml:space="preserve"> 031</w:t>
      </w:r>
      <w:r>
        <w:rPr>
          <w:rFonts w:eastAsia="Noto Serif CJK TC"/>
          <w:color w:val="1A202C"/>
        </w:rPr>
        <w:t>、</w:t>
      </w:r>
      <w:r>
        <w:rPr>
          <w:rFonts w:eastAsia="Noto Serif CJK TC"/>
          <w:color w:val="1A202C"/>
        </w:rPr>
        <w:t>034</w:t>
      </w:r>
      <w:r>
        <w:rPr>
          <w:rFonts w:eastAsia="Noto Serif CJK TC"/>
          <w:color w:val="1A202C"/>
        </w:rPr>
        <w:t>、</w:t>
      </w:r>
      <w:r>
        <w:rPr>
          <w:rFonts w:eastAsia="Noto Serif CJK TC"/>
          <w:color w:val="1A202C"/>
        </w:rPr>
        <w:t>035</w:t>
      </w:r>
      <w:r>
        <w:rPr>
          <w:rFonts w:eastAsia="Noto Serif CJK TC"/>
          <w:color w:val="1A202C"/>
        </w:rPr>
        <w:t>）需要優先補強之處。</w:t>
      </w:r>
    </w:p>
    <w:p w:rsidR="0003266C" w:rsidRDefault="009E53B5">
      <w:pPr>
        <w:spacing w:after="180" w:line="340" w:lineRule="auto"/>
        <w:jc w:val="both"/>
      </w:pPr>
      <w:r w:rsidRPr="00E760AE">
        <w:rPr>
          <w:rFonts w:eastAsia="Noto Serif CJK TC"/>
          <w:b/>
          <w:color w:val="1A202C"/>
        </w:rPr>
        <w:t>關鍵詞</w:t>
      </w:r>
      <w:r>
        <w:rPr>
          <w:rFonts w:eastAsia="Noto Serif CJK TC"/>
          <w:color w:val="1A202C"/>
        </w:rPr>
        <w:t>：生成</w:t>
      </w:r>
      <w:proofErr w:type="gramStart"/>
      <w:r>
        <w:rPr>
          <w:rFonts w:eastAsia="Noto Serif CJK TC"/>
          <w:color w:val="1A202C"/>
        </w:rPr>
        <w:t>—</w:t>
      </w:r>
      <w:proofErr w:type="gramEnd"/>
      <w:r>
        <w:rPr>
          <w:rFonts w:eastAsia="Noto Serif CJK TC"/>
          <w:color w:val="1A202C"/>
        </w:rPr>
        <w:t>裁量</w:t>
      </w:r>
      <w:proofErr w:type="gramStart"/>
      <w:r>
        <w:rPr>
          <w:rFonts w:eastAsia="Noto Serif CJK TC"/>
          <w:color w:val="1A202C"/>
        </w:rPr>
        <w:t>—</w:t>
      </w:r>
      <w:proofErr w:type="gramEnd"/>
      <w:r>
        <w:rPr>
          <w:rFonts w:eastAsia="Noto Serif CJK TC"/>
          <w:color w:val="1A202C"/>
        </w:rPr>
        <w:t>權威、分散式行政行動（</w:t>
      </w:r>
      <w:r>
        <w:rPr>
          <w:rFonts w:eastAsia="Noto Serif CJK TC"/>
          <w:color w:val="1A202C"/>
        </w:rPr>
        <w:t>DAA</w:t>
      </w:r>
      <w:r>
        <w:rPr>
          <w:rFonts w:eastAsia="Noto Serif CJK TC"/>
          <w:color w:val="1A202C"/>
        </w:rPr>
        <w:t>）、</w:t>
      </w:r>
      <w:proofErr w:type="gramStart"/>
      <w:r>
        <w:rPr>
          <w:rFonts w:eastAsia="Noto Serif CJK TC"/>
          <w:color w:val="1A202C"/>
        </w:rPr>
        <w:t>裁量場</w:t>
      </w:r>
      <w:proofErr w:type="gramEnd"/>
      <w:r>
        <w:rPr>
          <w:rFonts w:eastAsia="Noto Serif CJK TC"/>
          <w:color w:val="1A202C"/>
        </w:rPr>
        <w:t>、最終再介入能力（</w:t>
      </w:r>
      <w:r>
        <w:rPr>
          <w:rFonts w:eastAsia="Noto Serif CJK TC"/>
          <w:color w:val="1A202C"/>
        </w:rPr>
        <w:t>UCPR</w:t>
      </w:r>
      <w:r>
        <w:rPr>
          <w:rFonts w:eastAsia="Noto Serif CJK TC"/>
          <w:color w:val="1A202C"/>
        </w:rPr>
        <w:t>）、演算法治理、</w:t>
      </w:r>
      <w:r>
        <w:rPr>
          <w:rFonts w:eastAsia="Noto Serif CJK TC"/>
          <w:color w:val="1A202C"/>
        </w:rPr>
        <w:t xml:space="preserve">AI </w:t>
      </w:r>
      <w:proofErr w:type="gramStart"/>
      <w:r>
        <w:rPr>
          <w:rFonts w:eastAsia="Noto Serif CJK TC"/>
          <w:color w:val="1A202C"/>
        </w:rPr>
        <w:t>問責</w:t>
      </w:r>
      <w:proofErr w:type="gramEnd"/>
      <w:r>
        <w:rPr>
          <w:rFonts w:eastAsia="Noto Serif CJK TC"/>
          <w:color w:val="1A202C"/>
        </w:rPr>
        <w:t>、行政法理論</w:t>
      </w:r>
    </w:p>
    <w:bookmarkEnd w:id="0"/>
    <w:p w:rsidR="0003266C" w:rsidRDefault="009E53B5">
      <w:pPr>
        <w:spacing w:before="120" w:after="300" w:line="300" w:lineRule="auto"/>
        <w:jc w:val="both"/>
      </w:pPr>
      <w:r>
        <w:rPr>
          <w:rFonts w:ascii="Noto Sans CJK TC" w:eastAsia="Noto Sans CJK TC" w:hAnsi="Noto Sans CJK TC" w:cs="Noto Sans CJK TC"/>
          <w:i/>
          <w:iCs/>
          <w:color w:val="4A5568"/>
          <w:sz w:val="19"/>
          <w:szCs w:val="19"/>
        </w:rPr>
        <w:lastRenderedPageBreak/>
        <w:t xml:space="preserve">English abstract: This article does not restate the Generation–Discretion–Authority (GDA) model; it locates the model on the current map of AI and </w:t>
      </w:r>
      <w:r>
        <w:rPr>
          <w:rFonts w:ascii="Noto Sans CJK TC" w:eastAsia="Noto Sans CJK TC" w:hAnsi="Noto Sans CJK TC" w:cs="Noto Sans CJK TC"/>
          <w:i/>
          <w:iCs/>
          <w:color w:val="4A5568"/>
          <w:sz w:val="19"/>
          <w:szCs w:val="19"/>
        </w:rPr>
        <w:t>public administration theory. Reading Zhu’s (2026) with/of/through-AI paradigm indicates that through AI refers to the methodological renewal of the discipline, not to administration as a technically mediated process. GDA therefore operationalizes Zhu’s wi</w:t>
      </w:r>
      <w:r>
        <w:rPr>
          <w:rFonts w:ascii="Noto Sans CJK TC" w:eastAsia="Noto Sans CJK TC" w:hAnsi="Noto Sans CJK TC" w:cs="Noto Sans CJK TC"/>
          <w:i/>
          <w:iCs/>
          <w:color w:val="4A5568"/>
          <w:sz w:val="19"/>
          <w:szCs w:val="19"/>
        </w:rPr>
        <w:t>th-AI and of-AI dimensions: Distributed Administrative Action (DAA) specifies how a single administrative outcome is jointly generated; the field of discretion redistributes discretion across pre-configuration, model translation, interface steering, and hu</w:t>
      </w:r>
      <w:r>
        <w:rPr>
          <w:rFonts w:ascii="Noto Sans CJK TC" w:eastAsia="Noto Sans CJK TC" w:hAnsi="Noto Sans CJK TC" w:cs="Noto Sans CJK TC"/>
          <w:i/>
          <w:iCs/>
          <w:color w:val="4A5568"/>
          <w:sz w:val="19"/>
          <w:szCs w:val="19"/>
        </w:rPr>
        <w:t xml:space="preserve">man review; and Ultimate Capacity for Public Reintervention (UCPR) asks whether public authorities still possess in-process cognitive, decisional, and accountability capacities. Afzal and </w:t>
      </w:r>
      <w:proofErr w:type="spellStart"/>
      <w:r>
        <w:rPr>
          <w:rFonts w:ascii="Noto Sans CJK TC" w:eastAsia="Noto Sans CJK TC" w:hAnsi="Noto Sans CJK TC" w:cs="Noto Sans CJK TC"/>
          <w:i/>
          <w:iCs/>
          <w:color w:val="4A5568"/>
          <w:sz w:val="19"/>
          <w:szCs w:val="19"/>
        </w:rPr>
        <w:t>Panagiotopoulos</w:t>
      </w:r>
      <w:proofErr w:type="spellEnd"/>
      <w:r>
        <w:rPr>
          <w:rFonts w:ascii="Noto Sans CJK TC" w:eastAsia="Noto Sans CJK TC" w:hAnsi="Noto Sans CJK TC" w:cs="Noto Sans CJK TC"/>
          <w:i/>
          <w:iCs/>
          <w:color w:val="4A5568"/>
          <w:sz w:val="19"/>
          <w:szCs w:val="19"/>
        </w:rPr>
        <w:t xml:space="preserve"> (2025) document resistance to delegating discretion </w:t>
      </w:r>
      <w:r>
        <w:rPr>
          <w:rFonts w:ascii="Noto Sans CJK TC" w:eastAsia="Noto Sans CJK TC" w:hAnsi="Noto Sans CJK TC" w:cs="Noto Sans CJK TC"/>
          <w:i/>
          <w:iCs/>
          <w:color w:val="4A5568"/>
          <w:sz w:val="19"/>
          <w:szCs w:val="19"/>
        </w:rPr>
        <w:t xml:space="preserve">to algorithms, driven by status quo bias, rather than automatic acceptance of system defaults; Alon-Barkat and </w:t>
      </w:r>
      <w:proofErr w:type="spellStart"/>
      <w:r>
        <w:rPr>
          <w:rFonts w:ascii="Noto Sans CJK TC" w:eastAsia="Noto Sans CJK TC" w:hAnsi="Noto Sans CJK TC" w:cs="Noto Sans CJK TC"/>
          <w:i/>
          <w:iCs/>
          <w:color w:val="4A5568"/>
          <w:sz w:val="19"/>
          <w:szCs w:val="19"/>
        </w:rPr>
        <w:t>Busuioc</w:t>
      </w:r>
      <w:proofErr w:type="spellEnd"/>
      <w:r>
        <w:rPr>
          <w:rFonts w:ascii="Noto Sans CJK TC" w:eastAsia="Noto Sans CJK TC" w:hAnsi="Noto Sans CJK TC" w:cs="Noto Sans CJK TC"/>
          <w:i/>
          <w:iCs/>
          <w:color w:val="4A5568"/>
          <w:sz w:val="19"/>
          <w:szCs w:val="19"/>
        </w:rPr>
        <w:t xml:space="preserve"> (2023) further show this is conditional — officials display selective adherence to advice, whether algorithmic or human, when it matches </w:t>
      </w:r>
      <w:r>
        <w:rPr>
          <w:rFonts w:ascii="Noto Sans CJK TC" w:eastAsia="Noto Sans CJK TC" w:hAnsi="Noto Sans CJK TC" w:cs="Noto Sans CJK TC"/>
          <w:i/>
          <w:iCs/>
          <w:color w:val="4A5568"/>
          <w:sz w:val="19"/>
          <w:szCs w:val="19"/>
        </w:rPr>
        <w:t>pre-existing stereotypes, rather than blanket automation bias. GDA’s main contribution is not renaming these findings but placing generation, discretion, and authority within a single temporal and causal analytic chain — a claim that remains theoretical an</w:t>
      </w:r>
      <w:r>
        <w:rPr>
          <w:rFonts w:ascii="Noto Sans CJK TC" w:eastAsia="Noto Sans CJK TC" w:hAnsi="Noto Sans CJK TC" w:cs="Noto Sans CJK TC"/>
          <w:i/>
          <w:iCs/>
          <w:color w:val="4A5568"/>
          <w:sz w:val="19"/>
          <w:szCs w:val="19"/>
        </w:rPr>
        <w:t>d awaits comparative operationalization.</w:t>
      </w:r>
    </w:p>
    <w:p w:rsidR="0003266C" w:rsidRDefault="009E53B5">
      <w:pPr>
        <w:pStyle w:val="1"/>
        <w:spacing w:before="360" w:after="200" w:line="360" w:lineRule="auto"/>
      </w:pPr>
      <w:r>
        <w:rPr>
          <w:rFonts w:ascii="Noto Sans CJK TC" w:eastAsia="Noto Sans CJK TC" w:hAnsi="Noto Sans CJK TC" w:cs="Noto Sans CJK TC"/>
          <w:b/>
          <w:bCs/>
          <w:color w:val="1A365D"/>
        </w:rPr>
        <w:t>壹、緒論：</w:t>
      </w:r>
      <w:r>
        <w:rPr>
          <w:rFonts w:ascii="Noto Sans CJK TC" w:eastAsia="Noto Sans CJK TC" w:hAnsi="Noto Sans CJK TC" w:cs="Noto Sans CJK TC"/>
          <w:b/>
          <w:bCs/>
          <w:color w:val="1A365D"/>
        </w:rPr>
        <w:t xml:space="preserve">AI </w:t>
      </w:r>
      <w:r>
        <w:rPr>
          <w:rFonts w:ascii="Noto Sans CJK TC" w:eastAsia="Noto Sans CJK TC" w:hAnsi="Noto Sans CJK TC" w:cs="Noto Sans CJK TC"/>
          <w:b/>
          <w:bCs/>
          <w:color w:val="1A365D"/>
        </w:rPr>
        <w:t>公共行政研究的理論分散</w:t>
      </w:r>
    </w:p>
    <w:p w:rsidR="0003266C" w:rsidRDefault="009E53B5">
      <w:pPr>
        <w:spacing w:after="180" w:line="340" w:lineRule="auto"/>
        <w:jc w:val="both"/>
      </w:pPr>
      <w:r>
        <w:rPr>
          <w:rFonts w:eastAsia="Noto Serif CJK TC"/>
          <w:color w:val="1A202C"/>
        </w:rPr>
        <w:t>在進入既有文獻的討論之前，先以一張路徑圖呈現</w:t>
      </w:r>
      <w:r>
        <w:rPr>
          <w:rFonts w:eastAsia="Noto Serif CJK TC"/>
          <w:color w:val="1A202C"/>
        </w:rPr>
        <w:t xml:space="preserve"> GDA </w:t>
      </w:r>
      <w:r>
        <w:rPr>
          <w:rFonts w:eastAsia="Noto Serif CJK TC"/>
          <w:color w:val="1A202C"/>
        </w:rPr>
        <w:t>模型的結論，作為本文後續比較的參照基準：</w:t>
      </w:r>
    </w:p>
    <w:p w:rsidR="0003266C" w:rsidRDefault="009E53B5">
      <w:pPr>
        <w:spacing w:before="200" w:after="60"/>
        <w:jc w:val="center"/>
      </w:pPr>
      <w:r>
        <w:rPr>
          <w:noProof/>
        </w:rPr>
        <w:drawing>
          <wp:inline distT="0" distB="0" distL="0" distR="0">
            <wp:extent cx="5715000" cy="28575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715000" cy="2857500"/>
                    </a:xfrm>
                    <a:prstGeom prst="rect">
                      <a:avLst/>
                    </a:prstGeom>
                  </pic:spPr>
                </pic:pic>
              </a:graphicData>
            </a:graphic>
          </wp:inline>
        </w:drawing>
      </w:r>
    </w:p>
    <w:p w:rsidR="0003266C" w:rsidRDefault="009E53B5">
      <w:pPr>
        <w:spacing w:before="60" w:after="200"/>
        <w:jc w:val="center"/>
      </w:pPr>
      <w:r>
        <w:rPr>
          <w:rFonts w:ascii="Noto Sans CJK TC" w:eastAsia="Noto Sans CJK TC" w:hAnsi="Noto Sans CJK TC" w:cs="Noto Sans CJK TC"/>
          <w:i/>
          <w:iCs/>
          <w:color w:val="2D3748"/>
          <w:sz w:val="20"/>
          <w:szCs w:val="20"/>
        </w:rPr>
        <w:t>圖</w:t>
      </w:r>
      <w:r>
        <w:rPr>
          <w:rFonts w:ascii="Noto Sans CJK TC" w:eastAsia="Noto Sans CJK TC" w:hAnsi="Noto Sans CJK TC" w:cs="Noto Sans CJK TC"/>
          <w:i/>
          <w:iCs/>
          <w:color w:val="2D3748"/>
          <w:sz w:val="20"/>
          <w:szCs w:val="20"/>
        </w:rPr>
        <w:t>1</w:t>
      </w:r>
      <w:r>
        <w:rPr>
          <w:rFonts w:ascii="Noto Sans CJK TC" w:eastAsia="Noto Sans CJK TC" w:hAnsi="Noto Sans CJK TC" w:cs="Noto Sans CJK TC"/>
          <w:i/>
          <w:iCs/>
          <w:color w:val="2D3748"/>
          <w:sz w:val="20"/>
          <w:szCs w:val="20"/>
        </w:rPr>
        <w:t xml:space="preserve">　</w:t>
      </w:r>
      <w:r>
        <w:rPr>
          <w:rFonts w:ascii="Noto Sans CJK TC" w:eastAsia="Noto Sans CJK TC" w:hAnsi="Noto Sans CJK TC" w:cs="Noto Sans CJK TC"/>
          <w:i/>
          <w:iCs/>
          <w:color w:val="2D3748"/>
          <w:sz w:val="20"/>
          <w:szCs w:val="20"/>
        </w:rPr>
        <w:t xml:space="preserve">GDA </w:t>
      </w:r>
      <w:r>
        <w:rPr>
          <w:rFonts w:ascii="Noto Sans CJK TC" w:eastAsia="Noto Sans CJK TC" w:hAnsi="Noto Sans CJK TC" w:cs="Noto Sans CJK TC"/>
          <w:i/>
          <w:iCs/>
          <w:color w:val="2D3748"/>
          <w:sz w:val="20"/>
          <w:szCs w:val="20"/>
        </w:rPr>
        <w:t>模型（生成</w:t>
      </w:r>
      <w:proofErr w:type="gramStart"/>
      <w:r>
        <w:rPr>
          <w:rFonts w:ascii="Noto Sans CJK TC" w:eastAsia="Noto Sans CJK TC" w:hAnsi="Noto Sans CJK TC" w:cs="Noto Sans CJK TC"/>
          <w:i/>
          <w:iCs/>
          <w:color w:val="2D3748"/>
          <w:sz w:val="20"/>
          <w:szCs w:val="20"/>
        </w:rPr>
        <w:t>—</w:t>
      </w:r>
      <w:proofErr w:type="gramEnd"/>
      <w:r>
        <w:rPr>
          <w:rFonts w:ascii="Noto Sans CJK TC" w:eastAsia="Noto Sans CJK TC" w:hAnsi="Noto Sans CJK TC" w:cs="Noto Sans CJK TC"/>
          <w:i/>
          <w:iCs/>
          <w:color w:val="2D3748"/>
          <w:sz w:val="20"/>
          <w:szCs w:val="20"/>
        </w:rPr>
        <w:t>裁量</w:t>
      </w:r>
      <w:r>
        <w:rPr>
          <w:rFonts w:ascii="Noto Sans CJK TC" w:eastAsia="Noto Sans CJK TC" w:hAnsi="Noto Sans CJK TC" w:cs="Noto Sans CJK TC"/>
          <w:i/>
          <w:iCs/>
          <w:color w:val="2D3748"/>
          <w:sz w:val="20"/>
          <w:szCs w:val="20"/>
        </w:rPr>
        <w:t>—</w:t>
      </w:r>
      <w:r>
        <w:rPr>
          <w:rFonts w:ascii="Noto Sans CJK TC" w:eastAsia="Noto Sans CJK TC" w:hAnsi="Noto Sans CJK TC" w:cs="Noto Sans CJK TC"/>
          <w:i/>
          <w:iCs/>
          <w:color w:val="2D3748"/>
          <w:sz w:val="20"/>
          <w:szCs w:val="20"/>
        </w:rPr>
        <w:t>權威）：結論路徑圖</w:t>
      </w:r>
    </w:p>
    <w:p w:rsidR="0003266C" w:rsidRDefault="009E53B5">
      <w:pPr>
        <w:spacing w:after="180" w:line="340" w:lineRule="auto"/>
        <w:jc w:val="both"/>
      </w:pPr>
      <w:r>
        <w:rPr>
          <w:rFonts w:eastAsia="Noto Serif CJK TC"/>
          <w:color w:val="1A202C"/>
        </w:rPr>
        <w:t>如上圖所示，</w:t>
      </w:r>
      <w:r>
        <w:rPr>
          <w:rFonts w:eastAsia="Noto Serif CJK TC"/>
          <w:color w:val="1A202C"/>
        </w:rPr>
        <w:t xml:space="preserve">GDA </w:t>
      </w:r>
      <w:r>
        <w:rPr>
          <w:rFonts w:eastAsia="Noto Serif CJK TC"/>
          <w:color w:val="1A202C"/>
        </w:rPr>
        <w:t>模型主張行政結果由「生成」（</w:t>
      </w:r>
      <w:r>
        <w:rPr>
          <w:rFonts w:eastAsia="Noto Serif CJK TC"/>
          <w:color w:val="1A202C"/>
        </w:rPr>
        <w:t>DAA</w:t>
      </w:r>
      <w:r>
        <w:rPr>
          <w:rFonts w:eastAsia="Noto Serif CJK TC"/>
          <w:color w:val="1A202C"/>
        </w:rPr>
        <w:t>，四個生成位置共同構成）、「裁量」（裁量場，裁量分散於前置配置、模型轉譯、介面引導、人類覆核四個節點）、「權威」（</w:t>
      </w:r>
      <w:r>
        <w:rPr>
          <w:rFonts w:eastAsia="Noto Serif CJK TC"/>
          <w:color w:val="1A202C"/>
        </w:rPr>
        <w:t>UCPR</w:t>
      </w:r>
      <w:r>
        <w:rPr>
          <w:rFonts w:eastAsia="Noto Serif CJK TC"/>
          <w:color w:val="1A202C"/>
        </w:rPr>
        <w:t>，公共機關保有認知、決策、課責三種再介入能力）三層因果連動構成，而非三個互不相干的並列概念</w:t>
      </w:r>
      <w:proofErr w:type="gramStart"/>
      <w:r>
        <w:rPr>
          <w:rFonts w:eastAsia="Noto Serif CJK TC"/>
          <w:color w:val="1A202C"/>
        </w:rPr>
        <w:t>—</w:t>
      </w:r>
      <w:proofErr w:type="gramEnd"/>
      <w:r>
        <w:rPr>
          <w:rFonts w:eastAsia="Noto Serif CJK TC"/>
          <w:color w:val="1A202C"/>
        </w:rPr>
        <w:t>—</w:t>
      </w:r>
      <w:r>
        <w:rPr>
          <w:rFonts w:eastAsia="Noto Serif CJK TC"/>
          <w:color w:val="1A202C"/>
        </w:rPr>
        <w:t>完整定義</w:t>
      </w:r>
      <w:proofErr w:type="gramStart"/>
      <w:r>
        <w:rPr>
          <w:rFonts w:eastAsia="Noto Serif CJK TC"/>
          <w:color w:val="1A202C"/>
        </w:rPr>
        <w:t>見肆</w:t>
      </w:r>
      <w:proofErr w:type="gramEnd"/>
      <w:r>
        <w:rPr>
          <w:rFonts w:eastAsia="Noto Serif CJK TC"/>
          <w:color w:val="1A202C"/>
        </w:rPr>
        <w:t>章，這裡先以此作為本文以下各章逐一與國際文獻比較時的基準架構。上圖也標出一條虛線的回饋路徑：權威能力不足是否會回頭改變生成結構與裁量配置，目前仍是理論推論，本文尚未檢驗。</w:t>
      </w:r>
    </w:p>
    <w:p w:rsidR="0003266C" w:rsidRDefault="009E53B5">
      <w:pPr>
        <w:pStyle w:val="2"/>
        <w:spacing w:before="280" w:after="140" w:line="340" w:lineRule="auto"/>
      </w:pPr>
      <w:r>
        <w:rPr>
          <w:rFonts w:ascii="Noto Sans CJK TC" w:eastAsia="Noto Sans CJK TC" w:hAnsi="Noto Sans CJK TC" w:cs="Noto Sans CJK TC"/>
          <w:b/>
          <w:bCs/>
          <w:color w:val="1A365D"/>
          <w:sz w:val="27"/>
          <w:szCs w:val="27"/>
        </w:rPr>
        <w:lastRenderedPageBreak/>
        <w:t>一、</w:t>
      </w:r>
      <w:r>
        <w:rPr>
          <w:rFonts w:ascii="Noto Sans CJK TC" w:eastAsia="Noto Sans CJK TC" w:hAnsi="Noto Sans CJK TC" w:cs="Noto Sans CJK TC"/>
          <w:b/>
          <w:bCs/>
          <w:color w:val="1A365D"/>
          <w:sz w:val="27"/>
          <w:szCs w:val="27"/>
        </w:rPr>
        <w:t xml:space="preserve">AI </w:t>
      </w:r>
      <w:r>
        <w:rPr>
          <w:rFonts w:ascii="Noto Sans CJK TC" w:eastAsia="Noto Sans CJK TC" w:hAnsi="Noto Sans CJK TC" w:cs="Noto Sans CJK TC"/>
          <w:b/>
          <w:bCs/>
          <w:color w:val="1A365D"/>
          <w:sz w:val="27"/>
          <w:szCs w:val="27"/>
        </w:rPr>
        <w:t>已成為公共行政研究的重要對象</w:t>
      </w:r>
    </w:p>
    <w:p w:rsidR="0003266C" w:rsidRDefault="009E53B5">
      <w:pPr>
        <w:spacing w:after="180" w:line="340" w:lineRule="auto"/>
        <w:jc w:val="both"/>
      </w:pPr>
      <w:r>
        <w:rPr>
          <w:rFonts w:eastAsia="Noto Serif CJK TC"/>
          <w:color w:val="1A202C"/>
        </w:rPr>
        <w:t>過去十年間，人工智</w:t>
      </w:r>
      <w:r>
        <w:rPr>
          <w:rFonts w:eastAsia="Noto Serif CJK TC"/>
          <w:color w:val="1A202C"/>
        </w:rPr>
        <w:t>慧（</w:t>
      </w:r>
      <w:r>
        <w:rPr>
          <w:rFonts w:eastAsia="Noto Serif CJK TC"/>
          <w:color w:val="1A202C"/>
        </w:rPr>
        <w:t>AI</w:t>
      </w:r>
      <w:r>
        <w:rPr>
          <w:rFonts w:eastAsia="Noto Serif CJK TC"/>
          <w:color w:val="1A202C"/>
        </w:rPr>
        <w:t>）從公共行政研究中的邊陲議題，迅速成為核心議題之一，這不只是研究者的主觀印象，也有量化證據支持。</w:t>
      </w:r>
      <w:proofErr w:type="spellStart"/>
      <w:r>
        <w:rPr>
          <w:rFonts w:eastAsia="Noto Serif CJK TC"/>
          <w:color w:val="1A202C"/>
        </w:rPr>
        <w:t>Rekunenko</w:t>
      </w:r>
      <w:proofErr w:type="spellEnd"/>
      <w:r>
        <w:rPr>
          <w:rFonts w:eastAsia="Noto Serif CJK TC"/>
          <w:color w:val="1A202C"/>
        </w:rPr>
        <w:t xml:space="preserve"> </w:t>
      </w:r>
      <w:r>
        <w:rPr>
          <w:rFonts w:eastAsia="Noto Serif CJK TC"/>
          <w:color w:val="1A202C"/>
        </w:rPr>
        <w:t>等人（</w:t>
      </w:r>
      <w:r>
        <w:rPr>
          <w:rFonts w:eastAsia="Noto Serif CJK TC"/>
          <w:color w:val="1A202C"/>
        </w:rPr>
        <w:t>2025</w:t>
      </w:r>
      <w:r>
        <w:rPr>
          <w:rFonts w:eastAsia="Noto Serif CJK TC"/>
          <w:color w:val="1A202C"/>
        </w:rPr>
        <w:t>）發表於《</w:t>
      </w:r>
      <w:r>
        <w:rPr>
          <w:rFonts w:eastAsia="Noto Serif CJK TC"/>
          <w:color w:val="1A202C"/>
        </w:rPr>
        <w:t>Problems and Perspectives in Management</w:t>
      </w:r>
      <w:r>
        <w:rPr>
          <w:rFonts w:eastAsia="Noto Serif CJK TC"/>
          <w:color w:val="1A202C"/>
        </w:rPr>
        <w:t>》的書目計量分析，檢閱了</w:t>
      </w:r>
      <w:r>
        <w:rPr>
          <w:rFonts w:eastAsia="Noto Serif CJK TC"/>
          <w:color w:val="1A202C"/>
        </w:rPr>
        <w:t xml:space="preserve"> 879 </w:t>
      </w:r>
      <w:r>
        <w:rPr>
          <w:rFonts w:eastAsia="Noto Serif CJK TC"/>
          <w:color w:val="1A202C"/>
        </w:rPr>
        <w:t>篇相關文獻，其中</w:t>
      </w:r>
      <w:r>
        <w:rPr>
          <w:rFonts w:eastAsia="Noto Serif CJK TC"/>
          <w:color w:val="1A202C"/>
        </w:rPr>
        <w:t xml:space="preserve"> 598 </w:t>
      </w:r>
      <w:r>
        <w:rPr>
          <w:rFonts w:eastAsia="Noto Serif CJK TC"/>
          <w:color w:val="1A202C"/>
        </w:rPr>
        <w:t>篇聚焦於</w:t>
      </w:r>
      <w:r>
        <w:rPr>
          <w:rFonts w:eastAsia="Noto Serif CJK TC"/>
          <w:color w:val="1A202C"/>
        </w:rPr>
        <w:t xml:space="preserve"> AI </w:t>
      </w:r>
      <w:r>
        <w:rPr>
          <w:rFonts w:eastAsia="Noto Serif CJK TC"/>
          <w:color w:val="1A202C"/>
        </w:rPr>
        <w:t>在公共行政的應用；該研究發現，</w:t>
      </w:r>
      <w:r>
        <w:rPr>
          <w:rFonts w:eastAsia="Noto Serif CJK TC"/>
          <w:color w:val="1A202C"/>
        </w:rPr>
        <w:t xml:space="preserve">2010 </w:t>
      </w:r>
      <w:r>
        <w:rPr>
          <w:rFonts w:eastAsia="Noto Serif CJK TC"/>
          <w:color w:val="1A202C"/>
        </w:rPr>
        <w:t>至</w:t>
      </w:r>
      <w:r>
        <w:rPr>
          <w:rFonts w:eastAsia="Noto Serif CJK TC"/>
          <w:color w:val="1A202C"/>
        </w:rPr>
        <w:t xml:space="preserve"> 2019 </w:t>
      </w:r>
      <w:r>
        <w:rPr>
          <w:rFonts w:eastAsia="Noto Serif CJK TC"/>
          <w:color w:val="1A202C"/>
        </w:rPr>
        <w:t>年間僅累積</w:t>
      </w:r>
      <w:r>
        <w:rPr>
          <w:rFonts w:eastAsia="Noto Serif CJK TC"/>
          <w:color w:val="1A202C"/>
        </w:rPr>
        <w:t xml:space="preserve"> 135 </w:t>
      </w:r>
      <w:r>
        <w:rPr>
          <w:rFonts w:eastAsia="Noto Serif CJK TC"/>
          <w:color w:val="1A202C"/>
        </w:rPr>
        <w:t>篇相關文獻，</w:t>
      </w:r>
      <w:r>
        <w:rPr>
          <w:rFonts w:eastAsia="Noto Serif CJK TC"/>
          <w:color w:val="1A202C"/>
        </w:rPr>
        <w:t xml:space="preserve">2020 </w:t>
      </w:r>
      <w:r>
        <w:rPr>
          <w:rFonts w:eastAsia="Noto Serif CJK TC"/>
          <w:color w:val="1A202C"/>
        </w:rPr>
        <w:t>至</w:t>
      </w:r>
      <w:r>
        <w:rPr>
          <w:rFonts w:eastAsia="Noto Serif CJK TC"/>
          <w:color w:val="1A202C"/>
        </w:rPr>
        <w:t xml:space="preserve"> 2024 </w:t>
      </w:r>
      <w:r>
        <w:rPr>
          <w:rFonts w:eastAsia="Noto Serif CJK TC"/>
          <w:color w:val="1A202C"/>
        </w:rPr>
        <w:t>年間則暴增至</w:t>
      </w:r>
      <w:r>
        <w:rPr>
          <w:rFonts w:eastAsia="Noto Serif CJK TC"/>
          <w:color w:val="1A202C"/>
        </w:rPr>
        <w:t xml:space="preserve"> 421 </w:t>
      </w:r>
      <w:r>
        <w:rPr>
          <w:rFonts w:eastAsia="Noto Serif CJK TC"/>
          <w:color w:val="1A202C"/>
        </w:rPr>
        <w:t>篇，成長逾三倍，研究焦點並集中於</w:t>
      </w:r>
      <w:r>
        <w:rPr>
          <w:rFonts w:eastAsia="Noto Serif CJK TC"/>
          <w:color w:val="1A202C"/>
        </w:rPr>
        <w:t xml:space="preserve"> AI </w:t>
      </w:r>
      <w:r>
        <w:rPr>
          <w:rFonts w:eastAsia="Noto Serif CJK TC"/>
          <w:color w:val="1A202C"/>
        </w:rPr>
        <w:t>導入應用、政府決策流程、資料治理與數位</w:t>
      </w:r>
      <w:r>
        <w:rPr>
          <w:rFonts w:eastAsia="Noto Serif CJK TC"/>
          <w:color w:val="1A202C"/>
        </w:rPr>
        <w:t>技術、以及策略性運用四大主題。這組數字具體印證了「</w:t>
      </w:r>
      <w:r>
        <w:rPr>
          <w:rFonts w:eastAsia="Noto Serif CJK TC"/>
          <w:color w:val="1A202C"/>
        </w:rPr>
        <w:t xml:space="preserve">AI </w:t>
      </w:r>
      <w:r>
        <w:rPr>
          <w:rFonts w:eastAsia="Noto Serif CJK TC"/>
          <w:color w:val="1A202C"/>
        </w:rPr>
        <w:t>如何影響行政」已從邊陲議題轉為公共行政研究的核心議題之</w:t>
      </w:r>
      <w:proofErr w:type="gramStart"/>
      <w:r>
        <w:rPr>
          <w:rFonts w:eastAsia="Noto Serif CJK TC"/>
          <w:color w:val="1A202C"/>
        </w:rPr>
        <w:t>一</w:t>
      </w:r>
      <w:proofErr w:type="gramEnd"/>
      <w:r>
        <w:rPr>
          <w:rFonts w:eastAsia="Noto Serif CJK TC"/>
          <w:color w:val="1A202C"/>
        </w:rPr>
        <w:t>。需要限定的是：該書目計量描述的是應用導向文獻的暴增，不能直接推論理論整合不足；本文對「研究變多、理論仍分散」的判斷，仍建立在下文的路徑類型化之上。</w:t>
      </w:r>
    </w:p>
    <w:p w:rsidR="0003266C" w:rsidRDefault="009E53B5">
      <w:pPr>
        <w:spacing w:after="180" w:line="340" w:lineRule="auto"/>
        <w:jc w:val="both"/>
      </w:pPr>
      <w:r>
        <w:rPr>
          <w:rFonts w:eastAsia="Noto Serif CJK TC"/>
          <w:color w:val="1A202C"/>
        </w:rPr>
        <w:t>然而，研究成果的快速累積，並不等於理論的整合：不同研究傳統各自從自己的問題意識出發，發展出彼此平行、但較少以同一分析架構說明彼此連動關係的研究路徑</w:t>
      </w:r>
      <w:proofErr w:type="gramStart"/>
      <w:r>
        <w:rPr>
          <w:rFonts w:eastAsia="Noto Serif CJK TC"/>
          <w:color w:val="1A202C"/>
        </w:rPr>
        <w:t>—</w:t>
      </w:r>
      <w:proofErr w:type="gramEnd"/>
      <w:r>
        <w:rPr>
          <w:rFonts w:eastAsia="Noto Serif CJK TC"/>
          <w:color w:val="1A202C"/>
        </w:rPr>
        <w:t>—</w:t>
      </w:r>
      <w:r>
        <w:rPr>
          <w:rFonts w:eastAsia="Noto Serif CJK TC"/>
          <w:color w:val="1A202C"/>
        </w:rPr>
        <w:t>這正是本文以下各章要處理的問題，也是</w:t>
      </w:r>
      <w:r>
        <w:rPr>
          <w:rFonts w:eastAsia="Noto Serif CJK TC"/>
          <w:color w:val="1A202C"/>
        </w:rPr>
        <w:t xml:space="preserve"> GDA </w:t>
      </w:r>
      <w:r>
        <w:rPr>
          <w:rFonts w:eastAsia="Noto Serif CJK TC"/>
          <w:color w:val="1A202C"/>
        </w:rPr>
        <w:t>模型試圖回應的理論缺口。</w:t>
      </w:r>
    </w:p>
    <w:p w:rsidR="0003266C" w:rsidRDefault="009E53B5">
      <w:pPr>
        <w:pStyle w:val="2"/>
        <w:spacing w:before="280" w:after="140" w:line="340" w:lineRule="auto"/>
      </w:pPr>
      <w:r>
        <w:rPr>
          <w:rFonts w:ascii="Noto Sans CJK TC" w:eastAsia="Noto Sans CJK TC" w:hAnsi="Noto Sans CJK TC" w:cs="Noto Sans CJK TC"/>
          <w:b/>
          <w:bCs/>
          <w:color w:val="1A365D"/>
          <w:sz w:val="27"/>
          <w:szCs w:val="27"/>
        </w:rPr>
        <w:t>二、既有研究的幾條主要路徑</w:t>
      </w:r>
    </w:p>
    <w:p w:rsidR="0003266C" w:rsidRDefault="009E53B5">
      <w:pPr>
        <w:spacing w:after="180" w:line="340" w:lineRule="auto"/>
        <w:jc w:val="both"/>
      </w:pPr>
      <w:r>
        <w:rPr>
          <w:rFonts w:eastAsia="Noto Serif CJK TC"/>
          <w:color w:val="1A202C"/>
        </w:rPr>
        <w:t>若粗略梳理國際文獻，</w:t>
      </w:r>
      <w:r>
        <w:rPr>
          <w:rFonts w:eastAsia="Noto Serif CJK TC"/>
          <w:color w:val="1A202C"/>
        </w:rPr>
        <w:t xml:space="preserve">AI </w:t>
      </w:r>
      <w:r>
        <w:rPr>
          <w:rFonts w:eastAsia="Noto Serif CJK TC"/>
          <w:color w:val="1A202C"/>
        </w:rPr>
        <w:t>與公共行政的交叉研究大致可歸納為六條路徑，彼此雖有交集，但問題意識與分析單位並不相同：（</w:t>
      </w:r>
      <w:r>
        <w:rPr>
          <w:rFonts w:eastAsia="Noto Serif CJK TC"/>
          <w:color w:val="1A202C"/>
        </w:rPr>
        <w:t>1</w:t>
      </w:r>
      <w:r>
        <w:rPr>
          <w:rFonts w:eastAsia="Noto Serif CJK TC"/>
          <w:color w:val="1A202C"/>
        </w:rPr>
        <w:t>）</w:t>
      </w:r>
      <w:r>
        <w:rPr>
          <w:rFonts w:eastAsia="Noto Serif CJK TC"/>
          <w:color w:val="1A202C"/>
        </w:rPr>
        <w:t>AI as tool</w:t>
      </w:r>
      <w:r>
        <w:rPr>
          <w:rFonts w:eastAsia="Noto Serif CJK TC"/>
          <w:color w:val="1A202C"/>
        </w:rPr>
        <w:t>，將</w:t>
      </w:r>
      <w:r>
        <w:rPr>
          <w:rFonts w:eastAsia="Noto Serif CJK TC"/>
          <w:color w:val="1A202C"/>
        </w:rPr>
        <w:t xml:space="preserve"> AI </w:t>
      </w:r>
      <w:r>
        <w:rPr>
          <w:rFonts w:eastAsia="Noto Serif CJK TC"/>
          <w:color w:val="1A202C"/>
        </w:rPr>
        <w:t>視為提升行政效率的工具，關注採用、擴散與績效；（</w:t>
      </w:r>
      <w:r>
        <w:rPr>
          <w:rFonts w:eastAsia="Noto Serif CJK TC"/>
          <w:color w:val="1A202C"/>
        </w:rPr>
        <w:t>2</w:t>
      </w:r>
      <w:r>
        <w:rPr>
          <w:rFonts w:eastAsia="Noto Serif CJK TC"/>
          <w:color w:val="1A202C"/>
        </w:rPr>
        <w:t>）</w:t>
      </w:r>
      <w:r>
        <w:rPr>
          <w:rFonts w:eastAsia="Noto Serif CJK TC"/>
          <w:color w:val="1A202C"/>
        </w:rPr>
        <w:t>AI governance</w:t>
      </w:r>
      <w:r>
        <w:rPr>
          <w:rFonts w:eastAsia="Noto Serif CJK TC"/>
          <w:color w:val="1A202C"/>
        </w:rPr>
        <w:t>，聚焦政府應如何治理</w:t>
      </w:r>
      <w:r>
        <w:rPr>
          <w:rFonts w:eastAsia="Noto Serif CJK TC"/>
          <w:color w:val="1A202C"/>
        </w:rPr>
        <w:t xml:space="preserve"> AI </w:t>
      </w:r>
      <w:r>
        <w:rPr>
          <w:rFonts w:eastAsia="Noto Serif CJK TC"/>
          <w:color w:val="1A202C"/>
        </w:rPr>
        <w:t>本身，涵蓋風險分類、監理框架與跨國比較；（</w:t>
      </w:r>
      <w:r>
        <w:rPr>
          <w:rFonts w:eastAsia="Noto Serif CJK TC"/>
          <w:color w:val="1A202C"/>
        </w:rPr>
        <w:t>3</w:t>
      </w:r>
      <w:r>
        <w:rPr>
          <w:rFonts w:eastAsia="Noto Serif CJK TC"/>
          <w:color w:val="1A202C"/>
        </w:rPr>
        <w:t>）</w:t>
      </w:r>
      <w:r>
        <w:rPr>
          <w:rFonts w:eastAsia="Noto Serif CJK TC"/>
          <w:color w:val="1A202C"/>
        </w:rPr>
        <w:t>algorithmic decision-making</w:t>
      </w:r>
      <w:r>
        <w:rPr>
          <w:rFonts w:eastAsia="Noto Serif CJK TC"/>
          <w:color w:val="1A202C"/>
        </w:rPr>
        <w:t>，分析演算法如何形成或輔助具體決策，及</w:t>
      </w:r>
      <w:proofErr w:type="gramStart"/>
      <w:r>
        <w:rPr>
          <w:rFonts w:eastAsia="Noto Serif CJK TC"/>
          <w:color w:val="1A202C"/>
        </w:rPr>
        <w:t>其偏誤與</w:t>
      </w:r>
      <w:proofErr w:type="gramEnd"/>
      <w:r>
        <w:rPr>
          <w:rFonts w:eastAsia="Noto Serif CJK TC"/>
          <w:color w:val="1A202C"/>
        </w:rPr>
        <w:t>公平性問題；（</w:t>
      </w:r>
      <w:r>
        <w:rPr>
          <w:rFonts w:eastAsia="Noto Serif CJK TC"/>
          <w:color w:val="1A202C"/>
        </w:rPr>
        <w:t>4</w:t>
      </w:r>
      <w:r>
        <w:rPr>
          <w:rFonts w:eastAsia="Noto Serif CJK TC"/>
          <w:color w:val="1A202C"/>
        </w:rPr>
        <w:t>）</w:t>
      </w:r>
      <w:r>
        <w:rPr>
          <w:rFonts w:eastAsia="Noto Serif CJK TC"/>
          <w:color w:val="1A202C"/>
        </w:rPr>
        <w:t>digital discretion</w:t>
      </w:r>
      <w:r>
        <w:rPr>
          <w:rFonts w:eastAsia="Noto Serif CJK TC"/>
          <w:color w:val="1A202C"/>
        </w:rPr>
        <w:t>，源自</w:t>
      </w:r>
      <w:r>
        <w:rPr>
          <w:rFonts w:eastAsia="Noto Serif CJK TC"/>
          <w:color w:val="1A202C"/>
        </w:rPr>
        <w:t xml:space="preserve"> </w:t>
      </w:r>
      <w:proofErr w:type="spellStart"/>
      <w:r>
        <w:rPr>
          <w:rFonts w:eastAsia="Noto Serif CJK TC"/>
          <w:color w:val="1A202C"/>
        </w:rPr>
        <w:t>Bovens</w:t>
      </w:r>
      <w:proofErr w:type="spellEnd"/>
      <w:r>
        <w:rPr>
          <w:rFonts w:eastAsia="Noto Serif CJK TC"/>
          <w:color w:val="1A202C"/>
        </w:rPr>
        <w:t xml:space="preserve"> </w:t>
      </w:r>
      <w:r>
        <w:rPr>
          <w:rFonts w:eastAsia="Noto Serif CJK TC"/>
          <w:color w:val="1A202C"/>
        </w:rPr>
        <w:t>與</w:t>
      </w:r>
      <w:r>
        <w:rPr>
          <w:rFonts w:eastAsia="Noto Serif CJK TC"/>
          <w:color w:val="1A202C"/>
        </w:rPr>
        <w:t xml:space="preserve"> </w:t>
      </w:r>
      <w:proofErr w:type="spellStart"/>
      <w:r>
        <w:rPr>
          <w:rFonts w:eastAsia="Noto Serif CJK TC"/>
          <w:color w:val="1A202C"/>
        </w:rPr>
        <w:t>Zouridis</w:t>
      </w:r>
      <w:proofErr w:type="spellEnd"/>
      <w:r>
        <w:rPr>
          <w:rFonts w:eastAsia="Noto Serif CJK TC"/>
          <w:color w:val="1A202C"/>
        </w:rPr>
        <w:t>（</w:t>
      </w:r>
      <w:r>
        <w:rPr>
          <w:rFonts w:eastAsia="Noto Serif CJK TC"/>
          <w:color w:val="1A202C"/>
        </w:rPr>
        <w:t>2002</w:t>
      </w:r>
      <w:r>
        <w:rPr>
          <w:rFonts w:eastAsia="Noto Serif CJK TC"/>
          <w:color w:val="1A202C"/>
        </w:rPr>
        <w:t>）對</w:t>
      </w:r>
      <w:r>
        <w:rPr>
          <w:rFonts w:eastAsia="Noto Serif CJK TC"/>
          <w:color w:val="1A202C"/>
        </w:rPr>
        <w:t>「街頭官僚」到「系統官僚」轉型的經典分析，關注裁量如何在資訊系統設計階段被前置決定；（</w:t>
      </w:r>
      <w:r>
        <w:rPr>
          <w:rFonts w:eastAsia="Noto Serif CJK TC"/>
          <w:color w:val="1A202C"/>
        </w:rPr>
        <w:t>5</w:t>
      </w:r>
      <w:r>
        <w:rPr>
          <w:rFonts w:eastAsia="Noto Serif CJK TC"/>
          <w:color w:val="1A202C"/>
        </w:rPr>
        <w:t>）</w:t>
      </w:r>
      <w:r>
        <w:rPr>
          <w:rFonts w:eastAsia="Noto Serif CJK TC"/>
          <w:color w:val="1A202C"/>
        </w:rPr>
        <w:t>accountability</w:t>
      </w:r>
      <w:r>
        <w:rPr>
          <w:rFonts w:eastAsia="Noto Serif CJK TC"/>
          <w:color w:val="1A202C"/>
        </w:rPr>
        <w:t>，探討</w:t>
      </w:r>
      <w:r>
        <w:rPr>
          <w:rFonts w:eastAsia="Noto Serif CJK TC"/>
          <w:color w:val="1A202C"/>
        </w:rPr>
        <w:t xml:space="preserve"> AI </w:t>
      </w:r>
      <w:r>
        <w:rPr>
          <w:rFonts w:eastAsia="Noto Serif CJK TC"/>
          <w:color w:val="1A202C"/>
        </w:rPr>
        <w:t>決策鏈中責任如何配置、</w:t>
      </w:r>
      <w:proofErr w:type="gramStart"/>
      <w:r>
        <w:rPr>
          <w:rFonts w:eastAsia="Noto Serif CJK TC"/>
          <w:color w:val="1A202C"/>
        </w:rPr>
        <w:t>追溯與究責</w:t>
      </w:r>
      <w:proofErr w:type="gramEnd"/>
      <w:r>
        <w:rPr>
          <w:rFonts w:eastAsia="Noto Serif CJK TC"/>
          <w:color w:val="1A202C"/>
        </w:rPr>
        <w:t>，</w:t>
      </w:r>
      <w:proofErr w:type="spellStart"/>
      <w:r>
        <w:rPr>
          <w:rFonts w:eastAsia="Noto Serif CJK TC"/>
          <w:color w:val="1A202C"/>
        </w:rPr>
        <w:t>Busuioc</w:t>
      </w:r>
      <w:proofErr w:type="spellEnd"/>
      <w:r>
        <w:rPr>
          <w:rFonts w:eastAsia="Noto Serif CJK TC"/>
          <w:color w:val="1A202C"/>
        </w:rPr>
        <w:t>（</w:t>
      </w:r>
      <w:r>
        <w:rPr>
          <w:rFonts w:eastAsia="Noto Serif CJK TC"/>
          <w:color w:val="1A202C"/>
        </w:rPr>
        <w:t>2021</w:t>
      </w:r>
      <w:r>
        <w:rPr>
          <w:rFonts w:eastAsia="Noto Serif CJK TC"/>
          <w:color w:val="1A202C"/>
        </w:rPr>
        <w:t>）對「黑箱」</w:t>
      </w:r>
      <w:proofErr w:type="gramStart"/>
      <w:r>
        <w:rPr>
          <w:rFonts w:eastAsia="Noto Serif CJK TC"/>
          <w:color w:val="1A202C"/>
        </w:rPr>
        <w:t>課責困</w:t>
      </w:r>
      <w:proofErr w:type="gramEnd"/>
      <w:r>
        <w:rPr>
          <w:rFonts w:eastAsia="Noto Serif CJK TC"/>
          <w:color w:val="1A202C"/>
        </w:rPr>
        <w:t>境的分析是代表性文獻；（</w:t>
      </w:r>
      <w:r>
        <w:rPr>
          <w:rFonts w:eastAsia="Noto Serif CJK TC"/>
          <w:color w:val="1A202C"/>
        </w:rPr>
        <w:t>6</w:t>
      </w:r>
      <w:r>
        <w:rPr>
          <w:rFonts w:eastAsia="Noto Serif CJK TC"/>
          <w:color w:val="1A202C"/>
        </w:rPr>
        <w:t>）</w:t>
      </w:r>
      <w:r>
        <w:rPr>
          <w:rFonts w:eastAsia="Noto Serif CJK TC"/>
          <w:color w:val="1A202C"/>
        </w:rPr>
        <w:t>administrative law</w:t>
      </w:r>
      <w:r>
        <w:rPr>
          <w:rFonts w:eastAsia="Noto Serif CJK TC"/>
          <w:color w:val="1A202C"/>
        </w:rPr>
        <w:t>，從正當程序、說明理由義務與司法審查角度，檢視自動化決策對既有行政法原則的挑戰，</w:t>
      </w:r>
      <w:r>
        <w:rPr>
          <w:rFonts w:eastAsia="Noto Serif CJK TC"/>
          <w:color w:val="1A202C"/>
        </w:rPr>
        <w:t>Citron</w:t>
      </w:r>
      <w:r>
        <w:rPr>
          <w:rFonts w:eastAsia="Noto Serif CJK TC"/>
          <w:color w:val="1A202C"/>
        </w:rPr>
        <w:t>（</w:t>
      </w:r>
      <w:r>
        <w:rPr>
          <w:rFonts w:eastAsia="Noto Serif CJK TC"/>
          <w:color w:val="1A202C"/>
        </w:rPr>
        <w:t>2008</w:t>
      </w:r>
      <w:r>
        <w:rPr>
          <w:rFonts w:eastAsia="Noto Serif CJK TC"/>
          <w:color w:val="1A202C"/>
        </w:rPr>
        <w:t>）「技術性正當程序」（</w:t>
      </w:r>
      <w:r>
        <w:rPr>
          <w:rFonts w:eastAsia="Noto Serif CJK TC"/>
          <w:color w:val="1A202C"/>
        </w:rPr>
        <w:t>technological due process</w:t>
      </w:r>
      <w:r>
        <w:rPr>
          <w:rFonts w:eastAsia="Noto Serif CJK TC"/>
          <w:color w:val="1A202C"/>
        </w:rPr>
        <w:t>）一文即開啟了這條路徑。需要說明的是，六條路徑的歸納是本文作者依據</w:t>
      </w:r>
      <w:r>
        <w:rPr>
          <w:rFonts w:eastAsia="Noto Serif CJK TC"/>
          <w:color w:val="1A202C"/>
        </w:rPr>
        <w:t>前述文獻的問題意識與分析單位進行之類型化整理，</w:t>
      </w:r>
      <w:proofErr w:type="gramStart"/>
      <w:r>
        <w:rPr>
          <w:rFonts w:eastAsia="Noto Serif CJK TC"/>
          <w:color w:val="1A202C"/>
        </w:rPr>
        <w:t>而非引自</w:t>
      </w:r>
      <w:proofErr w:type="gramEnd"/>
      <w:r>
        <w:rPr>
          <w:rFonts w:eastAsia="Noto Serif CJK TC"/>
          <w:color w:val="1A202C"/>
        </w:rPr>
        <w:t>單一外部系統性文獻回顧；其中路徑（</w:t>
      </w:r>
      <w:r>
        <w:rPr>
          <w:rFonts w:eastAsia="Noto Serif CJK TC"/>
          <w:color w:val="1A202C"/>
        </w:rPr>
        <w:t>4</w:t>
      </w:r>
      <w:r>
        <w:rPr>
          <w:rFonts w:eastAsia="Noto Serif CJK TC"/>
          <w:color w:val="1A202C"/>
        </w:rPr>
        <w:t>）至（</w:t>
      </w:r>
      <w:r>
        <w:rPr>
          <w:rFonts w:eastAsia="Noto Serif CJK TC"/>
          <w:color w:val="1A202C"/>
        </w:rPr>
        <w:t>6</w:t>
      </w:r>
      <w:r>
        <w:rPr>
          <w:rFonts w:eastAsia="Noto Serif CJK TC"/>
          <w:color w:val="1A202C"/>
        </w:rPr>
        <w:t>）已於本文貳、參兩章有具體代表文獻可資對照，路徑（</w:t>
      </w:r>
      <w:r>
        <w:rPr>
          <w:rFonts w:eastAsia="Noto Serif CJK TC"/>
          <w:color w:val="1A202C"/>
        </w:rPr>
        <w:t>1</w:t>
      </w:r>
      <w:r>
        <w:rPr>
          <w:rFonts w:eastAsia="Noto Serif CJK TC"/>
          <w:color w:val="1A202C"/>
        </w:rPr>
        <w:t>）「</w:t>
      </w:r>
      <w:r>
        <w:rPr>
          <w:rFonts w:eastAsia="Noto Serif CJK TC"/>
          <w:color w:val="1A202C"/>
        </w:rPr>
        <w:t>AI as tool</w:t>
      </w:r>
      <w:r>
        <w:rPr>
          <w:rFonts w:eastAsia="Noto Serif CJK TC"/>
          <w:color w:val="1A202C"/>
        </w:rPr>
        <w:t>」與（</w:t>
      </w:r>
      <w:r>
        <w:rPr>
          <w:rFonts w:eastAsia="Noto Serif CJK TC"/>
          <w:color w:val="1A202C"/>
        </w:rPr>
        <w:t>2</w:t>
      </w:r>
      <w:r>
        <w:rPr>
          <w:rFonts w:eastAsia="Noto Serif CJK TC"/>
          <w:color w:val="1A202C"/>
        </w:rPr>
        <w:t>）「</w:t>
      </w:r>
      <w:r>
        <w:rPr>
          <w:rFonts w:eastAsia="Noto Serif CJK TC"/>
          <w:color w:val="1A202C"/>
        </w:rPr>
        <w:t>AI governance</w:t>
      </w:r>
      <w:r>
        <w:rPr>
          <w:rFonts w:eastAsia="Noto Serif CJK TC"/>
          <w:color w:val="1A202C"/>
        </w:rPr>
        <w:t>」則對應範圍較廣的文獻群集，本文未鎖定單一代表作，讀者可將其理解為一個組織既有研究、便於與</w:t>
      </w:r>
      <w:r>
        <w:rPr>
          <w:rFonts w:eastAsia="Noto Serif CJK TC"/>
          <w:color w:val="1A202C"/>
        </w:rPr>
        <w:t xml:space="preserve"> GDA </w:t>
      </w:r>
      <w:r>
        <w:rPr>
          <w:rFonts w:eastAsia="Noto Serif CJK TC"/>
          <w:color w:val="1A202C"/>
        </w:rPr>
        <w:t>模型對照的分析架構，而非</w:t>
      </w:r>
      <w:proofErr w:type="gramStart"/>
      <w:r>
        <w:rPr>
          <w:rFonts w:eastAsia="Noto Serif CJK TC"/>
          <w:color w:val="1A202C"/>
        </w:rPr>
        <w:t>窮盡式的文獻</w:t>
      </w:r>
      <w:proofErr w:type="gramEnd"/>
      <w:r>
        <w:rPr>
          <w:rFonts w:eastAsia="Noto Serif CJK TC"/>
          <w:color w:val="1A202C"/>
        </w:rPr>
        <w:t>分類。</w:t>
      </w:r>
    </w:p>
    <w:p w:rsidR="0003266C" w:rsidRDefault="009E53B5">
      <w:pPr>
        <w:spacing w:after="180" w:line="340" w:lineRule="auto"/>
        <w:jc w:val="both"/>
      </w:pPr>
      <w:r>
        <w:rPr>
          <w:rFonts w:eastAsia="Noto Serif CJK TC"/>
          <w:color w:val="1A202C"/>
        </w:rPr>
        <w:t>這裡需要預先說明本文的文獻選取原則：本文並非系統性文獻回顧，也不主張窮盡</w:t>
      </w:r>
      <w:r>
        <w:rPr>
          <w:rFonts w:eastAsia="Noto Serif CJK TC"/>
          <w:color w:val="1A202C"/>
        </w:rPr>
        <w:t xml:space="preserve"> AI </w:t>
      </w:r>
      <w:r>
        <w:rPr>
          <w:rFonts w:eastAsia="Noto Serif CJK TC"/>
          <w:color w:val="1A202C"/>
        </w:rPr>
        <w:t>與公共行政研究的所有進路；文獻選擇以「能否與</w:t>
      </w:r>
      <w:r>
        <w:rPr>
          <w:rFonts w:eastAsia="Noto Serif CJK TC"/>
          <w:color w:val="1A202C"/>
        </w:rPr>
        <w:t xml:space="preserve"> GDA </w:t>
      </w:r>
      <w:r>
        <w:rPr>
          <w:rFonts w:eastAsia="Noto Serif CJK TC"/>
          <w:color w:val="1A202C"/>
        </w:rPr>
        <w:t>的生成、裁量、權威三層</w:t>
      </w:r>
      <w:r>
        <w:rPr>
          <w:rFonts w:eastAsia="Noto Serif CJK TC"/>
          <w:color w:val="1A202C"/>
        </w:rPr>
        <w:t>直接對話」為原則，每條路徑至少選取一至兩篇具概念代表性的文獻，而非以引用數或資料庫檢索範圍判定代表性。</w:t>
      </w:r>
      <w:r>
        <w:rPr>
          <w:rFonts w:eastAsia="Noto Serif CJK TC"/>
          <w:color w:val="1A202C"/>
        </w:rPr>
        <w:lastRenderedPageBreak/>
        <w:t>六條路徑因此是本文用於理論定位的分析架構，而非對整個領域的完整地圖。</w:t>
      </w:r>
    </w:p>
    <w:p w:rsidR="0003266C" w:rsidRDefault="009E53B5">
      <w:pPr>
        <w:spacing w:after="180" w:line="340" w:lineRule="auto"/>
        <w:jc w:val="both"/>
      </w:pPr>
      <w:r>
        <w:rPr>
          <w:rFonts w:eastAsia="Noto Serif CJK TC"/>
          <w:color w:val="1A202C"/>
        </w:rPr>
        <w:t>下圖具體呈現這六條路徑彼此分散、缺乏對話的狀態，並標示</w:t>
      </w:r>
      <w:r>
        <w:rPr>
          <w:rFonts w:eastAsia="Noto Serif CJK TC"/>
          <w:color w:val="1A202C"/>
        </w:rPr>
        <w:t xml:space="preserve"> GDA </w:t>
      </w:r>
      <w:r>
        <w:rPr>
          <w:rFonts w:eastAsia="Noto Serif CJK TC"/>
          <w:color w:val="1A202C"/>
        </w:rPr>
        <w:t>模型試圖如何串起「生成</w:t>
      </w:r>
      <w:r>
        <w:rPr>
          <w:rFonts w:eastAsia="Noto Serif CJK TC"/>
          <w:color w:val="1A202C"/>
        </w:rPr>
        <w:t>→</w:t>
      </w:r>
      <w:r>
        <w:rPr>
          <w:rFonts w:eastAsia="Noto Serif CJK TC"/>
          <w:color w:val="1A202C"/>
        </w:rPr>
        <w:t>裁量</w:t>
      </w:r>
      <w:r>
        <w:rPr>
          <w:rFonts w:eastAsia="Noto Serif CJK TC"/>
          <w:color w:val="1A202C"/>
        </w:rPr>
        <w:t>→</w:t>
      </w:r>
      <w:r>
        <w:rPr>
          <w:rFonts w:eastAsia="Noto Serif CJK TC"/>
          <w:color w:val="1A202C"/>
        </w:rPr>
        <w:t>權威」因果鏈，貫穿六條路徑各自處理的片段：</w:t>
      </w:r>
    </w:p>
    <w:p w:rsidR="0003266C" w:rsidRDefault="009E53B5">
      <w:pPr>
        <w:spacing w:before="200" w:after="60"/>
        <w:jc w:val="center"/>
      </w:pPr>
      <w:r>
        <w:rPr>
          <w:noProof/>
        </w:rPr>
        <w:drawing>
          <wp:inline distT="0" distB="0" distL="0" distR="0">
            <wp:extent cx="5715000" cy="28575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715000" cy="2857500"/>
                    </a:xfrm>
                    <a:prstGeom prst="rect">
                      <a:avLst/>
                    </a:prstGeom>
                  </pic:spPr>
                </pic:pic>
              </a:graphicData>
            </a:graphic>
          </wp:inline>
        </w:drawing>
      </w:r>
    </w:p>
    <w:p w:rsidR="0003266C" w:rsidRDefault="009E53B5">
      <w:pPr>
        <w:spacing w:before="60" w:after="200"/>
        <w:jc w:val="center"/>
      </w:pPr>
      <w:r>
        <w:rPr>
          <w:rFonts w:ascii="Noto Sans CJK TC" w:eastAsia="Noto Sans CJK TC" w:hAnsi="Noto Sans CJK TC" w:cs="Noto Sans CJK TC"/>
          <w:i/>
          <w:iCs/>
          <w:color w:val="2D3748"/>
          <w:sz w:val="20"/>
          <w:szCs w:val="20"/>
        </w:rPr>
        <w:t>圖</w:t>
      </w:r>
      <w:r>
        <w:rPr>
          <w:rFonts w:ascii="Noto Sans CJK TC" w:eastAsia="Noto Sans CJK TC" w:hAnsi="Noto Sans CJK TC" w:cs="Noto Sans CJK TC"/>
          <w:i/>
          <w:iCs/>
          <w:color w:val="2D3748"/>
          <w:sz w:val="20"/>
          <w:szCs w:val="20"/>
        </w:rPr>
        <w:t>2</w:t>
      </w:r>
      <w:r>
        <w:rPr>
          <w:rFonts w:ascii="Noto Sans CJK TC" w:eastAsia="Noto Sans CJK TC" w:hAnsi="Noto Sans CJK TC" w:cs="Noto Sans CJK TC"/>
          <w:i/>
          <w:iCs/>
          <w:color w:val="2D3748"/>
          <w:sz w:val="20"/>
          <w:szCs w:val="20"/>
        </w:rPr>
        <w:t xml:space="preserve">　既有六條研究路徑：分散狀態與</w:t>
      </w:r>
      <w:r>
        <w:rPr>
          <w:rFonts w:ascii="Noto Sans CJK TC" w:eastAsia="Noto Sans CJK TC" w:hAnsi="Noto Sans CJK TC" w:cs="Noto Sans CJK TC"/>
          <w:i/>
          <w:iCs/>
          <w:color w:val="2D3748"/>
          <w:sz w:val="20"/>
          <w:szCs w:val="20"/>
        </w:rPr>
        <w:t xml:space="preserve"> GDA </w:t>
      </w:r>
      <w:r>
        <w:rPr>
          <w:rFonts w:ascii="Noto Sans CJK TC" w:eastAsia="Noto Sans CJK TC" w:hAnsi="Noto Sans CJK TC" w:cs="Noto Sans CJK TC"/>
          <w:i/>
          <w:iCs/>
          <w:color w:val="2D3748"/>
          <w:sz w:val="20"/>
          <w:szCs w:val="20"/>
        </w:rPr>
        <w:t>模型的整合位置</w:t>
      </w:r>
    </w:p>
    <w:p w:rsidR="0003266C" w:rsidRDefault="009E53B5">
      <w:pPr>
        <w:pStyle w:val="2"/>
        <w:spacing w:before="280" w:after="140" w:line="340" w:lineRule="auto"/>
      </w:pPr>
      <w:r>
        <w:rPr>
          <w:rFonts w:ascii="Noto Sans CJK TC" w:eastAsia="Noto Sans CJK TC" w:hAnsi="Noto Sans CJK TC" w:cs="Noto Sans CJK TC"/>
          <w:b/>
          <w:bCs/>
          <w:color w:val="1A365D"/>
          <w:sz w:val="27"/>
          <w:szCs w:val="27"/>
        </w:rPr>
        <w:t>三、問題不在「沒有研究</w:t>
      </w:r>
      <w:r>
        <w:rPr>
          <w:rFonts w:ascii="Noto Sans CJK TC" w:eastAsia="Noto Sans CJK TC" w:hAnsi="Noto Sans CJK TC" w:cs="Noto Sans CJK TC"/>
          <w:b/>
          <w:bCs/>
          <w:color w:val="1A365D"/>
          <w:sz w:val="27"/>
          <w:szCs w:val="27"/>
        </w:rPr>
        <w:t xml:space="preserve"> AI</w:t>
      </w:r>
      <w:r>
        <w:rPr>
          <w:rFonts w:ascii="Noto Sans CJK TC" w:eastAsia="Noto Sans CJK TC" w:hAnsi="Noto Sans CJK TC" w:cs="Noto Sans CJK TC"/>
          <w:b/>
          <w:bCs/>
          <w:color w:val="1A365D"/>
          <w:sz w:val="27"/>
          <w:szCs w:val="27"/>
        </w:rPr>
        <w:t>」</w:t>
      </w:r>
    </w:p>
    <w:p w:rsidR="0003266C" w:rsidRDefault="009E53B5">
      <w:pPr>
        <w:pBdr>
          <w:left w:val="single" w:sz="12" w:space="8" w:color="2C5282"/>
        </w:pBdr>
        <w:spacing w:before="100" w:after="180" w:line="340" w:lineRule="auto"/>
        <w:ind w:left="400"/>
      </w:pPr>
      <w:r>
        <w:rPr>
          <w:rFonts w:eastAsia="Noto Serif CJK TC"/>
          <w:i/>
          <w:iCs/>
          <w:color w:val="2C5282"/>
        </w:rPr>
        <w:t>問題不在於沒有研究</w:t>
      </w:r>
      <w:r>
        <w:rPr>
          <w:rFonts w:eastAsia="Noto Serif CJK TC"/>
          <w:i/>
          <w:iCs/>
          <w:color w:val="2C5282"/>
        </w:rPr>
        <w:t xml:space="preserve"> AI</w:t>
      </w:r>
      <w:r>
        <w:rPr>
          <w:rFonts w:eastAsia="Noto Serif CJK TC"/>
          <w:i/>
          <w:iCs/>
          <w:color w:val="2C5282"/>
        </w:rPr>
        <w:t>，而在於不同研究傳統沒有共同回答「行政結果如何生成、裁量如何分布、公共權威如何維持</w:t>
      </w:r>
      <w:r>
        <w:rPr>
          <w:rFonts w:eastAsia="Noto Serif CJK TC"/>
          <w:i/>
          <w:iCs/>
          <w:color w:val="2C5282"/>
        </w:rPr>
        <w:t>」三個問題。</w:t>
      </w:r>
    </w:p>
    <w:p w:rsidR="0003266C" w:rsidRDefault="009E53B5">
      <w:pPr>
        <w:spacing w:after="180" w:line="340" w:lineRule="auto"/>
        <w:jc w:val="both"/>
      </w:pPr>
      <w:r>
        <w:rPr>
          <w:rFonts w:eastAsia="Noto Serif CJK TC"/>
          <w:color w:val="1A202C"/>
        </w:rPr>
        <w:t>六條路徑各自累積了扎實的成果，但在本文檢視的代表性文獻範圍內，較少見到同一篇文獻同時處理生成、裁量、權威三個環節：一篇處理</w:t>
      </w:r>
      <w:proofErr w:type="gramStart"/>
      <w:r>
        <w:rPr>
          <w:rFonts w:eastAsia="Noto Serif CJK TC"/>
          <w:color w:val="1A202C"/>
        </w:rPr>
        <w:t>演算法問責的</w:t>
      </w:r>
      <w:proofErr w:type="gramEnd"/>
      <w:r>
        <w:rPr>
          <w:rFonts w:eastAsia="Noto Serif CJK TC"/>
          <w:color w:val="1A202C"/>
        </w:rPr>
        <w:t>論文，未必會處理裁量前移的問題；一篇分析數位裁量的論文，也未必會處理公共權威的制度性回應。</w:t>
      </w:r>
      <w:r>
        <w:rPr>
          <w:rFonts w:eastAsia="Noto Serif CJK TC"/>
          <w:color w:val="1A202C"/>
        </w:rPr>
        <w:t xml:space="preserve">GDA </w:t>
      </w:r>
      <w:r>
        <w:rPr>
          <w:rFonts w:eastAsia="Noto Serif CJK TC"/>
          <w:color w:val="1A202C"/>
        </w:rPr>
        <w:t>模型主張，這種分散狀態並非因為研究者忽略了</w:t>
      </w:r>
      <w:r>
        <w:rPr>
          <w:rFonts w:eastAsia="Noto Serif CJK TC"/>
          <w:color w:val="1A202C"/>
        </w:rPr>
        <w:t xml:space="preserve"> AI</w:t>
      </w:r>
      <w:r>
        <w:rPr>
          <w:rFonts w:eastAsia="Noto Serif CJK TC"/>
          <w:color w:val="1A202C"/>
        </w:rPr>
        <w:t>，而是因為既有的分析單位本身彼此不相容</w:t>
      </w:r>
      <w:proofErr w:type="gramStart"/>
      <w:r>
        <w:rPr>
          <w:rFonts w:eastAsia="Noto Serif CJK TC"/>
          <w:color w:val="1A202C"/>
        </w:rPr>
        <w:t>—</w:t>
      </w:r>
      <w:proofErr w:type="gramEnd"/>
      <w:r>
        <w:rPr>
          <w:rFonts w:eastAsia="Noto Serif CJK TC"/>
          <w:color w:val="1A202C"/>
        </w:rPr>
        <w:t>—</w:t>
      </w:r>
      <w:r>
        <w:rPr>
          <w:rFonts w:eastAsia="Noto Serif CJK TC"/>
          <w:color w:val="1A202C"/>
        </w:rPr>
        <w:t>工具論停留在採用層次、治理論停留在制度層次、</w:t>
      </w:r>
      <w:proofErr w:type="gramStart"/>
      <w:r>
        <w:rPr>
          <w:rFonts w:eastAsia="Noto Serif CJK TC"/>
          <w:color w:val="1A202C"/>
        </w:rPr>
        <w:t>裁量論停</w:t>
      </w:r>
      <w:proofErr w:type="gramEnd"/>
      <w:r>
        <w:rPr>
          <w:rFonts w:eastAsia="Noto Serif CJK TC"/>
          <w:color w:val="1A202C"/>
        </w:rPr>
        <w:t>留在決策點層次、</w:t>
      </w:r>
      <w:proofErr w:type="gramStart"/>
      <w:r>
        <w:rPr>
          <w:rFonts w:eastAsia="Noto Serif CJK TC"/>
          <w:color w:val="1A202C"/>
        </w:rPr>
        <w:t>問責</w:t>
      </w:r>
      <w:proofErr w:type="gramEnd"/>
      <w:r>
        <w:rPr>
          <w:rFonts w:eastAsia="Noto Serif CJK TC"/>
          <w:color w:val="1A202C"/>
        </w:rPr>
        <w:t>論停留在責任鏈層次、行政法論停留在規範審查層次，五者各自為政，缺乏一個能同時貫穿生成、裁量與權威三個環節</w:t>
      </w:r>
      <w:r>
        <w:rPr>
          <w:rFonts w:eastAsia="Noto Serif CJK TC"/>
          <w:color w:val="1A202C"/>
        </w:rPr>
        <w:t>的整合視角。</w:t>
      </w:r>
    </w:p>
    <w:p w:rsidR="0003266C" w:rsidRDefault="009E53B5">
      <w:pPr>
        <w:pStyle w:val="2"/>
        <w:spacing w:before="280" w:after="140" w:line="340" w:lineRule="auto"/>
      </w:pPr>
      <w:r>
        <w:rPr>
          <w:rFonts w:ascii="Noto Sans CJK TC" w:eastAsia="Noto Sans CJK TC" w:hAnsi="Noto Sans CJK TC" w:cs="Noto Sans CJK TC"/>
          <w:b/>
          <w:bCs/>
          <w:color w:val="1A365D"/>
          <w:sz w:val="27"/>
          <w:szCs w:val="27"/>
        </w:rPr>
        <w:t>四、本文目的與研究問題</w:t>
      </w:r>
    </w:p>
    <w:p w:rsidR="0003266C" w:rsidRDefault="009E53B5">
      <w:pPr>
        <w:spacing w:after="180" w:line="340" w:lineRule="auto"/>
        <w:jc w:val="both"/>
      </w:pPr>
      <w:r>
        <w:rPr>
          <w:rFonts w:eastAsia="Noto Serif CJK TC"/>
          <w:color w:val="1A202C"/>
        </w:rPr>
        <w:t>本文的目的，不是再一次論證</w:t>
      </w:r>
      <w:r>
        <w:rPr>
          <w:rFonts w:eastAsia="Noto Serif CJK TC"/>
          <w:color w:val="1A202C"/>
        </w:rPr>
        <w:t xml:space="preserve"> GDA </w:t>
      </w:r>
      <w:r>
        <w:rPr>
          <w:rFonts w:eastAsia="Noto Serif CJK TC"/>
          <w:color w:val="1A202C"/>
        </w:rPr>
        <w:t>模型本身的內部一致性</w:t>
      </w:r>
      <w:proofErr w:type="gramStart"/>
      <w:r>
        <w:rPr>
          <w:rFonts w:eastAsia="Noto Serif CJK TC"/>
          <w:color w:val="1A202C"/>
        </w:rPr>
        <w:t>—</w:t>
      </w:r>
      <w:proofErr w:type="gramEnd"/>
      <w:r>
        <w:rPr>
          <w:rFonts w:eastAsia="Noto Serif CJK TC"/>
          <w:color w:val="1A202C"/>
        </w:rPr>
        <w:t>—</w:t>
      </w:r>
      <w:r>
        <w:rPr>
          <w:rFonts w:eastAsia="Noto Serif CJK TC"/>
          <w:color w:val="1A202C"/>
        </w:rPr>
        <w:t>那是既有工作稿已經完成的工作，也不是本文的任務</w:t>
      </w:r>
      <w:r>
        <w:rPr>
          <w:rFonts w:eastAsia="Noto Serif CJK TC"/>
          <w:color w:val="1A202C"/>
        </w:rPr>
        <w:t>——</w:t>
      </w:r>
      <w:r>
        <w:rPr>
          <w:rFonts w:eastAsia="Noto Serif CJK TC"/>
          <w:color w:val="1A202C"/>
        </w:rPr>
        <w:t>而是把</w:t>
      </w:r>
      <w:r>
        <w:rPr>
          <w:rFonts w:eastAsia="Noto Serif CJK TC"/>
          <w:color w:val="1A202C"/>
        </w:rPr>
        <w:t xml:space="preserve"> GDA </w:t>
      </w:r>
      <w:r>
        <w:rPr>
          <w:rFonts w:eastAsia="Noto Serif CJK TC"/>
          <w:color w:val="1A202C"/>
        </w:rPr>
        <w:t>模型放進上述六條國際研究路徑所構成的學術地圖中，確認它的座標位置：它填補了哪些既有理論的空白？它與哪些既有理論高度重疊、因而需要說明差異何在？它又留下了哪些既有理論已經處理、但</w:t>
      </w:r>
      <w:r>
        <w:rPr>
          <w:rFonts w:eastAsia="Noto Serif CJK TC"/>
          <w:color w:val="1A202C"/>
        </w:rPr>
        <w:t xml:space="preserve"> GDA </w:t>
      </w:r>
      <w:r>
        <w:rPr>
          <w:rFonts w:eastAsia="Noto Serif CJK TC"/>
          <w:color w:val="1A202C"/>
        </w:rPr>
        <w:t>模型尚未涵蓋的問題？循此，本文</w:t>
      </w:r>
      <w:r>
        <w:rPr>
          <w:rFonts w:eastAsia="Noto Serif CJK TC"/>
          <w:color w:val="1A202C"/>
        </w:rPr>
        <w:lastRenderedPageBreak/>
        <w:t>提出以下研究問題：</w:t>
      </w:r>
    </w:p>
    <w:p w:rsidR="0003266C" w:rsidRDefault="009E53B5">
      <w:pPr>
        <w:pStyle w:val="a4"/>
        <w:numPr>
          <w:ilvl w:val="0"/>
          <w:numId w:val="1"/>
        </w:numPr>
        <w:spacing w:after="100" w:line="320" w:lineRule="auto"/>
        <w:ind w:left="400"/>
      </w:pPr>
      <w:r>
        <w:rPr>
          <w:rFonts w:eastAsia="Noto Serif CJK TC"/>
          <w:color w:val="1A202C"/>
        </w:rPr>
        <w:t>RQ1</w:t>
      </w:r>
      <w:r>
        <w:rPr>
          <w:rFonts w:eastAsia="Noto Serif CJK TC"/>
          <w:color w:val="1A202C"/>
        </w:rPr>
        <w:t xml:space="preserve">　現有</w:t>
      </w:r>
      <w:r>
        <w:rPr>
          <w:rFonts w:eastAsia="Noto Serif CJK TC"/>
          <w:color w:val="1A202C"/>
        </w:rPr>
        <w:t xml:space="preserve"> AI</w:t>
      </w:r>
      <w:r>
        <w:rPr>
          <w:rFonts w:eastAsia="Noto Serif CJK TC"/>
          <w:color w:val="1A202C"/>
        </w:rPr>
        <w:t>／公共行政研究主要如何理解</w:t>
      </w:r>
      <w:r>
        <w:rPr>
          <w:rFonts w:eastAsia="Noto Serif CJK TC"/>
          <w:color w:val="1A202C"/>
        </w:rPr>
        <w:t xml:space="preserve"> AI </w:t>
      </w:r>
      <w:r>
        <w:rPr>
          <w:rFonts w:eastAsia="Noto Serif CJK TC"/>
          <w:color w:val="1A202C"/>
        </w:rPr>
        <w:t>對行政行動的影響？</w:t>
      </w:r>
    </w:p>
    <w:p w:rsidR="0003266C" w:rsidRDefault="009E53B5">
      <w:pPr>
        <w:pStyle w:val="a4"/>
        <w:numPr>
          <w:ilvl w:val="0"/>
          <w:numId w:val="1"/>
        </w:numPr>
        <w:spacing w:after="100" w:line="320" w:lineRule="auto"/>
        <w:ind w:left="400"/>
      </w:pPr>
      <w:r>
        <w:rPr>
          <w:rFonts w:eastAsia="Noto Serif CJK TC"/>
          <w:color w:val="1A202C"/>
        </w:rPr>
        <w:t>RQ2</w:t>
      </w:r>
      <w:r>
        <w:rPr>
          <w:rFonts w:eastAsia="Noto Serif CJK TC"/>
          <w:color w:val="1A202C"/>
        </w:rPr>
        <w:t xml:space="preserve">　</w:t>
      </w:r>
      <w:r>
        <w:rPr>
          <w:rFonts w:eastAsia="Noto Serif CJK TC"/>
          <w:color w:val="1A202C"/>
        </w:rPr>
        <w:t>Zhu</w:t>
      </w:r>
      <w:r>
        <w:rPr>
          <w:rFonts w:eastAsia="Noto Serif CJK TC"/>
          <w:color w:val="1A202C"/>
        </w:rPr>
        <w:t>（</w:t>
      </w:r>
      <w:r>
        <w:rPr>
          <w:rFonts w:eastAsia="Noto Serif CJK TC"/>
          <w:color w:val="1A202C"/>
        </w:rPr>
        <w:t>2026</w:t>
      </w:r>
      <w:r>
        <w:rPr>
          <w:rFonts w:eastAsia="Noto Serif CJK TC"/>
          <w:color w:val="1A202C"/>
        </w:rPr>
        <w:t>）的</w:t>
      </w:r>
      <w:r>
        <w:rPr>
          <w:rFonts w:eastAsia="Noto Serif CJK TC"/>
          <w:color w:val="1A202C"/>
        </w:rPr>
        <w:t xml:space="preserve"> with </w:t>
      </w:r>
      <w:r>
        <w:rPr>
          <w:rFonts w:eastAsia="Noto Serif CJK TC"/>
          <w:color w:val="1A202C"/>
        </w:rPr>
        <w:t>AI</w:t>
      </w:r>
      <w:r>
        <w:rPr>
          <w:rFonts w:eastAsia="Noto Serif CJK TC"/>
          <w:color w:val="1A202C"/>
        </w:rPr>
        <w:t>／</w:t>
      </w:r>
      <w:r>
        <w:rPr>
          <w:rFonts w:eastAsia="Noto Serif CJK TC"/>
          <w:color w:val="1A202C"/>
        </w:rPr>
        <w:t>of AI</w:t>
      </w:r>
      <w:r>
        <w:rPr>
          <w:rFonts w:eastAsia="Noto Serif CJK TC"/>
          <w:color w:val="1A202C"/>
        </w:rPr>
        <w:t>／</w:t>
      </w:r>
      <w:r>
        <w:rPr>
          <w:rFonts w:eastAsia="Noto Serif CJK TC"/>
          <w:color w:val="1A202C"/>
        </w:rPr>
        <w:t xml:space="preserve">through AI </w:t>
      </w:r>
      <w:r>
        <w:rPr>
          <w:rFonts w:eastAsia="Noto Serif CJK TC"/>
          <w:color w:val="1A202C"/>
        </w:rPr>
        <w:t>分類，能解釋哪些問題，又留下哪些理論空間？</w:t>
      </w:r>
    </w:p>
    <w:p w:rsidR="0003266C" w:rsidRDefault="009E53B5">
      <w:pPr>
        <w:pStyle w:val="a4"/>
        <w:numPr>
          <w:ilvl w:val="0"/>
          <w:numId w:val="1"/>
        </w:numPr>
        <w:spacing w:after="100" w:line="320" w:lineRule="auto"/>
        <w:ind w:left="400"/>
      </w:pPr>
      <w:r>
        <w:rPr>
          <w:rFonts w:eastAsia="Noto Serif CJK TC"/>
          <w:color w:val="1A202C"/>
        </w:rPr>
        <w:t>RQ3</w:t>
      </w:r>
      <w:r>
        <w:rPr>
          <w:rFonts w:eastAsia="Noto Serif CJK TC"/>
          <w:color w:val="1A202C"/>
        </w:rPr>
        <w:t xml:space="preserve">　</w:t>
      </w:r>
      <w:proofErr w:type="spellStart"/>
      <w:r>
        <w:rPr>
          <w:rFonts w:eastAsia="Noto Serif CJK TC"/>
          <w:color w:val="1A202C"/>
        </w:rPr>
        <w:t>Criado</w:t>
      </w:r>
      <w:proofErr w:type="spellEnd"/>
      <w:r>
        <w:rPr>
          <w:rFonts w:eastAsia="Noto Serif CJK TC"/>
          <w:color w:val="1A202C"/>
        </w:rPr>
        <w:t xml:space="preserve"> </w:t>
      </w:r>
      <w:r>
        <w:rPr>
          <w:rFonts w:eastAsia="Noto Serif CJK TC"/>
          <w:color w:val="1A202C"/>
        </w:rPr>
        <w:t>等人（</w:t>
      </w:r>
      <w:r>
        <w:rPr>
          <w:rFonts w:eastAsia="Noto Serif CJK TC"/>
          <w:color w:val="1A202C"/>
        </w:rPr>
        <w:t>2025</w:t>
      </w:r>
      <w:r>
        <w:rPr>
          <w:rFonts w:eastAsia="Noto Serif CJK TC"/>
          <w:color w:val="1A202C"/>
        </w:rPr>
        <w:t>）的宏觀／</w:t>
      </w:r>
      <w:proofErr w:type="gramStart"/>
      <w:r>
        <w:rPr>
          <w:rFonts w:eastAsia="Noto Serif CJK TC"/>
          <w:color w:val="1A202C"/>
        </w:rPr>
        <w:t>中觀</w:t>
      </w:r>
      <w:proofErr w:type="gramEnd"/>
      <w:r>
        <w:rPr>
          <w:rFonts w:eastAsia="Noto Serif CJK TC"/>
          <w:color w:val="1A202C"/>
        </w:rPr>
        <w:t>／微觀分析，與</w:t>
      </w:r>
      <w:r>
        <w:rPr>
          <w:rFonts w:eastAsia="Noto Serif CJK TC"/>
          <w:color w:val="1A202C"/>
        </w:rPr>
        <w:t xml:space="preserve"> GDA </w:t>
      </w:r>
      <w:r>
        <w:rPr>
          <w:rFonts w:eastAsia="Noto Serif CJK TC"/>
          <w:color w:val="1A202C"/>
        </w:rPr>
        <w:t>模型的</w:t>
      </w:r>
      <w:r>
        <w:rPr>
          <w:rFonts w:eastAsia="Noto Serif CJK TC"/>
          <w:color w:val="1A202C"/>
        </w:rPr>
        <w:t xml:space="preserve"> DAA</w:t>
      </w:r>
      <w:r>
        <w:rPr>
          <w:rFonts w:eastAsia="Noto Serif CJK TC"/>
          <w:color w:val="1A202C"/>
        </w:rPr>
        <w:t>、</w:t>
      </w:r>
      <w:proofErr w:type="gramStart"/>
      <w:r>
        <w:rPr>
          <w:rFonts w:eastAsia="Noto Serif CJK TC"/>
          <w:color w:val="1A202C"/>
        </w:rPr>
        <w:t>裁量</w:t>
      </w:r>
      <w:proofErr w:type="gramEnd"/>
      <w:r>
        <w:rPr>
          <w:rFonts w:eastAsia="Noto Serif CJK TC"/>
          <w:color w:val="1A202C"/>
        </w:rPr>
        <w:t>場、</w:t>
      </w:r>
      <w:r>
        <w:rPr>
          <w:rFonts w:eastAsia="Noto Serif CJK TC"/>
          <w:color w:val="1A202C"/>
        </w:rPr>
        <w:t xml:space="preserve">UCPR </w:t>
      </w:r>
      <w:r>
        <w:rPr>
          <w:rFonts w:eastAsia="Noto Serif CJK TC"/>
          <w:color w:val="1A202C"/>
        </w:rPr>
        <w:t>分別如何對應？</w:t>
      </w:r>
    </w:p>
    <w:p w:rsidR="0003266C" w:rsidRDefault="009E53B5">
      <w:pPr>
        <w:pStyle w:val="a4"/>
        <w:numPr>
          <w:ilvl w:val="0"/>
          <w:numId w:val="1"/>
        </w:numPr>
        <w:spacing w:after="100" w:line="320" w:lineRule="auto"/>
        <w:ind w:left="400"/>
      </w:pPr>
      <w:r>
        <w:rPr>
          <w:rFonts w:eastAsia="Noto Serif CJK TC"/>
          <w:color w:val="1A202C"/>
        </w:rPr>
        <w:t>RQ4</w:t>
      </w:r>
      <w:r>
        <w:rPr>
          <w:rFonts w:eastAsia="Noto Serif CJK TC"/>
          <w:color w:val="1A202C"/>
        </w:rPr>
        <w:t xml:space="preserve">　</w:t>
      </w:r>
      <w:r>
        <w:rPr>
          <w:rFonts w:eastAsia="Noto Serif CJK TC"/>
          <w:color w:val="1A202C"/>
        </w:rPr>
        <w:t xml:space="preserve">GDA </w:t>
      </w:r>
      <w:r>
        <w:rPr>
          <w:rFonts w:eastAsia="Noto Serif CJK TC"/>
          <w:color w:val="1A202C"/>
        </w:rPr>
        <w:t>模型與既有</w:t>
      </w:r>
      <w:r>
        <w:rPr>
          <w:rFonts w:eastAsia="Noto Serif CJK TC"/>
          <w:color w:val="1A202C"/>
        </w:rPr>
        <w:t xml:space="preserve"> AI </w:t>
      </w:r>
      <w:r>
        <w:rPr>
          <w:rFonts w:eastAsia="Noto Serif CJK TC"/>
          <w:color w:val="1A202C"/>
        </w:rPr>
        <w:t>行政、演算法治理、數位裁量、公共管理及行政法研究相比，新增的是什麼？</w:t>
      </w:r>
    </w:p>
    <w:p w:rsidR="0003266C" w:rsidRDefault="009E53B5">
      <w:pPr>
        <w:pStyle w:val="a4"/>
        <w:numPr>
          <w:ilvl w:val="0"/>
          <w:numId w:val="1"/>
        </w:numPr>
        <w:spacing w:after="100" w:line="320" w:lineRule="auto"/>
        <w:ind w:left="400"/>
      </w:pPr>
      <w:r>
        <w:rPr>
          <w:rFonts w:eastAsia="Noto Serif CJK TC"/>
          <w:color w:val="1A202C"/>
        </w:rPr>
        <w:t>RQ5</w:t>
      </w:r>
      <w:r>
        <w:rPr>
          <w:rFonts w:eastAsia="Noto Serif CJK TC"/>
          <w:color w:val="1A202C"/>
        </w:rPr>
        <w:t xml:space="preserve">　「生成</w:t>
      </w:r>
      <w:proofErr w:type="gramStart"/>
      <w:r>
        <w:rPr>
          <w:rFonts w:eastAsia="Noto Serif CJK TC"/>
          <w:color w:val="1A202C"/>
        </w:rPr>
        <w:t>—</w:t>
      </w:r>
      <w:proofErr w:type="gramEnd"/>
      <w:r>
        <w:rPr>
          <w:rFonts w:eastAsia="Noto Serif CJK TC"/>
          <w:color w:val="1A202C"/>
        </w:rPr>
        <w:t>裁量</w:t>
      </w:r>
      <w:r>
        <w:rPr>
          <w:rFonts w:eastAsia="Noto Serif CJK TC"/>
          <w:color w:val="1A202C"/>
        </w:rPr>
        <w:t>—</w:t>
      </w:r>
      <w:r>
        <w:rPr>
          <w:rFonts w:eastAsia="Noto Serif CJK TC"/>
          <w:color w:val="1A202C"/>
        </w:rPr>
        <w:t>權威」是否可以被定位為一種跨層次的中層理論架構？</w:t>
      </w:r>
    </w:p>
    <w:p w:rsidR="0003266C" w:rsidRDefault="009E53B5">
      <w:pPr>
        <w:pStyle w:val="1"/>
        <w:spacing w:before="360" w:after="200" w:line="360" w:lineRule="auto"/>
      </w:pPr>
      <w:r>
        <w:rPr>
          <w:rFonts w:ascii="Noto Sans CJK TC" w:eastAsia="Noto Sans CJK TC" w:hAnsi="Noto Sans CJK TC" w:cs="Noto Sans CJK TC"/>
          <w:b/>
          <w:bCs/>
          <w:color w:val="1A365D"/>
        </w:rPr>
        <w:t>貳、國際</w:t>
      </w:r>
      <w:r>
        <w:rPr>
          <w:rFonts w:ascii="Noto Sans CJK TC" w:eastAsia="Noto Sans CJK TC" w:hAnsi="Noto Sans CJK TC" w:cs="Noto Sans CJK TC"/>
          <w:b/>
          <w:bCs/>
          <w:color w:val="1A365D"/>
        </w:rPr>
        <w:t xml:space="preserve"> AI </w:t>
      </w:r>
      <w:r>
        <w:rPr>
          <w:rFonts w:ascii="Noto Sans CJK TC" w:eastAsia="Noto Sans CJK TC" w:hAnsi="Noto Sans CJK TC" w:cs="Noto Sans CJK TC"/>
          <w:b/>
          <w:bCs/>
          <w:color w:val="1A365D"/>
        </w:rPr>
        <w:t>公共行政研究的主要理論路徑</w:t>
      </w:r>
    </w:p>
    <w:p w:rsidR="0003266C" w:rsidRDefault="009E53B5">
      <w:pPr>
        <w:pStyle w:val="2"/>
        <w:spacing w:before="280" w:after="140" w:line="340" w:lineRule="auto"/>
      </w:pPr>
      <w:r>
        <w:rPr>
          <w:rFonts w:ascii="Noto Sans CJK TC" w:eastAsia="Noto Sans CJK TC" w:hAnsi="Noto Sans CJK TC" w:cs="Noto Sans CJK TC"/>
          <w:b/>
          <w:bCs/>
          <w:color w:val="1A365D"/>
          <w:sz w:val="27"/>
          <w:szCs w:val="27"/>
        </w:rPr>
        <w:t>一、</w:t>
      </w:r>
      <w:r>
        <w:rPr>
          <w:rFonts w:ascii="Noto Sans CJK TC" w:eastAsia="Noto Sans CJK TC" w:hAnsi="Noto Sans CJK TC" w:cs="Noto Sans CJK TC"/>
          <w:b/>
          <w:bCs/>
          <w:color w:val="1A365D"/>
          <w:sz w:val="27"/>
          <w:szCs w:val="27"/>
        </w:rPr>
        <w:t>AI</w:t>
      </w:r>
      <w:r>
        <w:rPr>
          <w:rFonts w:ascii="Noto Sans CJK TC" w:eastAsia="Noto Sans CJK TC" w:hAnsi="Noto Sans CJK TC" w:cs="Noto Sans CJK TC"/>
          <w:b/>
          <w:bCs/>
          <w:color w:val="1A365D"/>
          <w:sz w:val="27"/>
          <w:szCs w:val="27"/>
        </w:rPr>
        <w:t>「</w:t>
      </w:r>
      <w:r>
        <w:rPr>
          <w:rFonts w:ascii="Noto Sans CJK TC" w:eastAsia="Noto Sans CJK TC" w:hAnsi="Noto Sans CJK TC" w:cs="Noto Sans CJK TC"/>
          <w:b/>
          <w:bCs/>
          <w:color w:val="1A365D"/>
          <w:sz w:val="27"/>
          <w:szCs w:val="27"/>
        </w:rPr>
        <w:t>with</w:t>
      </w:r>
      <w:r>
        <w:rPr>
          <w:rFonts w:ascii="Noto Sans CJK TC" w:eastAsia="Noto Sans CJK TC" w:hAnsi="Noto Sans CJK TC" w:cs="Noto Sans CJK TC"/>
          <w:b/>
          <w:bCs/>
          <w:color w:val="1A365D"/>
          <w:sz w:val="27"/>
          <w:szCs w:val="27"/>
        </w:rPr>
        <w:t>／</w:t>
      </w:r>
      <w:r>
        <w:rPr>
          <w:rFonts w:ascii="Noto Sans CJK TC" w:eastAsia="Noto Sans CJK TC" w:hAnsi="Noto Sans CJK TC" w:cs="Noto Sans CJK TC"/>
          <w:b/>
          <w:bCs/>
          <w:color w:val="1A365D"/>
          <w:sz w:val="27"/>
          <w:szCs w:val="27"/>
        </w:rPr>
        <w:t>of</w:t>
      </w:r>
      <w:r>
        <w:rPr>
          <w:rFonts w:ascii="Noto Sans CJK TC" w:eastAsia="Noto Sans CJK TC" w:hAnsi="Noto Sans CJK TC" w:cs="Noto Sans CJK TC"/>
          <w:b/>
          <w:bCs/>
          <w:color w:val="1A365D"/>
          <w:sz w:val="27"/>
          <w:szCs w:val="27"/>
        </w:rPr>
        <w:t>／</w:t>
      </w:r>
      <w:r>
        <w:rPr>
          <w:rFonts w:ascii="Noto Sans CJK TC" w:eastAsia="Noto Sans CJK TC" w:hAnsi="Noto Sans CJK TC" w:cs="Noto Sans CJK TC"/>
          <w:b/>
          <w:bCs/>
          <w:color w:val="1A365D"/>
          <w:sz w:val="27"/>
          <w:szCs w:val="27"/>
        </w:rPr>
        <w:t>through</w:t>
      </w:r>
      <w:r>
        <w:rPr>
          <w:rFonts w:ascii="Noto Sans CJK TC" w:eastAsia="Noto Sans CJK TC" w:hAnsi="Noto Sans CJK TC" w:cs="Noto Sans CJK TC"/>
          <w:b/>
          <w:bCs/>
          <w:color w:val="1A365D"/>
          <w:sz w:val="27"/>
          <w:szCs w:val="27"/>
        </w:rPr>
        <w:t>」公共行政</w:t>
      </w:r>
    </w:p>
    <w:p w:rsidR="0003266C" w:rsidRDefault="009E53B5">
      <w:pPr>
        <w:spacing w:after="180" w:line="340" w:lineRule="auto"/>
        <w:jc w:val="both"/>
      </w:pPr>
      <w:r>
        <w:rPr>
          <w:rFonts w:eastAsia="Noto Serif CJK TC"/>
          <w:color w:val="1A202C"/>
        </w:rPr>
        <w:t>Zhu</w:t>
      </w:r>
      <w:r>
        <w:rPr>
          <w:rFonts w:eastAsia="Noto Serif CJK TC"/>
          <w:color w:val="1A202C"/>
        </w:rPr>
        <w:t>（</w:t>
      </w:r>
      <w:r>
        <w:rPr>
          <w:rFonts w:eastAsia="Noto Serif CJK TC"/>
          <w:color w:val="1A202C"/>
        </w:rPr>
        <w:t>2026</w:t>
      </w:r>
      <w:r>
        <w:rPr>
          <w:rFonts w:eastAsia="Noto Serif CJK TC"/>
          <w:color w:val="1A202C"/>
        </w:rPr>
        <w:t>）在《</w:t>
      </w:r>
      <w:r>
        <w:rPr>
          <w:rFonts w:eastAsia="Noto Serif CJK TC"/>
          <w:color w:val="1A202C"/>
        </w:rPr>
        <w:t>Journ</w:t>
      </w:r>
      <w:r>
        <w:rPr>
          <w:rFonts w:eastAsia="Noto Serif CJK TC"/>
          <w:color w:val="1A202C"/>
        </w:rPr>
        <w:t>al of Chinese Governance</w:t>
      </w:r>
      <w:r>
        <w:rPr>
          <w:rFonts w:eastAsia="Noto Serif CJK TC"/>
          <w:color w:val="1A202C"/>
        </w:rPr>
        <w:t>》發表的</w:t>
      </w:r>
      <w:proofErr w:type="gramStart"/>
      <w:r>
        <w:rPr>
          <w:rFonts w:eastAsia="Noto Serif CJK TC"/>
          <w:color w:val="1A202C"/>
        </w:rPr>
        <w:t>〈</w:t>
      </w:r>
      <w:proofErr w:type="gramEnd"/>
      <w:r>
        <w:rPr>
          <w:rFonts w:eastAsia="Noto Serif CJK TC"/>
          <w:color w:val="1A202C"/>
        </w:rPr>
        <w:t>Public administration with, of, and through AI: toward a new paradigm in the era of intelligence</w:t>
      </w:r>
      <w:proofErr w:type="gramStart"/>
      <w:r>
        <w:rPr>
          <w:rFonts w:eastAsia="Noto Serif CJK TC"/>
          <w:color w:val="1A202C"/>
        </w:rPr>
        <w:t>〉</w:t>
      </w:r>
      <w:proofErr w:type="gramEnd"/>
      <w:r>
        <w:rPr>
          <w:rFonts w:eastAsia="Noto Serif CJK TC"/>
          <w:color w:val="1A202C"/>
        </w:rPr>
        <w:t>一文（</w:t>
      </w:r>
      <w:r>
        <w:rPr>
          <w:rFonts w:eastAsia="Noto Serif CJK TC"/>
          <w:color w:val="1A202C"/>
        </w:rPr>
        <w:t>11</w:t>
      </w:r>
      <w:r>
        <w:rPr>
          <w:rFonts w:eastAsia="Noto Serif CJK TC"/>
          <w:color w:val="1A202C"/>
        </w:rPr>
        <w:t>卷</w:t>
      </w:r>
      <w:r>
        <w:rPr>
          <w:rFonts w:eastAsia="Noto Serif CJK TC"/>
          <w:color w:val="1A202C"/>
        </w:rPr>
        <w:t>1</w:t>
      </w:r>
      <w:r>
        <w:rPr>
          <w:rFonts w:eastAsia="Noto Serif CJK TC"/>
          <w:color w:val="1A202C"/>
        </w:rPr>
        <w:t>期，頁</w:t>
      </w:r>
      <w:r>
        <w:rPr>
          <w:rFonts w:eastAsia="Noto Serif CJK TC"/>
          <w:color w:val="1A202C"/>
        </w:rPr>
        <w:t>30–57</w:t>
      </w:r>
      <w:r>
        <w:rPr>
          <w:rFonts w:eastAsia="Noto Serif CJK TC"/>
          <w:color w:val="1A202C"/>
        </w:rPr>
        <w:t>；</w:t>
      </w:r>
      <w:proofErr w:type="gramStart"/>
      <w:r>
        <w:rPr>
          <w:rFonts w:eastAsia="Noto Serif CJK TC"/>
          <w:color w:val="1A202C"/>
        </w:rPr>
        <w:t>2025</w:t>
      </w:r>
      <w:r>
        <w:rPr>
          <w:rFonts w:eastAsia="Noto Serif CJK TC"/>
          <w:color w:val="1A202C"/>
        </w:rPr>
        <w:t>年線上優先</w:t>
      </w:r>
      <w:proofErr w:type="gramEnd"/>
      <w:r>
        <w:rPr>
          <w:rFonts w:eastAsia="Noto Serif CJK TC"/>
          <w:color w:val="1A202C"/>
        </w:rPr>
        <w:t>出版，</w:t>
      </w:r>
      <w:r>
        <w:rPr>
          <w:rFonts w:eastAsia="Noto Serif CJK TC"/>
          <w:color w:val="1A202C"/>
        </w:rPr>
        <w:t>Open Access</w:t>
      </w:r>
      <w:r>
        <w:rPr>
          <w:rFonts w:eastAsia="Noto Serif CJK TC"/>
          <w:color w:val="1A202C"/>
        </w:rPr>
        <w:t>），提出「</w:t>
      </w:r>
      <w:r>
        <w:rPr>
          <w:rFonts w:eastAsia="Noto Serif CJK TC"/>
          <w:color w:val="1A202C"/>
        </w:rPr>
        <w:t>Public Administration with, of, and through AI</w:t>
      </w:r>
      <w:r>
        <w:rPr>
          <w:rFonts w:eastAsia="Noto Serif CJK TC"/>
          <w:color w:val="1A202C"/>
        </w:rPr>
        <w:t>」的三元範式，用以構想智慧時代公共行政在理論、實務與研究上的轉向。該文將三維操作</w:t>
      </w:r>
      <w:r>
        <w:rPr>
          <w:rFonts w:eastAsia="Noto Serif CJK TC"/>
          <w:color w:val="1A202C"/>
        </w:rPr>
        <w:t>為：以</w:t>
      </w:r>
      <w:r>
        <w:rPr>
          <w:rFonts w:eastAsia="Noto Serif CJK TC"/>
          <w:color w:val="1A202C"/>
        </w:rPr>
        <w:t xml:space="preserve"> AI </w:t>
      </w:r>
      <w:r>
        <w:rPr>
          <w:rFonts w:eastAsia="Noto Serif CJK TC"/>
          <w:color w:val="1A202C"/>
        </w:rPr>
        <w:t>強化行政能力（</w:t>
      </w:r>
      <w:r>
        <w:rPr>
          <w:rFonts w:eastAsia="Noto Serif CJK TC"/>
          <w:color w:val="1A202C"/>
        </w:rPr>
        <w:t>with AI</w:t>
      </w:r>
      <w:r>
        <w:rPr>
          <w:rFonts w:eastAsia="Noto Serif CJK TC"/>
          <w:color w:val="1A202C"/>
        </w:rPr>
        <w:t>）、對</w:t>
      </w:r>
      <w:r>
        <w:rPr>
          <w:rFonts w:eastAsia="Noto Serif CJK TC"/>
          <w:color w:val="1A202C"/>
        </w:rPr>
        <w:t xml:space="preserve"> AI </w:t>
      </w:r>
      <w:r>
        <w:rPr>
          <w:rFonts w:eastAsia="Noto Serif CJK TC"/>
          <w:color w:val="1A202C"/>
        </w:rPr>
        <w:t>進行倫理與</w:t>
      </w:r>
      <w:proofErr w:type="gramStart"/>
      <w:r>
        <w:rPr>
          <w:rFonts w:eastAsia="Noto Serif CJK TC"/>
          <w:color w:val="1A202C"/>
        </w:rPr>
        <w:t>規</w:t>
      </w:r>
      <w:proofErr w:type="gramEnd"/>
      <w:r>
        <w:rPr>
          <w:rFonts w:eastAsia="Noto Serif CJK TC"/>
          <w:color w:val="1A202C"/>
        </w:rPr>
        <w:t>制治理（</w:t>
      </w:r>
      <w:r>
        <w:rPr>
          <w:rFonts w:eastAsia="Noto Serif CJK TC"/>
          <w:color w:val="1A202C"/>
        </w:rPr>
        <w:t>of AI</w:t>
      </w:r>
      <w:r>
        <w:rPr>
          <w:rFonts w:eastAsia="Noto Serif CJK TC"/>
          <w:color w:val="1A202C"/>
        </w:rPr>
        <w:t>）、以及以</w:t>
      </w:r>
      <w:r>
        <w:rPr>
          <w:rFonts w:eastAsia="Noto Serif CJK TC"/>
          <w:color w:val="1A202C"/>
        </w:rPr>
        <w:t xml:space="preserve"> AI </w:t>
      </w:r>
      <w:r>
        <w:rPr>
          <w:rFonts w:eastAsia="Noto Serif CJK TC"/>
          <w:color w:val="1A202C"/>
        </w:rPr>
        <w:t>推進學科方法與認識論（</w:t>
      </w:r>
      <w:r>
        <w:rPr>
          <w:rFonts w:eastAsia="Noto Serif CJK TC"/>
          <w:color w:val="1A202C"/>
        </w:rPr>
        <w:t>through AI</w:t>
      </w:r>
      <w:r>
        <w:rPr>
          <w:rFonts w:eastAsia="Noto Serif CJK TC"/>
          <w:color w:val="1A202C"/>
        </w:rPr>
        <w:t>）。</w:t>
      </w:r>
      <w:r>
        <w:rPr>
          <w:rFonts w:eastAsia="Noto Serif CJK TC"/>
          <w:color w:val="1A202C"/>
        </w:rPr>
        <w:t xml:space="preserve">Zhu </w:t>
      </w:r>
      <w:r>
        <w:rPr>
          <w:rFonts w:eastAsia="Noto Serif CJK TC"/>
          <w:color w:val="1A202C"/>
        </w:rPr>
        <w:t>並在正文中把三者寫成</w:t>
      </w:r>
      <w:r>
        <w:rPr>
          <w:rFonts w:eastAsia="Noto Serif CJK TC"/>
          <w:color w:val="1A202C"/>
        </w:rPr>
        <w:t xml:space="preserve"> governing with AI</w:t>
      </w:r>
      <w:r>
        <w:rPr>
          <w:rFonts w:eastAsia="Noto Serif CJK TC"/>
          <w:color w:val="1A202C"/>
        </w:rPr>
        <w:t>、</w:t>
      </w:r>
      <w:r>
        <w:rPr>
          <w:rFonts w:eastAsia="Noto Serif CJK TC"/>
          <w:color w:val="1A202C"/>
        </w:rPr>
        <w:t>governing of AI</w:t>
      </w:r>
      <w:r>
        <w:rPr>
          <w:rFonts w:eastAsia="Noto Serif CJK TC"/>
          <w:color w:val="1A202C"/>
        </w:rPr>
        <w:t>、</w:t>
      </w:r>
      <w:r>
        <w:rPr>
          <w:rFonts w:eastAsia="Noto Serif CJK TC"/>
          <w:color w:val="1A202C"/>
        </w:rPr>
        <w:t>researching through AI</w:t>
      </w:r>
      <w:r>
        <w:rPr>
          <w:rFonts w:eastAsia="Noto Serif CJK TC"/>
          <w:color w:val="1A202C"/>
        </w:rPr>
        <w:t>，同時指出</w:t>
      </w:r>
      <w:r>
        <w:rPr>
          <w:rFonts w:eastAsia="Noto Serif CJK TC"/>
          <w:color w:val="1A202C"/>
        </w:rPr>
        <w:t xml:space="preserve"> AI </w:t>
      </w:r>
      <w:r>
        <w:rPr>
          <w:rFonts w:eastAsia="Noto Serif CJK TC"/>
          <w:color w:val="1A202C"/>
        </w:rPr>
        <w:t>時代需要能夠處理演算法官僚（</w:t>
      </w:r>
      <w:r>
        <w:rPr>
          <w:rFonts w:eastAsia="Noto Serif CJK TC"/>
          <w:color w:val="1A202C"/>
        </w:rPr>
        <w:t>algorithmic bureaucracy</w:t>
      </w:r>
      <w:r>
        <w:rPr>
          <w:rFonts w:eastAsia="Noto Serif CJK TC"/>
          <w:color w:val="1A202C"/>
        </w:rPr>
        <w:t>）、數位裁量（</w:t>
      </w:r>
      <w:r>
        <w:rPr>
          <w:rFonts w:eastAsia="Noto Serif CJK TC"/>
          <w:color w:val="1A202C"/>
        </w:rPr>
        <w:t>digital discretion</w:t>
      </w:r>
      <w:r>
        <w:rPr>
          <w:rFonts w:eastAsia="Noto Serif CJK TC"/>
          <w:color w:val="1A202C"/>
        </w:rPr>
        <w:t>）與自動化治理（</w:t>
      </w:r>
      <w:r>
        <w:rPr>
          <w:rFonts w:eastAsia="Noto Serif CJK TC"/>
          <w:color w:val="1A202C"/>
        </w:rPr>
        <w:t>automated governance</w:t>
      </w:r>
      <w:r>
        <w:rPr>
          <w:rFonts w:eastAsia="Noto Serif CJK TC"/>
          <w:color w:val="1A202C"/>
        </w:rPr>
        <w:t>）的理論模型，學科更新</w:t>
      </w:r>
      <w:r>
        <w:rPr>
          <w:rFonts w:eastAsia="Noto Serif CJK TC"/>
          <w:color w:val="1A202C"/>
        </w:rPr>
        <w:t>則須同時完成科學嚴謹與實務相關、敏捷與長期主義、全球化與在地化三組整合。</w:t>
      </w:r>
    </w:p>
    <w:p w:rsidR="0003266C" w:rsidRDefault="009E53B5">
      <w:pPr>
        <w:spacing w:after="180" w:line="340" w:lineRule="auto"/>
        <w:jc w:val="both"/>
      </w:pPr>
      <w:r>
        <w:rPr>
          <w:rFonts w:eastAsia="Noto Serif CJK TC"/>
          <w:color w:val="1A202C"/>
        </w:rPr>
        <w:t>據此，</w:t>
      </w:r>
      <w:r>
        <w:rPr>
          <w:rFonts w:eastAsia="Noto Serif CJK TC"/>
          <w:color w:val="1A202C"/>
        </w:rPr>
        <w:t xml:space="preserve">GDA </w:t>
      </w:r>
      <w:r>
        <w:rPr>
          <w:rFonts w:eastAsia="Noto Serif CJK TC"/>
          <w:color w:val="1A202C"/>
        </w:rPr>
        <w:t>模型並不試圖取代這一學科層次的範式分類，也不宜再把</w:t>
      </w:r>
      <w:proofErr w:type="gramStart"/>
      <w:r>
        <w:rPr>
          <w:rFonts w:eastAsia="Noto Serif CJK TC"/>
          <w:color w:val="1A202C"/>
        </w:rPr>
        <w:t>自身說成</w:t>
      </w:r>
      <w:proofErr w:type="gramEnd"/>
      <w:r>
        <w:rPr>
          <w:rFonts w:eastAsia="Noto Serif CJK TC"/>
          <w:color w:val="1A202C"/>
        </w:rPr>
        <w:t xml:space="preserve"> through AI </w:t>
      </w:r>
      <w:r>
        <w:rPr>
          <w:rFonts w:eastAsia="Noto Serif CJK TC"/>
          <w:color w:val="1A202C"/>
        </w:rPr>
        <w:t>的</w:t>
      </w:r>
      <w:proofErr w:type="gramStart"/>
      <w:r>
        <w:rPr>
          <w:rFonts w:eastAsia="Noto Serif CJK TC"/>
          <w:color w:val="1A202C"/>
        </w:rPr>
        <w:t>內部拆解</w:t>
      </w:r>
      <w:r>
        <w:rPr>
          <w:rFonts w:eastAsia="Noto Serif CJK TC"/>
          <w:color w:val="1A202C"/>
        </w:rPr>
        <w:t>—</w:t>
      </w:r>
      <w:proofErr w:type="gramEnd"/>
      <w:r>
        <w:rPr>
          <w:rFonts w:eastAsia="Noto Serif CJK TC"/>
          <w:color w:val="1A202C"/>
        </w:rPr>
        <w:t>—</w:t>
      </w:r>
      <w:r>
        <w:rPr>
          <w:rFonts w:eastAsia="Noto Serif CJK TC"/>
          <w:color w:val="1A202C"/>
        </w:rPr>
        <w:t>後者在</w:t>
      </w:r>
      <w:r>
        <w:rPr>
          <w:rFonts w:eastAsia="Noto Serif CJK TC"/>
          <w:color w:val="1A202C"/>
        </w:rPr>
        <w:t xml:space="preserve"> Zhu </w:t>
      </w:r>
      <w:r>
        <w:rPr>
          <w:rFonts w:eastAsia="Noto Serif CJK TC"/>
          <w:color w:val="1A202C"/>
        </w:rPr>
        <w:t>文中主要指向研究工具與方法革新，並非行政過程本體論。</w:t>
      </w:r>
      <w:r>
        <w:rPr>
          <w:rFonts w:eastAsia="Noto Serif CJK TC"/>
          <w:color w:val="1A202C"/>
        </w:rPr>
        <w:t xml:space="preserve">GDA </w:t>
      </w:r>
      <w:r>
        <w:rPr>
          <w:rFonts w:eastAsia="Noto Serif CJK TC"/>
          <w:color w:val="1A202C"/>
        </w:rPr>
        <w:t>處理的是</w:t>
      </w:r>
      <w:r>
        <w:rPr>
          <w:rFonts w:eastAsia="Noto Serif CJK TC"/>
          <w:color w:val="1A202C"/>
        </w:rPr>
        <w:t xml:space="preserve"> Zhu </w:t>
      </w:r>
      <w:r>
        <w:rPr>
          <w:rFonts w:eastAsia="Noto Serif CJK TC"/>
          <w:color w:val="1A202C"/>
        </w:rPr>
        <w:t>在</w:t>
      </w:r>
      <w:r>
        <w:rPr>
          <w:rFonts w:eastAsia="Noto Serif CJK TC"/>
          <w:color w:val="1A202C"/>
        </w:rPr>
        <w:t xml:space="preserve"> with AI </w:t>
      </w:r>
      <w:r>
        <w:rPr>
          <w:rFonts w:eastAsia="Noto Serif CJK TC"/>
          <w:color w:val="1A202C"/>
        </w:rPr>
        <w:t>與</w:t>
      </w:r>
      <w:r>
        <w:rPr>
          <w:rFonts w:eastAsia="Noto Serif CJK TC"/>
          <w:color w:val="1A202C"/>
        </w:rPr>
        <w:t xml:space="preserve"> of AI </w:t>
      </w:r>
      <w:proofErr w:type="gramStart"/>
      <w:r>
        <w:rPr>
          <w:rFonts w:eastAsia="Noto Serif CJK TC"/>
          <w:color w:val="1A202C"/>
        </w:rPr>
        <w:t>兩維中</w:t>
      </w:r>
      <w:proofErr w:type="gramEnd"/>
      <w:r>
        <w:rPr>
          <w:rFonts w:eastAsia="Noto Serif CJK TC"/>
          <w:color w:val="1A202C"/>
        </w:rPr>
        <w:t>留下的中層機制問題：當</w:t>
      </w:r>
      <w:r>
        <w:rPr>
          <w:rFonts w:eastAsia="Noto Serif CJK TC"/>
          <w:color w:val="1A202C"/>
        </w:rPr>
        <w:t xml:space="preserve"> AI </w:t>
      </w:r>
      <w:r>
        <w:rPr>
          <w:rFonts w:eastAsia="Noto Serif CJK TC"/>
          <w:color w:val="1A202C"/>
        </w:rPr>
        <w:t>被納入行政實務（</w:t>
      </w:r>
      <w:r>
        <w:rPr>
          <w:rFonts w:eastAsia="Noto Serif CJK TC"/>
          <w:color w:val="1A202C"/>
        </w:rPr>
        <w:t>with</w:t>
      </w:r>
      <w:r>
        <w:rPr>
          <w:rFonts w:eastAsia="Noto Serif CJK TC"/>
          <w:color w:val="1A202C"/>
        </w:rPr>
        <w:t>）時，行政結果究竟由哪些位置共同生成（</w:t>
      </w:r>
      <w:r>
        <w:rPr>
          <w:rFonts w:eastAsia="Noto Serif CJK TC"/>
          <w:color w:val="1A202C"/>
        </w:rPr>
        <w:t>DAA</w:t>
      </w:r>
      <w:r>
        <w:rPr>
          <w:rFonts w:eastAsia="Noto Serif CJK TC"/>
          <w:color w:val="1A202C"/>
        </w:rPr>
        <w:t>），裁量在哪</w:t>
      </w:r>
      <w:proofErr w:type="gramStart"/>
      <w:r>
        <w:rPr>
          <w:rFonts w:eastAsia="Noto Serif CJK TC"/>
          <w:color w:val="1A202C"/>
        </w:rPr>
        <w:t>個</w:t>
      </w:r>
      <w:proofErr w:type="gramEnd"/>
      <w:r>
        <w:rPr>
          <w:rFonts w:eastAsia="Noto Serif CJK TC"/>
          <w:color w:val="1A202C"/>
        </w:rPr>
        <w:t>節點被配置或掏空（裁量場）；當</w:t>
      </w:r>
      <w:r>
        <w:rPr>
          <w:rFonts w:eastAsia="Noto Serif CJK TC"/>
          <w:color w:val="1A202C"/>
        </w:rPr>
        <w:t xml:space="preserve"> AI </w:t>
      </w:r>
      <w:r>
        <w:rPr>
          <w:rFonts w:eastAsia="Noto Serif CJK TC"/>
          <w:color w:val="1A202C"/>
        </w:rPr>
        <w:t>成為治理對象（</w:t>
      </w:r>
      <w:r>
        <w:rPr>
          <w:rFonts w:eastAsia="Noto Serif CJK TC"/>
          <w:color w:val="1A202C"/>
        </w:rPr>
        <w:t>of</w:t>
      </w:r>
      <w:r>
        <w:rPr>
          <w:rFonts w:eastAsia="Noto Serif CJK TC"/>
          <w:color w:val="1A202C"/>
        </w:rPr>
        <w:t>）時，公共機關是否仍保有</w:t>
      </w:r>
      <w:r>
        <w:rPr>
          <w:rFonts w:eastAsia="Noto Serif CJK TC"/>
          <w:color w:val="1A202C"/>
        </w:rPr>
        <w:t>認知、決策、</w:t>
      </w:r>
      <w:proofErr w:type="gramStart"/>
      <w:r>
        <w:rPr>
          <w:rFonts w:eastAsia="Noto Serif CJK TC"/>
          <w:color w:val="1A202C"/>
        </w:rPr>
        <w:t>課責三種</w:t>
      </w:r>
      <w:proofErr w:type="gramEnd"/>
      <w:r>
        <w:rPr>
          <w:rFonts w:eastAsia="Noto Serif CJK TC"/>
          <w:color w:val="1A202C"/>
        </w:rPr>
        <w:t>再介入能力（</w:t>
      </w:r>
      <w:r>
        <w:rPr>
          <w:rFonts w:eastAsia="Noto Serif CJK TC"/>
          <w:color w:val="1A202C"/>
        </w:rPr>
        <w:t>UCPR</w:t>
      </w:r>
      <w:r>
        <w:rPr>
          <w:rFonts w:eastAsia="Noto Serif CJK TC"/>
          <w:color w:val="1A202C"/>
        </w:rPr>
        <w:t>）。</w:t>
      </w:r>
      <w:r>
        <w:rPr>
          <w:rFonts w:eastAsia="Noto Serif CJK TC"/>
          <w:color w:val="1A202C"/>
        </w:rPr>
        <w:t xml:space="preserve">Zhu </w:t>
      </w:r>
      <w:r>
        <w:rPr>
          <w:rFonts w:eastAsia="Noto Serif CJK TC"/>
          <w:color w:val="1A202C"/>
        </w:rPr>
        <w:t>所點名的演算法官僚、數位裁量與自動化治理，與這三</w:t>
      </w:r>
      <w:proofErr w:type="gramStart"/>
      <w:r>
        <w:rPr>
          <w:rFonts w:eastAsia="Noto Serif CJK TC"/>
          <w:color w:val="1A202C"/>
        </w:rPr>
        <w:t>個構念</w:t>
      </w:r>
      <w:proofErr w:type="gramEnd"/>
      <w:r>
        <w:rPr>
          <w:rFonts w:eastAsia="Noto Serif CJK TC"/>
          <w:color w:val="1A202C"/>
        </w:rPr>
        <w:t>之間可形成緊密的對話關係。較精確的說法是：</w:t>
      </w:r>
      <w:r>
        <w:rPr>
          <w:rFonts w:eastAsia="Noto Serif CJK TC"/>
          <w:color w:val="1A202C"/>
        </w:rPr>
        <w:t xml:space="preserve">GDA </w:t>
      </w:r>
      <w:r>
        <w:rPr>
          <w:rFonts w:eastAsia="Noto Serif CJK TC"/>
          <w:color w:val="1A202C"/>
        </w:rPr>
        <w:t>把</w:t>
      </w:r>
      <w:r>
        <w:rPr>
          <w:rFonts w:eastAsia="Noto Serif CJK TC"/>
          <w:color w:val="1A202C"/>
        </w:rPr>
        <w:t xml:space="preserve"> with</w:t>
      </w:r>
      <w:r>
        <w:rPr>
          <w:rFonts w:eastAsia="Noto Serif CJK TC"/>
          <w:color w:val="1A202C"/>
        </w:rPr>
        <w:t>／</w:t>
      </w:r>
      <w:r>
        <w:rPr>
          <w:rFonts w:eastAsia="Noto Serif CJK TC"/>
          <w:color w:val="1A202C"/>
        </w:rPr>
        <w:t xml:space="preserve">of </w:t>
      </w:r>
      <w:r>
        <w:rPr>
          <w:rFonts w:eastAsia="Noto Serif CJK TC"/>
          <w:color w:val="1A202C"/>
        </w:rPr>
        <w:t>從描述性範式標籤，轉譯為一組可編碼的生成</w:t>
      </w:r>
      <w:proofErr w:type="gramStart"/>
      <w:r>
        <w:rPr>
          <w:rFonts w:eastAsia="Noto Serif CJK TC"/>
          <w:color w:val="1A202C"/>
        </w:rPr>
        <w:t>—</w:t>
      </w:r>
      <w:proofErr w:type="gramEnd"/>
      <w:r>
        <w:rPr>
          <w:rFonts w:eastAsia="Noto Serif CJK TC"/>
          <w:color w:val="1A202C"/>
        </w:rPr>
        <w:t>裁量</w:t>
      </w:r>
      <w:r>
        <w:rPr>
          <w:rFonts w:eastAsia="Noto Serif CJK TC"/>
          <w:color w:val="1A202C"/>
        </w:rPr>
        <w:t>—</w:t>
      </w:r>
      <w:r>
        <w:rPr>
          <w:rFonts w:eastAsia="Noto Serif CJK TC"/>
          <w:color w:val="1A202C"/>
        </w:rPr>
        <w:t>權威連動機制。</w:t>
      </w:r>
    </w:p>
    <w:p w:rsidR="0003266C" w:rsidRDefault="009E53B5">
      <w:pPr>
        <w:pStyle w:val="2"/>
        <w:spacing w:before="280" w:after="140" w:line="340" w:lineRule="auto"/>
      </w:pPr>
      <w:r>
        <w:rPr>
          <w:rFonts w:ascii="Noto Sans CJK TC" w:eastAsia="Noto Sans CJK TC" w:hAnsi="Noto Sans CJK TC" w:cs="Noto Sans CJK TC"/>
          <w:b/>
          <w:bCs/>
          <w:color w:val="1A365D"/>
          <w:sz w:val="27"/>
          <w:szCs w:val="27"/>
        </w:rPr>
        <w:lastRenderedPageBreak/>
        <w:t>二、宏觀</w:t>
      </w:r>
      <w:proofErr w:type="gramStart"/>
      <w:r>
        <w:rPr>
          <w:rFonts w:ascii="Noto Sans CJK TC" w:eastAsia="Noto Sans CJK TC" w:hAnsi="Noto Sans CJK TC" w:cs="Noto Sans CJK TC"/>
          <w:b/>
          <w:bCs/>
          <w:color w:val="1A365D"/>
          <w:sz w:val="27"/>
          <w:szCs w:val="27"/>
        </w:rPr>
        <w:t>—</w:t>
      </w:r>
      <w:proofErr w:type="gramEnd"/>
      <w:r>
        <w:rPr>
          <w:rFonts w:ascii="Noto Sans CJK TC" w:eastAsia="Noto Sans CJK TC" w:hAnsi="Noto Sans CJK TC" w:cs="Noto Sans CJK TC"/>
          <w:b/>
          <w:bCs/>
          <w:color w:val="1A365D"/>
          <w:sz w:val="27"/>
          <w:szCs w:val="27"/>
        </w:rPr>
        <w:t>中觀</w:t>
      </w:r>
      <w:r>
        <w:rPr>
          <w:rFonts w:ascii="Noto Sans CJK TC" w:eastAsia="Noto Sans CJK TC" w:hAnsi="Noto Sans CJK TC" w:cs="Noto Sans CJK TC"/>
          <w:b/>
          <w:bCs/>
          <w:color w:val="1A365D"/>
          <w:sz w:val="27"/>
          <w:szCs w:val="27"/>
        </w:rPr>
        <w:t>—</w:t>
      </w:r>
      <w:r>
        <w:rPr>
          <w:rFonts w:ascii="Noto Sans CJK TC" w:eastAsia="Noto Sans CJK TC" w:hAnsi="Noto Sans CJK TC" w:cs="Noto Sans CJK TC"/>
          <w:b/>
          <w:bCs/>
          <w:color w:val="1A365D"/>
          <w:sz w:val="27"/>
          <w:szCs w:val="27"/>
        </w:rPr>
        <w:t>微觀的</w:t>
      </w:r>
      <w:r>
        <w:rPr>
          <w:rFonts w:ascii="Noto Sans CJK TC" w:eastAsia="Noto Sans CJK TC" w:hAnsi="Noto Sans CJK TC" w:cs="Noto Sans CJK TC"/>
          <w:b/>
          <w:bCs/>
          <w:color w:val="1A365D"/>
          <w:sz w:val="27"/>
          <w:szCs w:val="27"/>
        </w:rPr>
        <w:t xml:space="preserve"> AI </w:t>
      </w:r>
      <w:r>
        <w:rPr>
          <w:rFonts w:ascii="Noto Sans CJK TC" w:eastAsia="Noto Sans CJK TC" w:hAnsi="Noto Sans CJK TC" w:cs="Noto Sans CJK TC"/>
          <w:b/>
          <w:bCs/>
          <w:color w:val="1A365D"/>
          <w:sz w:val="27"/>
          <w:szCs w:val="27"/>
        </w:rPr>
        <w:t>行政研究</w:t>
      </w:r>
    </w:p>
    <w:p w:rsidR="0003266C" w:rsidRDefault="009E53B5">
      <w:pPr>
        <w:spacing w:after="180" w:line="340" w:lineRule="auto"/>
        <w:jc w:val="both"/>
      </w:pPr>
      <w:proofErr w:type="spellStart"/>
      <w:r>
        <w:rPr>
          <w:rFonts w:eastAsia="Noto Serif CJK TC"/>
          <w:color w:val="1A202C"/>
        </w:rPr>
        <w:t>Criado</w:t>
      </w:r>
      <w:proofErr w:type="spellEnd"/>
      <w:r>
        <w:rPr>
          <w:rFonts w:eastAsia="Noto Serif CJK TC"/>
          <w:color w:val="1A202C"/>
        </w:rPr>
        <w:t>、</w:t>
      </w:r>
      <w:r>
        <w:rPr>
          <w:rFonts w:eastAsia="Noto Serif CJK TC"/>
          <w:color w:val="1A202C"/>
        </w:rPr>
        <w:t>Sandoval-</w:t>
      </w:r>
      <w:proofErr w:type="spellStart"/>
      <w:r>
        <w:rPr>
          <w:rFonts w:eastAsia="Noto Serif CJK TC"/>
          <w:color w:val="1A202C"/>
        </w:rPr>
        <w:t>Almazán</w:t>
      </w:r>
      <w:proofErr w:type="spellEnd"/>
      <w:r>
        <w:rPr>
          <w:rFonts w:eastAsia="Noto Serif CJK TC"/>
          <w:color w:val="1A202C"/>
        </w:rPr>
        <w:t xml:space="preserve"> </w:t>
      </w:r>
      <w:r>
        <w:rPr>
          <w:rFonts w:eastAsia="Noto Serif CJK TC"/>
          <w:color w:val="1A202C"/>
        </w:rPr>
        <w:t>與</w:t>
      </w:r>
      <w:r>
        <w:rPr>
          <w:rFonts w:eastAsia="Noto Serif CJK TC"/>
          <w:color w:val="1A202C"/>
        </w:rPr>
        <w:t xml:space="preserve"> Gil-Garcia</w:t>
      </w:r>
      <w:r>
        <w:rPr>
          <w:rFonts w:eastAsia="Noto Serif CJK TC"/>
          <w:color w:val="1A202C"/>
        </w:rPr>
        <w:t>（</w:t>
      </w:r>
      <w:r>
        <w:rPr>
          <w:rFonts w:eastAsia="Noto Serif CJK TC"/>
          <w:color w:val="1A202C"/>
        </w:rPr>
        <w:t>2025</w:t>
      </w:r>
      <w:r>
        <w:rPr>
          <w:rFonts w:eastAsia="Noto Serif CJK TC"/>
          <w:color w:val="1A202C"/>
        </w:rPr>
        <w:t>）發表於《</w:t>
      </w:r>
      <w:r>
        <w:rPr>
          <w:rFonts w:eastAsia="Noto Serif CJK TC"/>
          <w:color w:val="1A202C"/>
        </w:rPr>
        <w:t>Public Policy and Administration</w:t>
      </w:r>
      <w:r>
        <w:rPr>
          <w:rFonts w:eastAsia="Noto Serif CJK TC"/>
          <w:color w:val="1A202C"/>
        </w:rPr>
        <w:t>》的</w:t>
      </w:r>
      <w:proofErr w:type="gramStart"/>
      <w:r>
        <w:rPr>
          <w:rFonts w:eastAsia="Noto Serif CJK TC"/>
          <w:color w:val="1A202C"/>
        </w:rPr>
        <w:t>〈</w:t>
      </w:r>
      <w:proofErr w:type="gramEnd"/>
      <w:r>
        <w:rPr>
          <w:rFonts w:eastAsia="Noto Serif CJK TC"/>
          <w:color w:val="1A202C"/>
        </w:rPr>
        <w:t>Artificial intelligence and public administration: Understanding actors, governance, and policy from micro, meso, and macro perspectives</w:t>
      </w:r>
      <w:proofErr w:type="gramStart"/>
      <w:r>
        <w:rPr>
          <w:rFonts w:eastAsia="Noto Serif CJK TC"/>
          <w:color w:val="1A202C"/>
        </w:rPr>
        <w:t>〉</w:t>
      </w:r>
      <w:proofErr w:type="gramEnd"/>
      <w:r>
        <w:rPr>
          <w:rFonts w:eastAsia="Noto Serif CJK TC"/>
          <w:color w:val="1A202C"/>
        </w:rPr>
        <w:t>一文，提出三層次分析架構：宏觀層次關注治理體制、國家策略與監理框架，處理的是</w:t>
      </w:r>
      <w:r>
        <w:rPr>
          <w:rFonts w:eastAsia="Noto Serif CJK TC"/>
          <w:color w:val="1A202C"/>
        </w:rPr>
        <w:t>「</w:t>
      </w:r>
      <w:r>
        <w:rPr>
          <w:rFonts w:eastAsia="Noto Serif CJK TC"/>
          <w:color w:val="1A202C"/>
        </w:rPr>
        <w:t xml:space="preserve">AI </w:t>
      </w:r>
      <w:r>
        <w:rPr>
          <w:rFonts w:eastAsia="Noto Serif CJK TC"/>
          <w:color w:val="1A202C"/>
        </w:rPr>
        <w:t>政治學」（</w:t>
      </w:r>
      <w:r>
        <w:rPr>
          <w:rFonts w:eastAsia="Noto Serif CJK TC"/>
          <w:color w:val="1A202C"/>
        </w:rPr>
        <w:t>the politics of AI</w:t>
      </w:r>
      <w:r>
        <w:rPr>
          <w:rFonts w:eastAsia="Noto Serif CJK TC"/>
          <w:color w:val="1A202C"/>
        </w:rPr>
        <w:t>）</w:t>
      </w:r>
      <w:proofErr w:type="gramStart"/>
      <w:r>
        <w:rPr>
          <w:rFonts w:eastAsia="Noto Serif CJK TC"/>
          <w:color w:val="1A202C"/>
        </w:rPr>
        <w:t>—</w:t>
      </w:r>
      <w:proofErr w:type="gramEnd"/>
      <w:r>
        <w:rPr>
          <w:rFonts w:eastAsia="Noto Serif CJK TC"/>
          <w:color w:val="1A202C"/>
        </w:rPr>
        <w:t>—</w:t>
      </w:r>
      <w:r>
        <w:rPr>
          <w:rFonts w:eastAsia="Noto Serif CJK TC"/>
          <w:color w:val="1A202C"/>
        </w:rPr>
        <w:t>不同國家如何依其制度配置與權力關係形塑</w:t>
      </w:r>
      <w:r>
        <w:rPr>
          <w:rFonts w:eastAsia="Noto Serif CJK TC"/>
          <w:color w:val="1A202C"/>
        </w:rPr>
        <w:t xml:space="preserve"> AI </w:t>
      </w:r>
      <w:r>
        <w:rPr>
          <w:rFonts w:eastAsia="Noto Serif CJK TC"/>
          <w:color w:val="1A202C"/>
        </w:rPr>
        <w:t>治理；</w:t>
      </w:r>
      <w:proofErr w:type="gramStart"/>
      <w:r>
        <w:rPr>
          <w:rFonts w:eastAsia="Noto Serif CJK TC"/>
          <w:color w:val="1A202C"/>
        </w:rPr>
        <w:t>中觀層次</w:t>
      </w:r>
      <w:proofErr w:type="gramEnd"/>
      <w:r>
        <w:rPr>
          <w:rFonts w:eastAsia="Noto Serif CJK TC"/>
          <w:color w:val="1A202C"/>
        </w:rPr>
        <w:t>關注組織與部門層級的影響，分析</w:t>
      </w:r>
      <w:r>
        <w:rPr>
          <w:rFonts w:eastAsia="Noto Serif CJK TC"/>
          <w:color w:val="1A202C"/>
        </w:rPr>
        <w:t xml:space="preserve"> AI </w:t>
      </w:r>
      <w:r>
        <w:rPr>
          <w:rFonts w:eastAsia="Noto Serif CJK TC"/>
          <w:color w:val="1A202C"/>
        </w:rPr>
        <w:t>如何轉化醫療、教育、治安等特定公共服務領域的組織價值鏈；微觀層次則聚焦個別行動者</w:t>
      </w:r>
      <w:proofErr w:type="gramStart"/>
      <w:r>
        <w:rPr>
          <w:rFonts w:eastAsia="Noto Serif CJK TC"/>
          <w:color w:val="1A202C"/>
        </w:rPr>
        <w:t>—</w:t>
      </w:r>
      <w:proofErr w:type="gramEnd"/>
      <w:r>
        <w:rPr>
          <w:rFonts w:eastAsia="Noto Serif CJK TC"/>
          <w:color w:val="1A202C"/>
        </w:rPr>
        <w:t>—</w:t>
      </w:r>
      <w:r>
        <w:rPr>
          <w:rFonts w:eastAsia="Noto Serif CJK TC"/>
          <w:color w:val="1A202C"/>
        </w:rPr>
        <w:t>與行政系統互動的公務員與民眾</w:t>
      </w:r>
      <w:r>
        <w:rPr>
          <w:rFonts w:eastAsia="Noto Serif CJK TC"/>
          <w:color w:val="1A202C"/>
        </w:rPr>
        <w:t>——</w:t>
      </w:r>
      <w:r>
        <w:rPr>
          <w:rFonts w:eastAsia="Noto Serif CJK TC"/>
          <w:color w:val="1A202C"/>
        </w:rPr>
        <w:t>處理裁量、信任、透明與演算法</w:t>
      </w:r>
      <w:proofErr w:type="gramStart"/>
      <w:r>
        <w:rPr>
          <w:rFonts w:eastAsia="Noto Serif CJK TC"/>
          <w:color w:val="1A202C"/>
        </w:rPr>
        <w:t>偏誤</w:t>
      </w:r>
      <w:proofErr w:type="gramEnd"/>
      <w:r>
        <w:rPr>
          <w:rFonts w:eastAsia="Noto Serif CJK TC"/>
          <w:color w:val="1A202C"/>
        </w:rPr>
        <w:t>等面向。該文主張，唯有整合三個層次，才能理解</w:t>
      </w:r>
      <w:r>
        <w:rPr>
          <w:rFonts w:eastAsia="Noto Serif CJK TC"/>
          <w:color w:val="1A202C"/>
        </w:rPr>
        <w:t xml:space="preserve"> AI </w:t>
      </w:r>
      <w:r>
        <w:rPr>
          <w:rFonts w:eastAsia="Noto Serif CJK TC"/>
          <w:color w:val="1A202C"/>
        </w:rPr>
        <w:t>如何從根本上重塑公共行政，而非把技術當成孤立變數看待。</w:t>
      </w:r>
    </w:p>
    <w:p w:rsidR="0003266C" w:rsidRDefault="009E53B5">
      <w:pPr>
        <w:spacing w:after="180" w:line="340" w:lineRule="auto"/>
        <w:jc w:val="both"/>
      </w:pPr>
      <w:r>
        <w:rPr>
          <w:rFonts w:eastAsia="Noto Serif CJK TC"/>
          <w:color w:val="1A202C"/>
        </w:rPr>
        <w:t xml:space="preserve">GDA </w:t>
      </w:r>
      <w:r>
        <w:rPr>
          <w:rFonts w:eastAsia="Noto Serif CJK TC"/>
          <w:color w:val="1A202C"/>
        </w:rPr>
        <w:t>模型的三個</w:t>
      </w:r>
      <w:proofErr w:type="gramStart"/>
      <w:r>
        <w:rPr>
          <w:rFonts w:eastAsia="Noto Serif CJK TC"/>
          <w:color w:val="1A202C"/>
        </w:rPr>
        <w:t>核心構念</w:t>
      </w:r>
      <w:proofErr w:type="gramEnd"/>
      <w:r>
        <w:rPr>
          <w:rFonts w:eastAsia="Noto Serif CJK TC"/>
          <w:color w:val="1A202C"/>
        </w:rPr>
        <w:t>，可與</w:t>
      </w:r>
      <w:r>
        <w:rPr>
          <w:rFonts w:eastAsia="Noto Serif CJK TC"/>
          <w:color w:val="1A202C"/>
        </w:rPr>
        <w:t xml:space="preserve"> </w:t>
      </w:r>
      <w:proofErr w:type="spellStart"/>
      <w:r>
        <w:rPr>
          <w:rFonts w:eastAsia="Noto Serif CJK TC"/>
          <w:color w:val="1A202C"/>
        </w:rPr>
        <w:t>Criado</w:t>
      </w:r>
      <w:proofErr w:type="spellEnd"/>
      <w:r>
        <w:rPr>
          <w:rFonts w:eastAsia="Noto Serif CJK TC"/>
          <w:color w:val="1A202C"/>
        </w:rPr>
        <w:t xml:space="preserve"> </w:t>
      </w:r>
      <w:r>
        <w:rPr>
          <w:rFonts w:eastAsia="Noto Serif CJK TC"/>
          <w:color w:val="1A202C"/>
        </w:rPr>
        <w:t>等人的三層次做初步對應，整理如下表：</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400"/>
        <w:gridCol w:w="3400"/>
      </w:tblGrid>
      <w:tr w:rsidR="0003266C">
        <w:tblPrEx>
          <w:tblCellMar>
            <w:top w:w="0" w:type="dxa"/>
            <w:bottom w:w="0" w:type="dxa"/>
          </w:tblCellMar>
        </w:tblPrEx>
        <w:trPr>
          <w:tblHeader/>
        </w:trPr>
        <w:tc>
          <w:tcPr>
            <w:tcW w:w="2200" w:type="dxa"/>
            <w:shd w:val="clear" w:color="auto" w:fill="1A365D"/>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b/>
                <w:bCs/>
                <w:color w:val="FFFFFF"/>
                <w:sz w:val="18"/>
                <w:szCs w:val="18"/>
              </w:rPr>
              <w:t>層次</w:t>
            </w:r>
          </w:p>
        </w:tc>
        <w:tc>
          <w:tcPr>
            <w:tcW w:w="3400" w:type="dxa"/>
            <w:shd w:val="clear" w:color="auto" w:fill="1A365D"/>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b/>
                <w:bCs/>
                <w:color w:val="FFFFFF"/>
                <w:sz w:val="18"/>
                <w:szCs w:val="18"/>
              </w:rPr>
              <w:t>傳統問</w:t>
            </w:r>
            <w:r>
              <w:rPr>
                <w:rFonts w:ascii="Noto Sans CJK TC" w:eastAsia="Noto Sans CJK TC" w:hAnsi="Noto Sans CJK TC" w:cs="Noto Sans CJK TC"/>
                <w:b/>
                <w:bCs/>
                <w:color w:val="FFFFFF"/>
                <w:sz w:val="18"/>
                <w:szCs w:val="18"/>
              </w:rPr>
              <w:t>題</w:t>
            </w:r>
          </w:p>
        </w:tc>
        <w:tc>
          <w:tcPr>
            <w:tcW w:w="3400" w:type="dxa"/>
            <w:shd w:val="clear" w:color="auto" w:fill="1A365D"/>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b/>
                <w:bCs/>
                <w:color w:val="FFFFFF"/>
                <w:sz w:val="18"/>
                <w:szCs w:val="18"/>
              </w:rPr>
              <w:t>GDA</w:t>
            </w:r>
            <w:r>
              <w:rPr>
                <w:rFonts w:ascii="Noto Sans CJK TC" w:eastAsia="Noto Sans CJK TC" w:hAnsi="Noto Sans CJK TC" w:cs="Noto Sans CJK TC"/>
                <w:b/>
                <w:bCs/>
                <w:color w:val="FFFFFF"/>
                <w:sz w:val="18"/>
                <w:szCs w:val="18"/>
              </w:rPr>
              <w:t>模型的對應</w:t>
            </w:r>
          </w:p>
        </w:tc>
      </w:tr>
      <w:tr w:rsidR="0003266C">
        <w:tblPrEx>
          <w:tblCellMar>
            <w:top w:w="0" w:type="dxa"/>
            <w:bottom w:w="0" w:type="dxa"/>
          </w:tblCellMar>
        </w:tblPrEx>
        <w:tc>
          <w:tcPr>
            <w:tcW w:w="22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Macro</w:t>
            </w:r>
            <w:r>
              <w:rPr>
                <w:rFonts w:ascii="Noto Sans CJK TC" w:eastAsia="Noto Sans CJK TC" w:hAnsi="Noto Sans CJK TC" w:cs="Noto Sans CJK TC"/>
                <w:color w:val="1A202C"/>
                <w:sz w:val="18"/>
                <w:szCs w:val="18"/>
              </w:rPr>
              <w:t>（宏觀）</w:t>
            </w:r>
          </w:p>
        </w:tc>
        <w:tc>
          <w:tcPr>
            <w:tcW w:w="34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國家、治理、制度</w:t>
            </w:r>
          </w:p>
        </w:tc>
        <w:tc>
          <w:tcPr>
            <w:tcW w:w="34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UCPR</w:t>
            </w:r>
            <w:r>
              <w:rPr>
                <w:rFonts w:ascii="Noto Sans CJK TC" w:eastAsia="Noto Sans CJK TC" w:hAnsi="Noto Sans CJK TC" w:cs="Noto Sans CJK TC"/>
                <w:color w:val="1A202C"/>
                <w:sz w:val="18"/>
                <w:szCs w:val="18"/>
              </w:rPr>
              <w:t>／規範轉換</w:t>
            </w:r>
          </w:p>
        </w:tc>
      </w:tr>
      <w:tr w:rsidR="0003266C">
        <w:tblPrEx>
          <w:tblCellMar>
            <w:top w:w="0" w:type="dxa"/>
            <w:bottom w:w="0" w:type="dxa"/>
          </w:tblCellMar>
        </w:tblPrEx>
        <w:tc>
          <w:tcPr>
            <w:tcW w:w="22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Meso</w:t>
            </w:r>
            <w:r>
              <w:rPr>
                <w:rFonts w:ascii="Noto Sans CJK TC" w:eastAsia="Noto Sans CJK TC" w:hAnsi="Noto Sans CJK TC" w:cs="Noto Sans CJK TC"/>
                <w:color w:val="1A202C"/>
                <w:sz w:val="18"/>
                <w:szCs w:val="18"/>
              </w:rPr>
              <w:t>（中觀）</w:t>
            </w:r>
          </w:p>
        </w:tc>
        <w:tc>
          <w:tcPr>
            <w:tcW w:w="34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組織、流程、制度</w:t>
            </w:r>
          </w:p>
        </w:tc>
        <w:tc>
          <w:tcPr>
            <w:tcW w:w="34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DAA</w:t>
            </w:r>
            <w:r>
              <w:rPr>
                <w:rFonts w:ascii="Noto Sans CJK TC" w:eastAsia="Noto Sans CJK TC" w:hAnsi="Noto Sans CJK TC" w:cs="Noto Sans CJK TC"/>
                <w:color w:val="1A202C"/>
                <w:sz w:val="18"/>
                <w:szCs w:val="18"/>
              </w:rPr>
              <w:t>／結構條件</w:t>
            </w:r>
          </w:p>
        </w:tc>
      </w:tr>
      <w:tr w:rsidR="0003266C">
        <w:tblPrEx>
          <w:tblCellMar>
            <w:top w:w="0" w:type="dxa"/>
            <w:bottom w:w="0" w:type="dxa"/>
          </w:tblCellMar>
        </w:tblPrEx>
        <w:tc>
          <w:tcPr>
            <w:tcW w:w="22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Micro</w:t>
            </w:r>
            <w:r>
              <w:rPr>
                <w:rFonts w:ascii="Noto Sans CJK TC" w:eastAsia="Noto Sans CJK TC" w:hAnsi="Noto Sans CJK TC" w:cs="Noto Sans CJK TC"/>
                <w:color w:val="1A202C"/>
                <w:sz w:val="18"/>
                <w:szCs w:val="18"/>
              </w:rPr>
              <w:t>（微觀）</w:t>
            </w:r>
          </w:p>
        </w:tc>
        <w:tc>
          <w:tcPr>
            <w:tcW w:w="34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人員、決策、互動</w:t>
            </w:r>
          </w:p>
        </w:tc>
        <w:tc>
          <w:tcPr>
            <w:tcW w:w="3400" w:type="dxa"/>
            <w:shd w:val="clear" w:color="auto" w:fill="FFFFFF"/>
            <w:tcMar>
              <w:top w:w="60" w:type="dxa"/>
              <w:left w:w="100" w:type="dxa"/>
              <w:bottom w:w="60" w:type="dxa"/>
              <w:right w:w="100" w:type="dxa"/>
            </w:tcMar>
            <w:vAlign w:val="center"/>
          </w:tcPr>
          <w:p w:rsidR="0003266C" w:rsidRDefault="009E53B5">
            <w:pPr>
              <w:spacing w:line="260" w:lineRule="auto"/>
            </w:pPr>
            <w:proofErr w:type="gramStart"/>
            <w:r>
              <w:rPr>
                <w:rFonts w:ascii="Noto Sans CJK TC" w:eastAsia="Noto Sans CJK TC" w:hAnsi="Noto Sans CJK TC" w:cs="Noto Sans CJK TC"/>
                <w:color w:val="1A202C"/>
                <w:sz w:val="18"/>
                <w:szCs w:val="18"/>
              </w:rPr>
              <w:t>裁量場</w:t>
            </w:r>
            <w:proofErr w:type="gramEnd"/>
            <w:r>
              <w:rPr>
                <w:rFonts w:ascii="Noto Sans CJK TC" w:eastAsia="Noto Sans CJK TC" w:hAnsi="Noto Sans CJK TC" w:cs="Noto Sans CJK TC"/>
                <w:color w:val="1A202C"/>
                <w:sz w:val="18"/>
                <w:szCs w:val="18"/>
              </w:rPr>
              <w:t>／人類覆核</w:t>
            </w:r>
          </w:p>
        </w:tc>
      </w:tr>
    </w:tbl>
    <w:p w:rsidR="0003266C" w:rsidRDefault="009E53B5">
      <w:pPr>
        <w:spacing w:after="180" w:line="340" w:lineRule="auto"/>
        <w:jc w:val="both"/>
      </w:pPr>
      <w:r>
        <w:rPr>
          <w:rFonts w:eastAsia="Noto Serif CJK TC"/>
          <w:color w:val="1A202C"/>
        </w:rPr>
        <w:t>但這個對應表本身也暴露了一個重要問題：</w:t>
      </w:r>
      <w:r>
        <w:rPr>
          <w:rFonts w:eastAsia="Noto Serif CJK TC"/>
          <w:color w:val="1A202C"/>
        </w:rPr>
        <w:t xml:space="preserve">GDA </w:t>
      </w:r>
      <w:r>
        <w:rPr>
          <w:rFonts w:eastAsia="Noto Serif CJK TC"/>
          <w:color w:val="1A202C"/>
        </w:rPr>
        <w:t>模型並不是把宏觀、</w:t>
      </w:r>
      <w:proofErr w:type="gramStart"/>
      <w:r>
        <w:rPr>
          <w:rFonts w:eastAsia="Noto Serif CJK TC"/>
          <w:color w:val="1A202C"/>
        </w:rPr>
        <w:t>中觀</w:t>
      </w:r>
      <w:proofErr w:type="gramEnd"/>
      <w:r>
        <w:rPr>
          <w:rFonts w:eastAsia="Noto Serif CJK TC"/>
          <w:color w:val="1A202C"/>
        </w:rPr>
        <w:t>、微觀三層</w:t>
      </w:r>
      <w:proofErr w:type="gramStart"/>
      <w:r>
        <w:rPr>
          <w:rFonts w:eastAsia="Noto Serif CJK TC"/>
          <w:color w:val="1A202C"/>
        </w:rPr>
        <w:t>簡單</w:t>
      </w:r>
      <w:proofErr w:type="gramEnd"/>
      <w:r>
        <w:rPr>
          <w:rFonts w:eastAsia="Noto Serif CJK TC"/>
          <w:color w:val="1A202C"/>
        </w:rPr>
        <w:t>拼接在一起，而是主張三者共同生成同一個行政結果</w:t>
      </w:r>
      <w:r>
        <w:rPr>
          <w:rFonts w:eastAsia="Noto Serif CJK TC"/>
          <w:color w:val="1A202C"/>
        </w:rPr>
        <w:t xml:space="preserve">——DAA </w:t>
      </w:r>
      <w:r>
        <w:rPr>
          <w:rFonts w:eastAsia="Noto Serif CJK TC"/>
          <w:color w:val="1A202C"/>
        </w:rPr>
        <w:t>的法定位置多半座落於宏觀的制度授權層次，判斷位置與計算機制則</w:t>
      </w:r>
      <w:proofErr w:type="gramStart"/>
      <w:r>
        <w:rPr>
          <w:rFonts w:eastAsia="Noto Serif CJK TC"/>
          <w:color w:val="1A202C"/>
        </w:rPr>
        <w:t>橫跨中</w:t>
      </w:r>
      <w:proofErr w:type="gramEnd"/>
      <w:r>
        <w:rPr>
          <w:rFonts w:eastAsia="Noto Serif CJK TC"/>
          <w:color w:val="1A202C"/>
        </w:rPr>
        <w:t>觀（組織流程）與微觀（人員互動），結構條件更同時涉及三層。這意味著，</w:t>
      </w:r>
      <w:r>
        <w:rPr>
          <w:rFonts w:eastAsia="Noto Serif CJK TC"/>
          <w:color w:val="1A202C"/>
        </w:rPr>
        <w:t xml:space="preserve">GDA </w:t>
      </w:r>
      <w:r>
        <w:rPr>
          <w:rFonts w:eastAsia="Noto Serif CJK TC"/>
          <w:color w:val="1A202C"/>
        </w:rPr>
        <w:t>模型對</w:t>
      </w:r>
      <w:r>
        <w:rPr>
          <w:rFonts w:eastAsia="Noto Serif CJK TC"/>
          <w:color w:val="1A202C"/>
        </w:rPr>
        <w:t xml:space="preserve"> </w:t>
      </w:r>
      <w:proofErr w:type="spellStart"/>
      <w:r>
        <w:rPr>
          <w:rFonts w:eastAsia="Noto Serif CJK TC"/>
          <w:color w:val="1A202C"/>
        </w:rPr>
        <w:t>Criado</w:t>
      </w:r>
      <w:proofErr w:type="spellEnd"/>
      <w:r>
        <w:rPr>
          <w:rFonts w:eastAsia="Noto Serif CJK TC"/>
          <w:color w:val="1A202C"/>
        </w:rPr>
        <w:t xml:space="preserve"> </w:t>
      </w:r>
      <w:r>
        <w:rPr>
          <w:rFonts w:eastAsia="Noto Serif CJK TC"/>
          <w:color w:val="1A202C"/>
        </w:rPr>
        <w:t>等人架構的一項可能補充是：宏觀、</w:t>
      </w:r>
      <w:proofErr w:type="gramStart"/>
      <w:r>
        <w:rPr>
          <w:rFonts w:eastAsia="Noto Serif CJK TC"/>
          <w:color w:val="1A202C"/>
        </w:rPr>
        <w:t>中觀</w:t>
      </w:r>
      <w:proofErr w:type="gramEnd"/>
      <w:r>
        <w:rPr>
          <w:rFonts w:eastAsia="Noto Serif CJK TC"/>
          <w:color w:val="1A202C"/>
        </w:rPr>
        <w:t>、微觀不只是三個平行的分析層次，還需要一套說明三者「如何共同生成單一行政結果」的連動機制，而這正是</w:t>
      </w:r>
      <w:r>
        <w:rPr>
          <w:rFonts w:eastAsia="Noto Serif CJK TC"/>
          <w:color w:val="1A202C"/>
        </w:rPr>
        <w:t xml:space="preserve"> DAA </w:t>
      </w:r>
      <w:r>
        <w:rPr>
          <w:rFonts w:eastAsia="Noto Serif CJK TC"/>
          <w:color w:val="1A202C"/>
        </w:rPr>
        <w:t>概念所要承擔的工作。</w:t>
      </w:r>
    </w:p>
    <w:p w:rsidR="0003266C" w:rsidRDefault="009E53B5">
      <w:pPr>
        <w:pStyle w:val="1"/>
        <w:spacing w:before="360" w:after="200" w:line="360" w:lineRule="auto"/>
      </w:pPr>
      <w:r>
        <w:rPr>
          <w:rFonts w:ascii="Noto Sans CJK TC" w:eastAsia="Noto Sans CJK TC" w:hAnsi="Noto Sans CJK TC" w:cs="Noto Sans CJK TC"/>
          <w:b/>
          <w:bCs/>
          <w:color w:val="1A365D"/>
        </w:rPr>
        <w:t>參、</w:t>
      </w:r>
      <w:r>
        <w:rPr>
          <w:rFonts w:ascii="Noto Sans CJK TC" w:eastAsia="Noto Sans CJK TC" w:hAnsi="Noto Sans CJK TC" w:cs="Noto Sans CJK TC"/>
          <w:b/>
          <w:bCs/>
          <w:color w:val="1A365D"/>
        </w:rPr>
        <w:t xml:space="preserve">GDA </w:t>
      </w:r>
      <w:r>
        <w:rPr>
          <w:rFonts w:ascii="Noto Sans CJK TC" w:eastAsia="Noto Sans CJK TC" w:hAnsi="Noto Sans CJK TC" w:cs="Noto Sans CJK TC"/>
          <w:b/>
          <w:bCs/>
          <w:color w:val="1A365D"/>
        </w:rPr>
        <w:t>模型與既有理論的逐項比較</w:t>
      </w:r>
    </w:p>
    <w:p w:rsidR="0003266C" w:rsidRDefault="009E53B5">
      <w:pPr>
        <w:spacing w:after="180" w:line="340" w:lineRule="auto"/>
        <w:jc w:val="both"/>
      </w:pPr>
      <w:r>
        <w:rPr>
          <w:rFonts w:eastAsia="Noto Serif CJK TC"/>
          <w:color w:val="1A202C"/>
        </w:rPr>
        <w:t>以下</w:t>
      </w:r>
      <w:r>
        <w:rPr>
          <w:rFonts w:eastAsia="Noto Serif CJK TC"/>
          <w:color w:val="1A202C"/>
        </w:rPr>
        <w:t>逐一比較</w:t>
      </w:r>
      <w:r>
        <w:rPr>
          <w:rFonts w:eastAsia="Noto Serif CJK TC"/>
          <w:color w:val="1A202C"/>
        </w:rPr>
        <w:t xml:space="preserve"> GDA </w:t>
      </w:r>
      <w:r>
        <w:rPr>
          <w:rFonts w:eastAsia="Noto Serif CJK TC"/>
          <w:color w:val="1A202C"/>
        </w:rPr>
        <w:t>模型與四個既有理論路徑。為便於閱讀，每一節固定分三段：先摘要既有理論的核心主張，再說明</w:t>
      </w:r>
      <w:r>
        <w:rPr>
          <w:rFonts w:eastAsia="Noto Serif CJK TC"/>
          <w:color w:val="1A202C"/>
        </w:rPr>
        <w:t xml:space="preserve"> GDA </w:t>
      </w:r>
      <w:r>
        <w:rPr>
          <w:rFonts w:eastAsia="Noto Serif CJK TC"/>
          <w:color w:val="1A202C"/>
        </w:rPr>
        <w:t>模型在此基礎上的推進，最後以既有理論支持者的角度提出最有力的質疑並回應</w:t>
      </w:r>
      <w:proofErr w:type="gramStart"/>
      <w:r>
        <w:rPr>
          <w:rFonts w:eastAsia="Noto Serif CJK TC"/>
          <w:color w:val="1A202C"/>
        </w:rPr>
        <w:t>—</w:t>
      </w:r>
      <w:proofErr w:type="gramEnd"/>
      <w:r>
        <w:rPr>
          <w:rFonts w:eastAsia="Noto Serif CJK TC"/>
          <w:color w:val="1A202C"/>
        </w:rPr>
        <w:t>—</w:t>
      </w:r>
      <w:r>
        <w:rPr>
          <w:rFonts w:eastAsia="Noto Serif CJK TC"/>
          <w:color w:val="1A202C"/>
        </w:rPr>
        <w:t>讀者可視需要只看後兩段。</w:t>
      </w:r>
    </w:p>
    <w:p w:rsidR="0003266C" w:rsidRDefault="009E53B5">
      <w:pPr>
        <w:pStyle w:val="2"/>
        <w:spacing w:before="280" w:after="140" w:line="340" w:lineRule="auto"/>
      </w:pPr>
      <w:r>
        <w:rPr>
          <w:rFonts w:ascii="Noto Sans CJK TC" w:eastAsia="Noto Sans CJK TC" w:hAnsi="Noto Sans CJK TC" w:cs="Noto Sans CJK TC"/>
          <w:b/>
          <w:bCs/>
          <w:color w:val="1A365D"/>
          <w:sz w:val="27"/>
          <w:szCs w:val="27"/>
        </w:rPr>
        <w:t>一、與數位裁量理論比較</w:t>
      </w:r>
    </w:p>
    <w:p w:rsidR="0003266C" w:rsidRDefault="009E53B5">
      <w:pPr>
        <w:pStyle w:val="3"/>
        <w:spacing w:before="200" w:after="100" w:line="320" w:lineRule="auto"/>
      </w:pPr>
      <w:r>
        <w:rPr>
          <w:rFonts w:ascii="Noto Sans CJK TC" w:eastAsia="Noto Sans CJK TC" w:hAnsi="Noto Sans CJK TC" w:cs="Noto Sans CJK TC"/>
          <w:b/>
          <w:bCs/>
          <w:color w:val="2C5282"/>
        </w:rPr>
        <w:t>既有理論的主張</w:t>
      </w:r>
    </w:p>
    <w:p w:rsidR="0003266C" w:rsidRDefault="009E53B5">
      <w:pPr>
        <w:spacing w:after="180" w:line="340" w:lineRule="auto"/>
        <w:jc w:val="both"/>
      </w:pPr>
      <w:r>
        <w:rPr>
          <w:rFonts w:eastAsia="Noto Serif CJK TC"/>
          <w:color w:val="1A202C"/>
        </w:rPr>
        <w:t>數位裁量研究的經典起點，是</w:t>
      </w:r>
      <w:r>
        <w:rPr>
          <w:rFonts w:eastAsia="Noto Serif CJK TC"/>
          <w:color w:val="1A202C"/>
        </w:rPr>
        <w:t xml:space="preserve"> </w:t>
      </w:r>
      <w:proofErr w:type="spellStart"/>
      <w:r>
        <w:rPr>
          <w:rFonts w:eastAsia="Noto Serif CJK TC"/>
          <w:color w:val="1A202C"/>
        </w:rPr>
        <w:t>Bovens</w:t>
      </w:r>
      <w:proofErr w:type="spellEnd"/>
      <w:r>
        <w:rPr>
          <w:rFonts w:eastAsia="Noto Serif CJK TC"/>
          <w:color w:val="1A202C"/>
        </w:rPr>
        <w:t xml:space="preserve"> </w:t>
      </w:r>
      <w:r>
        <w:rPr>
          <w:rFonts w:eastAsia="Noto Serif CJK TC"/>
          <w:color w:val="1A202C"/>
        </w:rPr>
        <w:t>與</w:t>
      </w:r>
      <w:r>
        <w:rPr>
          <w:rFonts w:eastAsia="Noto Serif CJK TC"/>
          <w:color w:val="1A202C"/>
        </w:rPr>
        <w:t xml:space="preserve"> </w:t>
      </w:r>
      <w:proofErr w:type="spellStart"/>
      <w:r>
        <w:rPr>
          <w:rFonts w:eastAsia="Noto Serif CJK TC"/>
          <w:color w:val="1A202C"/>
        </w:rPr>
        <w:t>Zouridis</w:t>
      </w:r>
      <w:proofErr w:type="spellEnd"/>
      <w:r>
        <w:rPr>
          <w:rFonts w:eastAsia="Noto Serif CJK TC"/>
          <w:color w:val="1A202C"/>
        </w:rPr>
        <w:t>（</w:t>
      </w:r>
      <w:r>
        <w:rPr>
          <w:rFonts w:eastAsia="Noto Serif CJK TC"/>
          <w:color w:val="1A202C"/>
        </w:rPr>
        <w:t>2002</w:t>
      </w:r>
      <w:r>
        <w:rPr>
          <w:rFonts w:eastAsia="Noto Serif CJK TC"/>
          <w:color w:val="1A202C"/>
        </w:rPr>
        <w:t>）對「街頭官僚」向「系統官僚」轉型的分析：行政決策被大量寫入資訊系統的規則引擎後，第一線公務員的個案裁量空間被系統設計階段的規則制定所取代，裁量因此從決策現場「前移」到系統開發現場。近期</w:t>
      </w:r>
      <w:r>
        <w:rPr>
          <w:rFonts w:eastAsia="Noto Serif CJK TC"/>
          <w:color w:val="1A202C"/>
        </w:rPr>
        <w:t xml:space="preserve"> Afzal </w:t>
      </w:r>
      <w:r>
        <w:rPr>
          <w:rFonts w:eastAsia="Noto Serif CJK TC"/>
          <w:color w:val="1A202C"/>
        </w:rPr>
        <w:t>與</w:t>
      </w:r>
      <w:r>
        <w:rPr>
          <w:rFonts w:eastAsia="Noto Serif CJK TC"/>
          <w:color w:val="1A202C"/>
        </w:rPr>
        <w:t xml:space="preserve"> </w:t>
      </w:r>
      <w:proofErr w:type="spellStart"/>
      <w:r>
        <w:rPr>
          <w:rFonts w:eastAsia="Noto Serif CJK TC"/>
          <w:color w:val="1A202C"/>
        </w:rPr>
        <w:lastRenderedPageBreak/>
        <w:t>Panagiotopoulos</w:t>
      </w:r>
      <w:proofErr w:type="spellEnd"/>
      <w:r>
        <w:rPr>
          <w:rFonts w:eastAsia="Noto Serif CJK TC"/>
          <w:color w:val="1A202C"/>
        </w:rPr>
        <w:t>（</w:t>
      </w:r>
      <w:r>
        <w:rPr>
          <w:rFonts w:eastAsia="Noto Serif CJK TC"/>
          <w:color w:val="1A202C"/>
        </w:rPr>
        <w:t>2025</w:t>
      </w:r>
      <w:r>
        <w:rPr>
          <w:rFonts w:eastAsia="Noto Serif CJK TC"/>
          <w:color w:val="1A202C"/>
        </w:rPr>
        <w:t>）以英國警政為場域，把「演算法裁量」操作為官員是否願意把日常裁量委託給演算法。他們發現，官員對自身裁量的珍視並不足以解釋其對演算法的態度；真正驅動「不願委託」的，是現狀</w:t>
      </w:r>
      <w:proofErr w:type="gramStart"/>
      <w:r>
        <w:rPr>
          <w:rFonts w:eastAsia="Noto Serif CJK TC"/>
          <w:color w:val="1A202C"/>
        </w:rPr>
        <w:t>偏誤下</w:t>
      </w:r>
      <w:proofErr w:type="gramEnd"/>
      <w:r>
        <w:rPr>
          <w:rFonts w:eastAsia="Noto Serif CJK TC"/>
          <w:color w:val="1A202C"/>
        </w:rPr>
        <w:t>的轉換成本、損失厭惡與績效不確定。換言之，數位化之後的第一線，既不是規則引擎全面接管，也不是對系統建議的自動順服，而是在覆核節點上同時出現形式使用與實質抵制。</w:t>
      </w:r>
    </w:p>
    <w:p w:rsidR="0003266C" w:rsidRDefault="009E53B5">
      <w:pPr>
        <w:pStyle w:val="3"/>
        <w:spacing w:before="200" w:after="100" w:line="320" w:lineRule="auto"/>
      </w:pPr>
      <w:r>
        <w:rPr>
          <w:rFonts w:ascii="Noto Sans CJK TC" w:eastAsia="Noto Sans CJK TC" w:hAnsi="Noto Sans CJK TC" w:cs="Noto Sans CJK TC"/>
          <w:b/>
          <w:bCs/>
          <w:color w:val="2C5282"/>
        </w:rPr>
        <w:t xml:space="preserve">GDA </w:t>
      </w:r>
      <w:r>
        <w:rPr>
          <w:rFonts w:ascii="Noto Sans CJK TC" w:eastAsia="Noto Sans CJK TC" w:hAnsi="Noto Sans CJK TC" w:cs="Noto Sans CJK TC"/>
          <w:b/>
          <w:bCs/>
          <w:color w:val="2C5282"/>
        </w:rPr>
        <w:t>模型的推進</w:t>
      </w:r>
    </w:p>
    <w:p w:rsidR="0003266C" w:rsidRDefault="009E53B5">
      <w:pPr>
        <w:spacing w:after="180" w:line="340" w:lineRule="auto"/>
        <w:jc w:val="both"/>
      </w:pPr>
      <w:r>
        <w:rPr>
          <w:rFonts w:eastAsia="Noto Serif CJK TC"/>
          <w:color w:val="1A202C"/>
        </w:rPr>
        <w:t>數位裁量理論回答的問題是：裁量是不是只是從「人」轉移到「系統」？</w:t>
      </w:r>
      <w:r>
        <w:rPr>
          <w:rFonts w:eastAsia="Noto Serif CJK TC"/>
          <w:color w:val="1A202C"/>
        </w:rPr>
        <w:t xml:space="preserve">GDA </w:t>
      </w:r>
      <w:r>
        <w:rPr>
          <w:rFonts w:eastAsia="Noto Serif CJK TC"/>
          <w:color w:val="1A202C"/>
        </w:rPr>
        <w:t>模型的回答是：不只是轉移，而是重新配置</w:t>
      </w:r>
      <w:proofErr w:type="gramStart"/>
      <w:r>
        <w:rPr>
          <w:rFonts w:eastAsia="Noto Serif CJK TC"/>
          <w:color w:val="1A202C"/>
        </w:rPr>
        <w:t>—</w:t>
      </w:r>
      <w:proofErr w:type="gramEnd"/>
      <w:r>
        <w:rPr>
          <w:rFonts w:eastAsia="Noto Serif CJK TC"/>
          <w:color w:val="1A202C"/>
        </w:rPr>
        <w:t>—</w:t>
      </w:r>
      <w:proofErr w:type="gramStart"/>
      <w:r>
        <w:rPr>
          <w:rFonts w:eastAsia="Noto Serif CJK TC"/>
          <w:color w:val="1A202C"/>
        </w:rPr>
        <w:t>裁量場概</w:t>
      </w:r>
      <w:proofErr w:type="gramEnd"/>
      <w:r>
        <w:rPr>
          <w:rFonts w:eastAsia="Noto Serif CJK TC"/>
          <w:color w:val="1A202C"/>
        </w:rPr>
        <w:t>念主張，裁量分散到前置配置、模型轉譯、介面引導、人類覆核四個節點，每個節點都可能是實質裁量發生或被剝奪的場所。即使系統已開發完成，介面設計如何呈現選項、人類覆核者被賦予多少實質推翻權，仍持續影響裁量的實質分布，</w:t>
      </w:r>
      <w:proofErr w:type="gramStart"/>
      <w:r>
        <w:rPr>
          <w:rFonts w:eastAsia="Noto Serif CJK TC"/>
          <w:color w:val="1A202C"/>
        </w:rPr>
        <w:t>而非裁量</w:t>
      </w:r>
      <w:proofErr w:type="gramEnd"/>
      <w:r>
        <w:rPr>
          <w:rFonts w:eastAsia="Noto Serif CJK TC"/>
          <w:color w:val="1A202C"/>
        </w:rPr>
        <w:t>前移之後就一次性固定下來。</w:t>
      </w:r>
      <w:r>
        <w:rPr>
          <w:rFonts w:eastAsia="Noto Serif CJK TC"/>
          <w:color w:val="1A202C"/>
        </w:rPr>
        <w:t xml:space="preserve">Afzal </w:t>
      </w:r>
      <w:r>
        <w:rPr>
          <w:rFonts w:eastAsia="Noto Serif CJK TC"/>
          <w:color w:val="1A202C"/>
        </w:rPr>
        <w:t>與</w:t>
      </w:r>
      <w:r>
        <w:rPr>
          <w:rFonts w:eastAsia="Noto Serif CJK TC"/>
          <w:color w:val="1A202C"/>
        </w:rPr>
        <w:t xml:space="preserve"> </w:t>
      </w:r>
      <w:proofErr w:type="spellStart"/>
      <w:r>
        <w:rPr>
          <w:rFonts w:eastAsia="Noto Serif CJK TC"/>
          <w:color w:val="1A202C"/>
        </w:rPr>
        <w:t>Panagiotopoulos</w:t>
      </w:r>
      <w:proofErr w:type="spellEnd"/>
      <w:r>
        <w:rPr>
          <w:rFonts w:eastAsia="Noto Serif CJK TC"/>
          <w:color w:val="1A202C"/>
        </w:rPr>
        <w:t>（</w:t>
      </w:r>
      <w:r>
        <w:rPr>
          <w:rFonts w:eastAsia="Noto Serif CJK TC"/>
          <w:color w:val="1A202C"/>
        </w:rPr>
        <w:t>2025</w:t>
      </w:r>
      <w:r>
        <w:rPr>
          <w:rFonts w:eastAsia="Noto Serif CJK TC"/>
          <w:color w:val="1A202C"/>
        </w:rPr>
        <w:t>）所觀察到的抗拒</w:t>
      </w:r>
      <w:proofErr w:type="gramStart"/>
      <w:r>
        <w:rPr>
          <w:rFonts w:eastAsia="Noto Serif CJK TC"/>
          <w:color w:val="1A202C"/>
        </w:rPr>
        <w:t>—</w:t>
      </w:r>
      <w:proofErr w:type="gramEnd"/>
      <w:r>
        <w:rPr>
          <w:rFonts w:eastAsia="Noto Serif CJK TC"/>
          <w:color w:val="1A202C"/>
        </w:rPr>
        <w:t>委託，座落在人類覆核節點，其成因卻可能來自上游的模型不透明與介面所製造的</w:t>
      </w:r>
      <w:r>
        <w:rPr>
          <w:rFonts w:eastAsia="Noto Serif CJK TC"/>
          <w:color w:val="1A202C"/>
        </w:rPr>
        <w:t>績效不確定；若只停留在「裁量前移到系統開發現場」，便無法解釋為何同一套已上線系統，仍會在覆核節點再現</w:t>
      </w:r>
      <w:r>
        <w:rPr>
          <w:rFonts w:eastAsia="Noto Serif CJK TC"/>
          <w:color w:val="1A202C"/>
        </w:rPr>
        <w:t xml:space="preserve"> discretionary struggle</w:t>
      </w:r>
      <w:r>
        <w:rPr>
          <w:rFonts w:eastAsia="Noto Serif CJK TC"/>
          <w:color w:val="1A202C"/>
        </w:rPr>
        <w:t>。</w:t>
      </w:r>
      <w:r>
        <w:rPr>
          <w:rFonts w:eastAsia="Noto Serif CJK TC"/>
          <w:color w:val="1A202C"/>
        </w:rPr>
        <w:t xml:space="preserve">Alon-Barkat </w:t>
      </w:r>
      <w:r>
        <w:rPr>
          <w:rFonts w:eastAsia="Noto Serif CJK TC"/>
          <w:color w:val="1A202C"/>
        </w:rPr>
        <w:t>與</w:t>
      </w:r>
      <w:r>
        <w:rPr>
          <w:rFonts w:eastAsia="Noto Serif CJK TC"/>
          <w:color w:val="1A202C"/>
        </w:rPr>
        <w:t xml:space="preserve"> </w:t>
      </w:r>
      <w:proofErr w:type="spellStart"/>
      <w:r>
        <w:rPr>
          <w:rFonts w:eastAsia="Noto Serif CJK TC"/>
          <w:color w:val="1A202C"/>
        </w:rPr>
        <w:t>Busuioc</w:t>
      </w:r>
      <w:proofErr w:type="spellEnd"/>
      <w:r>
        <w:rPr>
          <w:rFonts w:eastAsia="Noto Serif CJK TC"/>
          <w:color w:val="1A202C"/>
        </w:rPr>
        <w:t>（</w:t>
      </w:r>
      <w:r>
        <w:rPr>
          <w:rFonts w:eastAsia="Noto Serif CJK TC"/>
          <w:color w:val="1A202C"/>
        </w:rPr>
        <w:t>2023</w:t>
      </w:r>
      <w:r>
        <w:rPr>
          <w:rFonts w:eastAsia="Noto Serif CJK TC"/>
          <w:color w:val="1A202C"/>
        </w:rPr>
        <w:t>）的實驗研究進一步顯示，這種覆核節點上的張力未必是對演算法本身的系統性排斥：官員未必對演算法建議產生全面的</w:t>
      </w:r>
      <w:proofErr w:type="gramStart"/>
      <w:r>
        <w:rPr>
          <w:rFonts w:eastAsia="Noto Serif CJK TC"/>
          <w:color w:val="1A202C"/>
        </w:rPr>
        <w:t>自動化偏誤</w:t>
      </w:r>
      <w:proofErr w:type="gramEnd"/>
      <w:r>
        <w:rPr>
          <w:rFonts w:eastAsia="Noto Serif CJK TC"/>
          <w:color w:val="1A202C"/>
        </w:rPr>
        <w:t>，但會出現「選擇性遵從」</w:t>
      </w:r>
      <w:r>
        <w:rPr>
          <w:rFonts w:eastAsia="Noto Serif CJK TC"/>
          <w:color w:val="1A202C"/>
        </w:rPr>
        <w:t>——</w:t>
      </w:r>
      <w:r>
        <w:rPr>
          <w:rFonts w:eastAsia="Noto Serif CJK TC"/>
          <w:color w:val="1A202C"/>
        </w:rPr>
        <w:t>當建議內容契合既有的判斷傾向或刻板印象時，遵從率明顯提高，無論建議來自演算法或人類專家皆然。換言之，人類覆核節點的實質裁量空間，同時受到「是否信任演算法」與「建議內容是</w:t>
      </w:r>
      <w:r>
        <w:rPr>
          <w:rFonts w:eastAsia="Noto Serif CJK TC"/>
          <w:color w:val="1A202C"/>
        </w:rPr>
        <w:t>否契合覆核者既有傾向」兩種機制影響，</w:t>
      </w:r>
      <w:proofErr w:type="gramStart"/>
      <w:r>
        <w:rPr>
          <w:rFonts w:eastAsia="Noto Serif CJK TC"/>
          <w:color w:val="1A202C"/>
        </w:rPr>
        <w:t>裁量場架構</w:t>
      </w:r>
      <w:proofErr w:type="gramEnd"/>
      <w:r>
        <w:rPr>
          <w:rFonts w:eastAsia="Noto Serif CJK TC"/>
          <w:color w:val="1A202C"/>
        </w:rPr>
        <w:t>若只處理前者，仍可能低估覆核節點的複雜性。</w:t>
      </w:r>
    </w:p>
    <w:p w:rsidR="0003266C" w:rsidRDefault="009E53B5">
      <w:pPr>
        <w:pStyle w:val="3"/>
        <w:spacing w:before="200" w:after="100" w:line="320" w:lineRule="auto"/>
      </w:pPr>
      <w:proofErr w:type="gramStart"/>
      <w:r>
        <w:rPr>
          <w:rFonts w:ascii="Noto Sans CJK TC" w:eastAsia="Noto Sans CJK TC" w:hAnsi="Noto Sans CJK TC" w:cs="Noto Sans CJK TC"/>
          <w:b/>
          <w:bCs/>
          <w:color w:val="2C5282"/>
        </w:rPr>
        <w:t>裁量場是否</w:t>
      </w:r>
      <w:proofErr w:type="gramEnd"/>
      <w:r>
        <w:rPr>
          <w:rFonts w:ascii="Noto Sans CJK TC" w:eastAsia="Noto Sans CJK TC" w:hAnsi="Noto Sans CJK TC" w:cs="Noto Sans CJK TC"/>
          <w:b/>
          <w:bCs/>
          <w:color w:val="2C5282"/>
        </w:rPr>
        <w:t>只是裁量前移的細分？</w:t>
      </w:r>
    </w:p>
    <w:p w:rsidR="0003266C" w:rsidRDefault="009E53B5">
      <w:pPr>
        <w:spacing w:after="180" w:line="340" w:lineRule="auto"/>
        <w:jc w:val="both"/>
      </w:pPr>
      <w:r>
        <w:rPr>
          <w:rFonts w:eastAsia="Noto Serif CJK TC"/>
          <w:color w:val="1A202C"/>
        </w:rPr>
        <w:t>數位裁量理論的支持者可以合理質疑：</w:t>
      </w:r>
      <w:proofErr w:type="gramStart"/>
      <w:r>
        <w:rPr>
          <w:rFonts w:eastAsia="Noto Serif CJK TC"/>
          <w:color w:val="1A202C"/>
        </w:rPr>
        <w:t>裁量場的</w:t>
      </w:r>
      <w:proofErr w:type="gramEnd"/>
      <w:r>
        <w:rPr>
          <w:rFonts w:eastAsia="Noto Serif CJK TC"/>
          <w:color w:val="1A202C"/>
        </w:rPr>
        <w:t>四個節點，會不會只是把「裁量前移到系統開發階段」這同一個時間點，拆成四道更細的手續，本質上並沒有超出</w:t>
      </w:r>
      <w:r>
        <w:rPr>
          <w:rFonts w:eastAsia="Noto Serif CJK TC"/>
          <w:color w:val="1A202C"/>
        </w:rPr>
        <w:t xml:space="preserve"> </w:t>
      </w:r>
      <w:proofErr w:type="spellStart"/>
      <w:r>
        <w:rPr>
          <w:rFonts w:eastAsia="Noto Serif CJK TC"/>
          <w:color w:val="1A202C"/>
        </w:rPr>
        <w:t>Bovens</w:t>
      </w:r>
      <w:proofErr w:type="spellEnd"/>
      <w:r>
        <w:rPr>
          <w:rFonts w:eastAsia="Noto Serif CJK TC"/>
          <w:color w:val="1A202C"/>
        </w:rPr>
        <w:t xml:space="preserve"> </w:t>
      </w:r>
      <w:r>
        <w:rPr>
          <w:rFonts w:eastAsia="Noto Serif CJK TC"/>
          <w:color w:val="1A202C"/>
        </w:rPr>
        <w:t>與</w:t>
      </w:r>
      <w:r>
        <w:rPr>
          <w:rFonts w:eastAsia="Noto Serif CJK TC"/>
          <w:color w:val="1A202C"/>
        </w:rPr>
        <w:t xml:space="preserve"> </w:t>
      </w:r>
      <w:proofErr w:type="spellStart"/>
      <w:r>
        <w:rPr>
          <w:rFonts w:eastAsia="Noto Serif CJK TC"/>
          <w:color w:val="1A202C"/>
        </w:rPr>
        <w:t>Zouridis</w:t>
      </w:r>
      <w:proofErr w:type="spellEnd"/>
      <w:r>
        <w:rPr>
          <w:rFonts w:eastAsia="Noto Serif CJK TC"/>
          <w:color w:val="1A202C"/>
        </w:rPr>
        <w:t xml:space="preserve"> </w:t>
      </w:r>
      <w:r>
        <w:rPr>
          <w:rFonts w:eastAsia="Noto Serif CJK TC"/>
          <w:color w:val="1A202C"/>
        </w:rPr>
        <w:t>原初命題？這個質疑並非無的放矢，也是本文須誠實面對的張力。</w:t>
      </w:r>
      <w:r>
        <w:rPr>
          <w:rFonts w:eastAsia="Noto Serif CJK TC"/>
          <w:color w:val="1A202C"/>
        </w:rPr>
        <w:t xml:space="preserve">GDA </w:t>
      </w:r>
      <w:r>
        <w:rPr>
          <w:rFonts w:eastAsia="Noto Serif CJK TC"/>
          <w:color w:val="1A202C"/>
        </w:rPr>
        <w:t>模型的回應是：四個節點指向的並非同一機制的細分，而是四種可以被分別規範、分別失守的機制</w:t>
      </w:r>
      <w:proofErr w:type="gramStart"/>
      <w:r>
        <w:rPr>
          <w:rFonts w:eastAsia="Noto Serif CJK TC"/>
          <w:color w:val="1A202C"/>
        </w:rPr>
        <w:t>—</w:t>
      </w:r>
      <w:proofErr w:type="gramEnd"/>
      <w:r>
        <w:rPr>
          <w:rFonts w:eastAsia="Noto Serif CJK TC"/>
          <w:color w:val="1A202C"/>
        </w:rPr>
        <w:t>—</w:t>
      </w:r>
      <w:r>
        <w:rPr>
          <w:rFonts w:eastAsia="Noto Serif CJK TC"/>
          <w:color w:val="1A202C"/>
        </w:rPr>
        <w:t>法定位置由誰授權、模型</w:t>
      </w:r>
      <w:proofErr w:type="gramStart"/>
      <w:r>
        <w:rPr>
          <w:rFonts w:eastAsia="Noto Serif CJK TC"/>
          <w:color w:val="1A202C"/>
        </w:rPr>
        <w:t>轉譯依何</w:t>
      </w:r>
      <w:proofErr w:type="gramEnd"/>
      <w:r>
        <w:rPr>
          <w:rFonts w:eastAsia="Noto Serif CJK TC"/>
          <w:color w:val="1A202C"/>
        </w:rPr>
        <w:t>種邏輯、介面如何呈現選項</w:t>
      </w:r>
      <w:r>
        <w:rPr>
          <w:rFonts w:eastAsia="Noto Serif CJK TC"/>
          <w:color w:val="1A202C"/>
        </w:rPr>
        <w:t>、人類覆核者是否被賦予實質否決權，四者在制度上是可以互相獨立變動的：一個機關可以嚴格管制前置配置的授權範圍，卻放任介面設計誘導使用者接受預設建議。</w:t>
      </w:r>
      <w:r>
        <w:rPr>
          <w:rFonts w:eastAsia="Noto Serif CJK TC"/>
          <w:color w:val="1A202C"/>
        </w:rPr>
        <w:t xml:space="preserve">Afzal </w:t>
      </w:r>
      <w:r>
        <w:rPr>
          <w:rFonts w:eastAsia="Noto Serif CJK TC"/>
          <w:color w:val="1A202C"/>
        </w:rPr>
        <w:t>與</w:t>
      </w:r>
      <w:r>
        <w:rPr>
          <w:rFonts w:eastAsia="Noto Serif CJK TC"/>
          <w:color w:val="1A202C"/>
        </w:rPr>
        <w:t xml:space="preserve"> </w:t>
      </w:r>
      <w:proofErr w:type="spellStart"/>
      <w:r>
        <w:rPr>
          <w:rFonts w:eastAsia="Noto Serif CJK TC"/>
          <w:color w:val="1A202C"/>
        </w:rPr>
        <w:t>Panagiotopoulos</w:t>
      </w:r>
      <w:proofErr w:type="spellEnd"/>
      <w:r>
        <w:rPr>
          <w:rFonts w:eastAsia="Noto Serif CJK TC"/>
          <w:color w:val="1A202C"/>
        </w:rPr>
        <w:t>（</w:t>
      </w:r>
      <w:r>
        <w:rPr>
          <w:rFonts w:eastAsia="Noto Serif CJK TC"/>
          <w:color w:val="1A202C"/>
        </w:rPr>
        <w:t>2025</w:t>
      </w:r>
      <w:r>
        <w:rPr>
          <w:rFonts w:eastAsia="Noto Serif CJK TC"/>
          <w:color w:val="1A202C"/>
        </w:rPr>
        <w:t>）觀察到的抗拒，具體發生在「人類覆核」這個節點，而非「系統開發」這個籠統時點</w:t>
      </w:r>
      <w:proofErr w:type="gramStart"/>
      <w:r>
        <w:rPr>
          <w:rFonts w:eastAsia="Noto Serif CJK TC"/>
          <w:color w:val="1A202C"/>
        </w:rPr>
        <w:t>—</w:t>
      </w:r>
      <w:proofErr w:type="gramEnd"/>
      <w:r>
        <w:rPr>
          <w:rFonts w:eastAsia="Noto Serif CJK TC"/>
          <w:color w:val="1A202C"/>
        </w:rPr>
        <w:t>—</w:t>
      </w:r>
      <w:r>
        <w:rPr>
          <w:rFonts w:eastAsia="Noto Serif CJK TC"/>
          <w:color w:val="1A202C"/>
        </w:rPr>
        <w:t>這正是四節點架構相對於單一「裁量前移」命題，能夠定位問題發生位置的實質差異。把覆核當成「前移完成後的剩餘手續」在經驗上站不住；但四節點是否具備獨立解釋力，抑或只是分析精細度的提升，仍待更多跨案例的實證資料檢驗。</w:t>
      </w:r>
    </w:p>
    <w:p w:rsidR="0003266C" w:rsidRDefault="009E53B5">
      <w:pPr>
        <w:pStyle w:val="2"/>
        <w:spacing w:before="280" w:after="140" w:line="340" w:lineRule="auto"/>
      </w:pPr>
      <w:r>
        <w:rPr>
          <w:rFonts w:ascii="Noto Sans CJK TC" w:eastAsia="Noto Sans CJK TC" w:hAnsi="Noto Sans CJK TC" w:cs="Noto Sans CJK TC"/>
          <w:b/>
          <w:bCs/>
          <w:color w:val="1A365D"/>
          <w:sz w:val="27"/>
          <w:szCs w:val="27"/>
        </w:rPr>
        <w:t>二、與演算法治理比</w:t>
      </w:r>
      <w:r>
        <w:rPr>
          <w:rFonts w:ascii="Noto Sans CJK TC" w:eastAsia="Noto Sans CJK TC" w:hAnsi="Noto Sans CJK TC" w:cs="Noto Sans CJK TC"/>
          <w:b/>
          <w:bCs/>
          <w:color w:val="1A365D"/>
          <w:sz w:val="27"/>
          <w:szCs w:val="27"/>
        </w:rPr>
        <w:t>較</w:t>
      </w:r>
    </w:p>
    <w:p w:rsidR="0003266C" w:rsidRDefault="009E53B5">
      <w:pPr>
        <w:pStyle w:val="3"/>
        <w:spacing w:before="200" w:after="100" w:line="320" w:lineRule="auto"/>
      </w:pPr>
      <w:r>
        <w:rPr>
          <w:rFonts w:ascii="Noto Sans CJK TC" w:eastAsia="Noto Sans CJK TC" w:hAnsi="Noto Sans CJK TC" w:cs="Noto Sans CJK TC"/>
          <w:b/>
          <w:bCs/>
          <w:color w:val="2C5282"/>
        </w:rPr>
        <w:lastRenderedPageBreak/>
        <w:t>既有理論的主張</w:t>
      </w:r>
    </w:p>
    <w:p w:rsidR="0003266C" w:rsidRDefault="009E53B5">
      <w:pPr>
        <w:spacing w:after="180" w:line="340" w:lineRule="auto"/>
        <w:jc w:val="both"/>
      </w:pPr>
      <w:r>
        <w:rPr>
          <w:rFonts w:eastAsia="Noto Serif CJK TC"/>
          <w:color w:val="1A202C"/>
        </w:rPr>
        <w:t>Danaher</w:t>
      </w:r>
      <w:r>
        <w:rPr>
          <w:rFonts w:eastAsia="Noto Serif CJK TC"/>
          <w:color w:val="1A202C"/>
        </w:rPr>
        <w:t>（</w:t>
      </w:r>
      <w:r>
        <w:rPr>
          <w:rFonts w:eastAsia="Noto Serif CJK TC"/>
          <w:color w:val="1A202C"/>
        </w:rPr>
        <w:t>2016</w:t>
      </w:r>
      <w:r>
        <w:rPr>
          <w:rFonts w:eastAsia="Noto Serif CJK TC"/>
          <w:color w:val="1A202C"/>
        </w:rPr>
        <w:t>）提出「演算法統治的威脅」，指出當演算法決策邏輯對受影響者而言不透明、不可理解時，即便系統形式上仍受人類監督，實質上已構成一種去人性化的統治方式；他並提出「調適」作為因應之道。傳統演算法治理研究多半聚焦「演算法如何治理」</w:t>
      </w:r>
      <w:proofErr w:type="gramStart"/>
      <w:r>
        <w:rPr>
          <w:rFonts w:eastAsia="Noto Serif CJK TC"/>
          <w:color w:val="1A202C"/>
        </w:rPr>
        <w:t>—</w:t>
      </w:r>
      <w:proofErr w:type="gramEnd"/>
      <w:r>
        <w:rPr>
          <w:rFonts w:eastAsia="Noto Serif CJK TC"/>
          <w:color w:val="1A202C"/>
        </w:rPr>
        <w:t>—</w:t>
      </w:r>
      <w:r>
        <w:rPr>
          <w:rFonts w:eastAsia="Noto Serif CJK TC"/>
          <w:color w:val="1A202C"/>
        </w:rPr>
        <w:t>演算法本身作為治理工具或治理對象時，會產生什麼樣的權力效果。</w:t>
      </w:r>
    </w:p>
    <w:p w:rsidR="0003266C" w:rsidRDefault="009E53B5">
      <w:pPr>
        <w:pStyle w:val="3"/>
        <w:spacing w:before="200" w:after="100" w:line="320" w:lineRule="auto"/>
      </w:pPr>
      <w:r>
        <w:rPr>
          <w:rFonts w:ascii="Noto Sans CJK TC" w:eastAsia="Noto Sans CJK TC" w:hAnsi="Noto Sans CJK TC" w:cs="Noto Sans CJK TC"/>
          <w:b/>
          <w:bCs/>
          <w:color w:val="2C5282"/>
        </w:rPr>
        <w:t xml:space="preserve">GDA </w:t>
      </w:r>
      <w:r>
        <w:rPr>
          <w:rFonts w:ascii="Noto Sans CJK TC" w:eastAsia="Noto Sans CJK TC" w:hAnsi="Noto Sans CJK TC" w:cs="Noto Sans CJK TC"/>
          <w:b/>
          <w:bCs/>
          <w:color w:val="2C5282"/>
        </w:rPr>
        <w:t>模型的推進</w:t>
      </w:r>
    </w:p>
    <w:p w:rsidR="0003266C" w:rsidRDefault="009E53B5">
      <w:pPr>
        <w:spacing w:after="180" w:line="340" w:lineRule="auto"/>
        <w:jc w:val="both"/>
      </w:pPr>
      <w:r>
        <w:rPr>
          <w:rFonts w:eastAsia="Noto Serif CJK TC"/>
          <w:color w:val="1A202C"/>
        </w:rPr>
        <w:t xml:space="preserve">GDA </w:t>
      </w:r>
      <w:r>
        <w:rPr>
          <w:rFonts w:eastAsia="Noto Serif CJK TC"/>
          <w:color w:val="1A202C"/>
        </w:rPr>
        <w:t>模型更進一步追問：誰透過哪些生成位置，使行政結果成為現在這個樣子？演算法治理理論多半以「演算法」作為分析的中心物件，</w:t>
      </w:r>
      <w:r>
        <w:rPr>
          <w:rFonts w:eastAsia="Noto Serif CJK TC"/>
          <w:color w:val="1A202C"/>
        </w:rPr>
        <w:t xml:space="preserve">GDA </w:t>
      </w:r>
      <w:r>
        <w:rPr>
          <w:rFonts w:eastAsia="Noto Serif CJK TC"/>
          <w:color w:val="1A202C"/>
        </w:rPr>
        <w:t>模型的</w:t>
      </w:r>
      <w:r>
        <w:rPr>
          <w:rFonts w:eastAsia="Noto Serif CJK TC"/>
          <w:color w:val="1A202C"/>
        </w:rPr>
        <w:t xml:space="preserve"> DAA </w:t>
      </w:r>
      <w:r>
        <w:rPr>
          <w:rFonts w:eastAsia="Noto Serif CJK TC"/>
          <w:color w:val="1A202C"/>
        </w:rPr>
        <w:t>概念則以「生成過程」為分析中心，演算法只是法定位置、判斷位置、計算機制、結構條件四層構成之一，而非全部。</w:t>
      </w:r>
    </w:p>
    <w:p w:rsidR="0003266C" w:rsidRDefault="009E53B5">
      <w:pPr>
        <w:pStyle w:val="3"/>
        <w:spacing w:before="200" w:after="100" w:line="320" w:lineRule="auto"/>
      </w:pPr>
      <w:r>
        <w:rPr>
          <w:rFonts w:ascii="Noto Sans CJK TC" w:eastAsia="Noto Sans CJK TC" w:hAnsi="Noto Sans CJK TC" w:cs="Noto Sans CJK TC"/>
          <w:b/>
          <w:bCs/>
          <w:color w:val="2C5282"/>
        </w:rPr>
        <w:t xml:space="preserve">DAA </w:t>
      </w:r>
      <w:r>
        <w:rPr>
          <w:rFonts w:ascii="Noto Sans CJK TC" w:eastAsia="Noto Sans CJK TC" w:hAnsi="Noto Sans CJK TC" w:cs="Noto Sans CJK TC"/>
          <w:b/>
          <w:bCs/>
          <w:color w:val="2C5282"/>
        </w:rPr>
        <w:t>是否會稀釋演算法責任？</w:t>
      </w:r>
    </w:p>
    <w:p w:rsidR="0003266C" w:rsidRDefault="009E53B5">
      <w:pPr>
        <w:spacing w:after="180" w:line="340" w:lineRule="auto"/>
        <w:jc w:val="both"/>
      </w:pPr>
      <w:r>
        <w:rPr>
          <w:rFonts w:eastAsia="Noto Serif CJK TC"/>
          <w:color w:val="1A202C"/>
        </w:rPr>
        <w:t>演算法治理論者可能反駁：如果演算法確實是實際生成行政結果的核心引擎，把它稀釋成「四層構成之</w:t>
      </w:r>
      <w:proofErr w:type="gramStart"/>
      <w:r>
        <w:rPr>
          <w:rFonts w:eastAsia="Noto Serif CJK TC"/>
          <w:color w:val="1A202C"/>
        </w:rPr>
        <w:t>一</w:t>
      </w:r>
      <w:proofErr w:type="gramEnd"/>
      <w:r>
        <w:rPr>
          <w:rFonts w:eastAsia="Noto Serif CJK TC"/>
          <w:color w:val="1A202C"/>
        </w:rPr>
        <w:t>」，會不會反而模糊了</w:t>
      </w:r>
      <w:r>
        <w:rPr>
          <w:rFonts w:eastAsia="Noto Serif CJK TC"/>
          <w:color w:val="1A202C"/>
        </w:rPr>
        <w:t xml:space="preserve"> Danaher </w:t>
      </w:r>
      <w:r>
        <w:rPr>
          <w:rFonts w:eastAsia="Noto Serif CJK TC"/>
          <w:color w:val="1A202C"/>
        </w:rPr>
        <w:t>所警示的、演算法權力本身的特殊性與集中性，</w:t>
      </w:r>
      <w:proofErr w:type="gramStart"/>
      <w:r>
        <w:rPr>
          <w:rFonts w:eastAsia="Noto Serif CJK TC"/>
          <w:color w:val="1A202C"/>
        </w:rPr>
        <w:t>讓課</w:t>
      </w:r>
      <w:proofErr w:type="gramEnd"/>
      <w:r>
        <w:rPr>
          <w:rFonts w:eastAsia="Noto Serif CJK TC"/>
          <w:color w:val="1A202C"/>
        </w:rPr>
        <w:t>責的焦點被分散掉？這個疑慮觸及</w:t>
      </w:r>
      <w:r>
        <w:rPr>
          <w:rFonts w:eastAsia="Noto Serif CJK TC"/>
          <w:color w:val="1A202C"/>
        </w:rPr>
        <w:t xml:space="preserve"> DAA </w:t>
      </w:r>
      <w:r>
        <w:rPr>
          <w:rFonts w:eastAsia="Noto Serif CJK TC"/>
          <w:color w:val="1A202C"/>
        </w:rPr>
        <w:t>概念一個實</w:t>
      </w:r>
      <w:r>
        <w:rPr>
          <w:rFonts w:eastAsia="Noto Serif CJK TC"/>
          <w:color w:val="1A202C"/>
        </w:rPr>
        <w:t>際的風險。</w:t>
      </w:r>
      <w:r>
        <w:rPr>
          <w:rFonts w:eastAsia="Noto Serif CJK TC"/>
          <w:color w:val="1A202C"/>
        </w:rPr>
        <w:t xml:space="preserve">GDA </w:t>
      </w:r>
      <w:r>
        <w:rPr>
          <w:rFonts w:eastAsia="Noto Serif CJK TC"/>
          <w:color w:val="1A202C"/>
        </w:rPr>
        <w:t>模型的回應是：把演算法放在四層構成之中，不是要否認演算法的因果重要性，而是要指出</w:t>
      </w:r>
      <w:proofErr w:type="gramStart"/>
      <w:r>
        <w:rPr>
          <w:rFonts w:eastAsia="Noto Serif CJK TC"/>
          <w:color w:val="1A202C"/>
        </w:rPr>
        <w:t>—</w:t>
      </w:r>
      <w:proofErr w:type="gramEnd"/>
      <w:r>
        <w:rPr>
          <w:rFonts w:eastAsia="Noto Serif CJK TC"/>
          <w:color w:val="1A202C"/>
        </w:rPr>
        <w:t>—</w:t>
      </w:r>
      <w:r>
        <w:rPr>
          <w:rFonts w:eastAsia="Noto Serif CJK TC"/>
          <w:color w:val="1A202C"/>
        </w:rPr>
        <w:t>法定位置往往</w:t>
      </w:r>
      <w:proofErr w:type="gramStart"/>
      <w:r>
        <w:rPr>
          <w:rFonts w:eastAsia="Noto Serif CJK TC"/>
          <w:color w:val="1A202C"/>
        </w:rPr>
        <w:t>預先框定</w:t>
      </w:r>
      <w:proofErr w:type="gramEnd"/>
      <w:r>
        <w:rPr>
          <w:rFonts w:eastAsia="Noto Serif CJK TC"/>
          <w:color w:val="1A202C"/>
        </w:rPr>
        <w:t>了演算法「被允許」處理哪些變數與目標函數，結構條件則決定演算法運作所需的資料品質與資源配置；</w:t>
      </w:r>
      <w:proofErr w:type="gramStart"/>
      <w:r>
        <w:rPr>
          <w:rFonts w:eastAsia="Noto Serif CJK TC"/>
          <w:color w:val="1A202C"/>
        </w:rPr>
        <w:t>只究責</w:t>
      </w:r>
      <w:proofErr w:type="gramEnd"/>
      <w:r>
        <w:rPr>
          <w:rFonts w:eastAsia="Noto Serif CJK TC"/>
          <w:color w:val="1A202C"/>
        </w:rPr>
        <w:t>演算法本身，容易讓法定位置與結構條件這兩個同樣具備因果力、卻更不顯眼的生成節點逃脫審視。換言之，</w:t>
      </w:r>
      <w:r>
        <w:rPr>
          <w:rFonts w:eastAsia="Noto Serif CJK TC"/>
          <w:color w:val="1A202C"/>
        </w:rPr>
        <w:t xml:space="preserve">DAA </w:t>
      </w:r>
      <w:r>
        <w:rPr>
          <w:rFonts w:eastAsia="Noto Serif CJK TC"/>
          <w:color w:val="1A202C"/>
        </w:rPr>
        <w:t>並不淡化演算法統治的風險，而是主張：光是規範演算法本身，未必足以消除演算法統治的風險，因為風險也可能藏在演算法「被要求」達成什麼目標的上游決定裡</w:t>
      </w:r>
      <w:proofErr w:type="gramStart"/>
      <w:r>
        <w:rPr>
          <w:rFonts w:eastAsia="Noto Serif CJK TC"/>
          <w:color w:val="1A202C"/>
        </w:rPr>
        <w:t>—</w:t>
      </w:r>
      <w:proofErr w:type="gramEnd"/>
      <w:r>
        <w:rPr>
          <w:rFonts w:eastAsia="Noto Serif CJK TC"/>
          <w:color w:val="1A202C"/>
        </w:rPr>
        <w:t>—</w:t>
      </w:r>
      <w:r>
        <w:rPr>
          <w:rFonts w:eastAsia="Noto Serif CJK TC"/>
          <w:color w:val="1A202C"/>
        </w:rPr>
        <w:t>但這個主張目前仍是理論推論，尚未有個案資</w:t>
      </w:r>
      <w:r>
        <w:rPr>
          <w:rFonts w:eastAsia="Noto Serif CJK TC"/>
          <w:color w:val="1A202C"/>
        </w:rPr>
        <w:t>料證明上游節點確實承載了與演算法同等份量的統治效果。</w:t>
      </w:r>
    </w:p>
    <w:p w:rsidR="0003266C" w:rsidRDefault="009E53B5">
      <w:pPr>
        <w:pStyle w:val="2"/>
        <w:spacing w:before="280" w:after="140" w:line="340" w:lineRule="auto"/>
      </w:pPr>
      <w:r>
        <w:rPr>
          <w:rFonts w:ascii="Noto Sans CJK TC" w:eastAsia="Noto Sans CJK TC" w:hAnsi="Noto Sans CJK TC" w:cs="Noto Sans CJK TC"/>
          <w:b/>
          <w:bCs/>
          <w:color w:val="1A365D"/>
          <w:sz w:val="27"/>
          <w:szCs w:val="27"/>
        </w:rPr>
        <w:t>三、與</w:t>
      </w:r>
      <w:r>
        <w:rPr>
          <w:rFonts w:ascii="Noto Sans CJK TC" w:eastAsia="Noto Sans CJK TC" w:hAnsi="Noto Sans CJK TC" w:cs="Noto Sans CJK TC"/>
          <w:b/>
          <w:bCs/>
          <w:color w:val="1A365D"/>
          <w:sz w:val="27"/>
          <w:szCs w:val="27"/>
        </w:rPr>
        <w:t xml:space="preserve"> AI accountability </w:t>
      </w:r>
      <w:r>
        <w:rPr>
          <w:rFonts w:ascii="Noto Sans CJK TC" w:eastAsia="Noto Sans CJK TC" w:hAnsi="Noto Sans CJK TC" w:cs="Noto Sans CJK TC"/>
          <w:b/>
          <w:bCs/>
          <w:color w:val="1A365D"/>
          <w:sz w:val="27"/>
          <w:szCs w:val="27"/>
        </w:rPr>
        <w:t>比較</w:t>
      </w:r>
    </w:p>
    <w:p w:rsidR="0003266C" w:rsidRDefault="009E53B5">
      <w:pPr>
        <w:pStyle w:val="3"/>
        <w:spacing w:before="200" w:after="100" w:line="320" w:lineRule="auto"/>
      </w:pPr>
      <w:r>
        <w:rPr>
          <w:rFonts w:ascii="Noto Sans CJK TC" w:eastAsia="Noto Sans CJK TC" w:hAnsi="Noto Sans CJK TC" w:cs="Noto Sans CJK TC"/>
          <w:b/>
          <w:bCs/>
          <w:color w:val="2C5282"/>
        </w:rPr>
        <w:t>既有理論的主張</w:t>
      </w:r>
    </w:p>
    <w:p w:rsidR="0003266C" w:rsidRDefault="009E53B5">
      <w:pPr>
        <w:spacing w:after="180" w:line="340" w:lineRule="auto"/>
        <w:jc w:val="both"/>
      </w:pPr>
      <w:proofErr w:type="spellStart"/>
      <w:r>
        <w:rPr>
          <w:rFonts w:eastAsia="Noto Serif CJK TC"/>
          <w:color w:val="1A202C"/>
        </w:rPr>
        <w:t>Busuioc</w:t>
      </w:r>
      <w:proofErr w:type="spellEnd"/>
      <w:r>
        <w:rPr>
          <w:rFonts w:eastAsia="Noto Serif CJK TC"/>
          <w:color w:val="1A202C"/>
        </w:rPr>
        <w:t>（</w:t>
      </w:r>
      <w:r>
        <w:rPr>
          <w:rFonts w:eastAsia="Noto Serif CJK TC"/>
          <w:color w:val="1A202C"/>
        </w:rPr>
        <w:t>2021</w:t>
      </w:r>
      <w:r>
        <w:rPr>
          <w:rFonts w:eastAsia="Noto Serif CJK TC"/>
          <w:color w:val="1A202C"/>
        </w:rPr>
        <w:t>）系統性分析</w:t>
      </w:r>
      <w:r>
        <w:rPr>
          <w:rFonts w:eastAsia="Noto Serif CJK TC"/>
          <w:color w:val="1A202C"/>
        </w:rPr>
        <w:t xml:space="preserve"> AI </w:t>
      </w:r>
      <w:r>
        <w:rPr>
          <w:rFonts w:eastAsia="Noto Serif CJK TC"/>
          <w:color w:val="1A202C"/>
        </w:rPr>
        <w:t>系統為</w:t>
      </w:r>
      <w:proofErr w:type="gramStart"/>
      <w:r>
        <w:rPr>
          <w:rFonts w:eastAsia="Noto Serif CJK TC"/>
          <w:color w:val="1A202C"/>
        </w:rPr>
        <w:t>既有問責機制</w:t>
      </w:r>
      <w:proofErr w:type="gramEnd"/>
      <w:r>
        <w:rPr>
          <w:rFonts w:eastAsia="Noto Serif CJK TC"/>
          <w:color w:val="1A202C"/>
        </w:rPr>
        <w:t>帶來的三重挑戰：</w:t>
      </w:r>
      <w:proofErr w:type="gramStart"/>
      <w:r>
        <w:rPr>
          <w:rFonts w:eastAsia="Noto Serif CJK TC"/>
          <w:color w:val="1A202C"/>
        </w:rPr>
        <w:t>不</w:t>
      </w:r>
      <w:proofErr w:type="gramEnd"/>
      <w:r>
        <w:rPr>
          <w:rFonts w:eastAsia="Noto Serif CJK TC"/>
          <w:color w:val="1A202C"/>
        </w:rPr>
        <w:t>透明性（黑箱問題）使外部監督者難以理解決策邏輯；不可預測性使決策結果難以事前預期；</w:t>
      </w:r>
      <w:proofErr w:type="gramStart"/>
      <w:r>
        <w:rPr>
          <w:rFonts w:eastAsia="Noto Serif CJK TC"/>
          <w:color w:val="1A202C"/>
        </w:rPr>
        <w:t>既有問責框架</w:t>
      </w:r>
      <w:proofErr w:type="gramEnd"/>
      <w:r>
        <w:rPr>
          <w:rFonts w:eastAsia="Noto Serif CJK TC"/>
          <w:color w:val="1A202C"/>
        </w:rPr>
        <w:t>（立法、司法、行政監督）原本假設「決策者是人」，未必能有效適用於演算法決策情境。她指出，「誰負責」這個</w:t>
      </w:r>
      <w:proofErr w:type="gramStart"/>
      <w:r>
        <w:rPr>
          <w:rFonts w:eastAsia="Noto Serif CJK TC"/>
          <w:color w:val="1A202C"/>
        </w:rPr>
        <w:t>既有問責理論</w:t>
      </w:r>
      <w:proofErr w:type="gramEnd"/>
      <w:r>
        <w:rPr>
          <w:rFonts w:eastAsia="Noto Serif CJK TC"/>
          <w:color w:val="1A202C"/>
        </w:rPr>
        <w:t>的核心提問在</w:t>
      </w:r>
      <w:r>
        <w:rPr>
          <w:rFonts w:eastAsia="Noto Serif CJK TC"/>
          <w:color w:val="1A202C"/>
        </w:rPr>
        <w:t xml:space="preserve"> AI </w:t>
      </w:r>
      <w:r>
        <w:rPr>
          <w:rFonts w:eastAsia="Noto Serif CJK TC"/>
          <w:color w:val="1A202C"/>
        </w:rPr>
        <w:t>情境下仍然重要，但已不足以窮盡問題全貌。</w:t>
      </w:r>
    </w:p>
    <w:p w:rsidR="0003266C" w:rsidRDefault="009E53B5">
      <w:pPr>
        <w:pStyle w:val="3"/>
        <w:spacing w:before="200" w:after="100" w:line="320" w:lineRule="auto"/>
      </w:pPr>
      <w:r>
        <w:rPr>
          <w:rFonts w:ascii="Noto Sans CJK TC" w:eastAsia="Noto Sans CJK TC" w:hAnsi="Noto Sans CJK TC" w:cs="Noto Sans CJK TC"/>
          <w:b/>
          <w:bCs/>
          <w:color w:val="2C5282"/>
        </w:rPr>
        <w:t xml:space="preserve">GDA </w:t>
      </w:r>
      <w:r>
        <w:rPr>
          <w:rFonts w:ascii="Noto Sans CJK TC" w:eastAsia="Noto Sans CJK TC" w:hAnsi="Noto Sans CJK TC" w:cs="Noto Sans CJK TC"/>
          <w:b/>
          <w:bCs/>
          <w:color w:val="2C5282"/>
        </w:rPr>
        <w:t>模型的推進</w:t>
      </w:r>
    </w:p>
    <w:p w:rsidR="0003266C" w:rsidRDefault="009E53B5">
      <w:pPr>
        <w:spacing w:after="180" w:line="340" w:lineRule="auto"/>
        <w:jc w:val="both"/>
      </w:pPr>
      <w:r>
        <w:rPr>
          <w:rFonts w:eastAsia="Noto Serif CJK TC"/>
          <w:color w:val="1A202C"/>
        </w:rPr>
        <w:t xml:space="preserve">GDA </w:t>
      </w:r>
      <w:r>
        <w:rPr>
          <w:rFonts w:eastAsia="Noto Serif CJK TC"/>
          <w:color w:val="1A202C"/>
        </w:rPr>
        <w:t>模型在此基礎上</w:t>
      </w:r>
      <w:r>
        <w:rPr>
          <w:rFonts w:eastAsia="Noto Serif CJK TC"/>
          <w:color w:val="1A202C"/>
        </w:rPr>
        <w:t>的推進是：</w:t>
      </w:r>
      <w:r>
        <w:rPr>
          <w:rFonts w:eastAsia="Noto Serif CJK TC"/>
          <w:color w:val="1A202C"/>
        </w:rPr>
        <w:t xml:space="preserve">accountability </w:t>
      </w:r>
      <w:r>
        <w:rPr>
          <w:rFonts w:eastAsia="Noto Serif CJK TC"/>
          <w:color w:val="1A202C"/>
        </w:rPr>
        <w:t>不只是「誰負責」，而是「公共機關是否仍有能力重新介入」。</w:t>
      </w:r>
      <w:r>
        <w:rPr>
          <w:rFonts w:eastAsia="Noto Serif CJK TC"/>
          <w:color w:val="1A202C"/>
        </w:rPr>
        <w:t xml:space="preserve">UCPR </w:t>
      </w:r>
      <w:r>
        <w:rPr>
          <w:rFonts w:eastAsia="Noto Serif CJK TC"/>
          <w:color w:val="1A202C"/>
        </w:rPr>
        <w:t>不只問責任歸屬，</w:t>
      </w:r>
      <w:proofErr w:type="gramStart"/>
      <w:r>
        <w:rPr>
          <w:rFonts w:eastAsia="Noto Serif CJK TC"/>
          <w:color w:val="1A202C"/>
        </w:rPr>
        <w:t>更問公共</w:t>
      </w:r>
      <w:proofErr w:type="gramEnd"/>
      <w:r>
        <w:rPr>
          <w:rFonts w:eastAsia="Noto Serif CJK TC"/>
          <w:color w:val="1A202C"/>
        </w:rPr>
        <w:t>機關是否保有認知、決策</w:t>
      </w:r>
      <w:proofErr w:type="gramStart"/>
      <w:r>
        <w:rPr>
          <w:rFonts w:eastAsia="Noto Serif CJK TC"/>
          <w:color w:val="1A202C"/>
        </w:rPr>
        <w:t>與課責三</w:t>
      </w:r>
      <w:proofErr w:type="gramEnd"/>
      <w:r>
        <w:rPr>
          <w:rFonts w:eastAsia="Noto Serif CJK TC"/>
          <w:color w:val="1A202C"/>
        </w:rPr>
        <w:t>種能力，得以在損害發生之前或當下介入、修正、甚至撤銷系統決策，而不只是</w:t>
      </w:r>
      <w:proofErr w:type="gramStart"/>
      <w:r>
        <w:rPr>
          <w:rFonts w:eastAsia="Noto Serif CJK TC"/>
          <w:color w:val="1A202C"/>
        </w:rPr>
        <w:t>事後追</w:t>
      </w:r>
      <w:proofErr w:type="gramEnd"/>
      <w:r>
        <w:rPr>
          <w:rFonts w:eastAsia="Noto Serif CJK TC"/>
          <w:color w:val="1A202C"/>
        </w:rPr>
        <w:t>責。對照</w:t>
      </w:r>
      <w:r>
        <w:rPr>
          <w:rFonts w:eastAsia="Noto Serif CJK TC"/>
          <w:color w:val="1A202C"/>
        </w:rPr>
        <w:t xml:space="preserve"> </w:t>
      </w:r>
      <w:proofErr w:type="spellStart"/>
      <w:r>
        <w:rPr>
          <w:rFonts w:eastAsia="Noto Serif CJK TC"/>
          <w:color w:val="1A202C"/>
        </w:rPr>
        <w:lastRenderedPageBreak/>
        <w:t>Busuioc</w:t>
      </w:r>
      <w:proofErr w:type="spellEnd"/>
      <w:r>
        <w:rPr>
          <w:rFonts w:eastAsia="Noto Serif CJK TC"/>
          <w:color w:val="1A202C"/>
        </w:rPr>
        <w:t xml:space="preserve"> </w:t>
      </w:r>
      <w:r>
        <w:rPr>
          <w:rFonts w:eastAsia="Noto Serif CJK TC"/>
          <w:color w:val="1A202C"/>
        </w:rPr>
        <w:t>的三重挑戰：認知能力對應</w:t>
      </w:r>
      <w:proofErr w:type="gramStart"/>
      <w:r>
        <w:rPr>
          <w:rFonts w:eastAsia="Noto Serif CJK TC"/>
          <w:color w:val="1A202C"/>
        </w:rPr>
        <w:t>不</w:t>
      </w:r>
      <w:proofErr w:type="gramEnd"/>
      <w:r>
        <w:rPr>
          <w:rFonts w:eastAsia="Noto Serif CJK TC"/>
          <w:color w:val="1A202C"/>
        </w:rPr>
        <w:t>透明性、決策能力對應不可預測性、</w:t>
      </w:r>
      <w:proofErr w:type="gramStart"/>
      <w:r>
        <w:rPr>
          <w:rFonts w:eastAsia="Noto Serif CJK TC"/>
          <w:color w:val="1A202C"/>
        </w:rPr>
        <w:t>課責能</w:t>
      </w:r>
      <w:proofErr w:type="gramEnd"/>
      <w:r>
        <w:rPr>
          <w:rFonts w:eastAsia="Noto Serif CJK TC"/>
          <w:color w:val="1A202C"/>
        </w:rPr>
        <w:t>力對應</w:t>
      </w:r>
      <w:proofErr w:type="gramStart"/>
      <w:r>
        <w:rPr>
          <w:rFonts w:eastAsia="Noto Serif CJK TC"/>
          <w:color w:val="1A202C"/>
        </w:rPr>
        <w:t>既有問責框</w:t>
      </w:r>
      <w:proofErr w:type="gramEnd"/>
      <w:r>
        <w:rPr>
          <w:rFonts w:eastAsia="Noto Serif CJK TC"/>
          <w:color w:val="1A202C"/>
        </w:rPr>
        <w:t>架適用性</w:t>
      </w:r>
      <w:r>
        <w:rPr>
          <w:rFonts w:eastAsia="Noto Serif CJK TC"/>
          <w:color w:val="1A202C"/>
        </w:rPr>
        <w:t xml:space="preserve">——UCPR </w:t>
      </w:r>
      <w:r>
        <w:rPr>
          <w:rFonts w:eastAsia="Noto Serif CJK TC"/>
          <w:color w:val="1A202C"/>
        </w:rPr>
        <w:t>因此可理解為</w:t>
      </w:r>
      <w:r>
        <w:rPr>
          <w:rFonts w:eastAsia="Noto Serif CJK TC"/>
          <w:color w:val="1A202C"/>
        </w:rPr>
        <w:t xml:space="preserve"> </w:t>
      </w:r>
      <w:proofErr w:type="spellStart"/>
      <w:r>
        <w:rPr>
          <w:rFonts w:eastAsia="Noto Serif CJK TC"/>
          <w:color w:val="1A202C"/>
        </w:rPr>
        <w:t>Busuioc</w:t>
      </w:r>
      <w:proofErr w:type="spellEnd"/>
      <w:r>
        <w:rPr>
          <w:rFonts w:eastAsia="Noto Serif CJK TC"/>
          <w:color w:val="1A202C"/>
        </w:rPr>
        <w:t xml:space="preserve"> </w:t>
      </w:r>
      <w:proofErr w:type="gramStart"/>
      <w:r>
        <w:rPr>
          <w:rFonts w:eastAsia="Noto Serif CJK TC"/>
          <w:color w:val="1A202C"/>
        </w:rPr>
        <w:t>問責挑</w:t>
      </w:r>
      <w:proofErr w:type="gramEnd"/>
      <w:r>
        <w:rPr>
          <w:rFonts w:eastAsia="Noto Serif CJK TC"/>
          <w:color w:val="1A202C"/>
        </w:rPr>
        <w:t>戰的一種制度回應架構，而非與其平行、互不相干的另一套理論。</w:t>
      </w:r>
    </w:p>
    <w:p w:rsidR="0003266C" w:rsidRDefault="009E53B5">
      <w:pPr>
        <w:pStyle w:val="3"/>
        <w:spacing w:before="200" w:after="100" w:line="320" w:lineRule="auto"/>
      </w:pPr>
      <w:r>
        <w:rPr>
          <w:rFonts w:ascii="Noto Sans CJK TC" w:eastAsia="Noto Sans CJK TC" w:hAnsi="Noto Sans CJK TC" w:cs="Noto Sans CJK TC"/>
          <w:b/>
          <w:bCs/>
          <w:color w:val="2C5282"/>
        </w:rPr>
        <w:t xml:space="preserve">UCPR </w:t>
      </w:r>
      <w:r>
        <w:rPr>
          <w:rFonts w:ascii="Noto Sans CJK TC" w:eastAsia="Noto Sans CJK TC" w:hAnsi="Noto Sans CJK TC" w:cs="Noto Sans CJK TC"/>
          <w:b/>
          <w:bCs/>
          <w:color w:val="2C5282"/>
        </w:rPr>
        <w:t>是否</w:t>
      </w:r>
      <w:proofErr w:type="gramStart"/>
      <w:r>
        <w:rPr>
          <w:rFonts w:ascii="Noto Sans CJK TC" w:eastAsia="Noto Sans CJK TC" w:hAnsi="Noto Sans CJK TC" w:cs="Noto Sans CJK TC"/>
          <w:b/>
          <w:bCs/>
          <w:color w:val="2C5282"/>
        </w:rPr>
        <w:t>只是問責概念</w:t>
      </w:r>
      <w:proofErr w:type="gramEnd"/>
      <w:r>
        <w:rPr>
          <w:rFonts w:ascii="Noto Sans CJK TC" w:eastAsia="Noto Sans CJK TC" w:hAnsi="Noto Sans CJK TC" w:cs="Noto Sans CJK TC"/>
          <w:b/>
          <w:bCs/>
          <w:color w:val="2C5282"/>
        </w:rPr>
        <w:t>的改名？</w:t>
      </w:r>
    </w:p>
    <w:p w:rsidR="0003266C" w:rsidRDefault="009E53B5">
      <w:pPr>
        <w:spacing w:after="180" w:line="340" w:lineRule="auto"/>
        <w:jc w:val="both"/>
      </w:pPr>
      <w:proofErr w:type="spellStart"/>
      <w:r>
        <w:rPr>
          <w:rFonts w:eastAsia="Noto Serif CJK TC"/>
          <w:color w:val="1A202C"/>
        </w:rPr>
        <w:t>Busuioc</w:t>
      </w:r>
      <w:proofErr w:type="spellEnd"/>
      <w:r>
        <w:rPr>
          <w:rFonts w:eastAsia="Noto Serif CJK TC"/>
          <w:color w:val="1A202C"/>
        </w:rPr>
        <w:t xml:space="preserve"> </w:t>
      </w:r>
      <w:r>
        <w:rPr>
          <w:rFonts w:eastAsia="Noto Serif CJK TC"/>
          <w:color w:val="1A202C"/>
        </w:rPr>
        <w:t>論的支持者可能質疑：認知、決策、</w:t>
      </w:r>
      <w:proofErr w:type="gramStart"/>
      <w:r>
        <w:rPr>
          <w:rFonts w:eastAsia="Noto Serif CJK TC"/>
          <w:color w:val="1A202C"/>
        </w:rPr>
        <w:t>課責三種</w:t>
      </w:r>
      <w:proofErr w:type="gramEnd"/>
      <w:r>
        <w:rPr>
          <w:rFonts w:eastAsia="Noto Serif CJK TC"/>
          <w:color w:val="1A202C"/>
        </w:rPr>
        <w:t>能力，聽起來很像是把既有</w:t>
      </w:r>
      <w:proofErr w:type="gramStart"/>
      <w:r>
        <w:rPr>
          <w:rFonts w:eastAsia="Noto Serif CJK TC"/>
          <w:color w:val="1A202C"/>
        </w:rPr>
        <w:t>問責機制</w:t>
      </w:r>
      <w:r>
        <w:rPr>
          <w:rFonts w:eastAsia="Noto Serif CJK TC"/>
          <w:color w:val="1A202C"/>
        </w:rPr>
        <w:t>—</w:t>
      </w:r>
      <w:proofErr w:type="gramEnd"/>
      <w:r>
        <w:rPr>
          <w:rFonts w:eastAsia="Noto Serif CJK TC"/>
          <w:color w:val="1A202C"/>
        </w:rPr>
        <w:t>—</w:t>
      </w:r>
      <w:r>
        <w:rPr>
          <w:rFonts w:eastAsia="Noto Serif CJK TC"/>
          <w:color w:val="1A202C"/>
        </w:rPr>
        <w:t>透明度要求對應認知、司法審查對應決策、救濟程序對應課責</w:t>
      </w:r>
      <w:r>
        <w:rPr>
          <w:rFonts w:eastAsia="Noto Serif CJK TC"/>
          <w:color w:val="1A202C"/>
        </w:rPr>
        <w:t>——</w:t>
      </w:r>
      <w:r>
        <w:rPr>
          <w:rFonts w:eastAsia="Noto Serif CJK TC"/>
          <w:color w:val="1A202C"/>
        </w:rPr>
        <w:t>換一套詞彙重新分類，</w:t>
      </w:r>
      <w:r>
        <w:rPr>
          <w:rFonts w:eastAsia="Noto Serif CJK TC"/>
          <w:color w:val="1A202C"/>
        </w:rPr>
        <w:t xml:space="preserve">UCPR </w:t>
      </w:r>
      <w:r>
        <w:rPr>
          <w:rFonts w:eastAsia="Noto Serif CJK TC"/>
          <w:color w:val="1A202C"/>
        </w:rPr>
        <w:t>究竟在既有工具箱之外新增了什麼？這個質疑點出</w:t>
      </w:r>
      <w:r>
        <w:rPr>
          <w:rFonts w:eastAsia="Noto Serif CJK TC"/>
          <w:color w:val="1A202C"/>
        </w:rPr>
        <w:t xml:space="preserve"> UCPR </w:t>
      </w:r>
      <w:r>
        <w:rPr>
          <w:rFonts w:eastAsia="Noto Serif CJK TC"/>
          <w:color w:val="1A202C"/>
        </w:rPr>
        <w:t>論述中最需要說明清楚之處。</w:t>
      </w:r>
      <w:r>
        <w:rPr>
          <w:rFonts w:eastAsia="Noto Serif CJK TC"/>
          <w:color w:val="1A202C"/>
        </w:rPr>
        <w:t xml:space="preserve">GDA </w:t>
      </w:r>
      <w:r>
        <w:rPr>
          <w:rFonts w:eastAsia="Noto Serif CJK TC"/>
          <w:color w:val="1A202C"/>
        </w:rPr>
        <w:t>模型的回應在於時間軸，但須先澄清一點：並非所有</w:t>
      </w:r>
      <w:proofErr w:type="gramStart"/>
      <w:r>
        <w:rPr>
          <w:rFonts w:eastAsia="Noto Serif CJK TC"/>
          <w:color w:val="1A202C"/>
        </w:rPr>
        <w:t>既有問責機制</w:t>
      </w:r>
      <w:proofErr w:type="gramEnd"/>
      <w:r>
        <w:rPr>
          <w:rFonts w:eastAsia="Noto Serif CJK TC"/>
          <w:color w:val="1A202C"/>
        </w:rPr>
        <w:t>都是事後性的</w:t>
      </w:r>
      <w:r>
        <w:rPr>
          <w:rFonts w:eastAsia="Noto Serif CJK TC"/>
          <w:color w:val="1A202C"/>
        </w:rPr>
        <w:t>——</w:t>
      </w:r>
      <w:r>
        <w:rPr>
          <w:rFonts w:eastAsia="Noto Serif CJK TC"/>
          <w:color w:val="1A202C"/>
        </w:rPr>
        <w:t>行政監督、內部控制、風險升級、暫停部署與預先影響評估等機制，也可能在決策形成前或過程中發生，把既有問責一概說成事後追溯，會是一個不公平的簡化。</w:t>
      </w:r>
      <w:r>
        <w:rPr>
          <w:rFonts w:eastAsia="Noto Serif CJK TC"/>
          <w:color w:val="1A202C"/>
        </w:rPr>
        <w:t xml:space="preserve">UCPR </w:t>
      </w:r>
      <w:r>
        <w:rPr>
          <w:rFonts w:eastAsia="Noto Serif CJK TC"/>
          <w:color w:val="1A202C"/>
        </w:rPr>
        <w:t>並非發明「事中監督」，而是主張：</w:t>
      </w:r>
      <w:r>
        <w:rPr>
          <w:rFonts w:eastAsia="Noto Serif CJK TC"/>
          <w:color w:val="1A202C"/>
        </w:rPr>
        <w:t>應把事中認知、決策與責任承擔能力，提升為評估公共權威在</w:t>
      </w:r>
      <w:r>
        <w:rPr>
          <w:rFonts w:eastAsia="Noto Serif CJK TC"/>
          <w:color w:val="1A202C"/>
        </w:rPr>
        <w:t xml:space="preserve"> AI </w:t>
      </w:r>
      <w:r>
        <w:rPr>
          <w:rFonts w:eastAsia="Noto Serif CJK TC"/>
          <w:color w:val="1A202C"/>
        </w:rPr>
        <w:t>中介過程中是否仍然存在的核心判</w:t>
      </w:r>
      <w:proofErr w:type="gramStart"/>
      <w:r>
        <w:rPr>
          <w:rFonts w:eastAsia="Noto Serif CJK TC"/>
          <w:color w:val="1A202C"/>
        </w:rPr>
        <w:t>準</w:t>
      </w:r>
      <w:proofErr w:type="gramEnd"/>
      <w:r>
        <w:rPr>
          <w:rFonts w:eastAsia="Noto Serif CJK TC"/>
          <w:color w:val="1A202C"/>
        </w:rPr>
        <w:t>，而不只是眾多既有機制中，恰好也具有事中性質的其中一項。一個機關可能同時具備上述若干事中機制的名目，卻在系統實際運作的當下，並不真正具備認知系統在做什麼、或即時修正其決策的實質能力</w:t>
      </w:r>
      <w:proofErr w:type="gramStart"/>
      <w:r>
        <w:rPr>
          <w:rFonts w:eastAsia="Noto Serif CJK TC"/>
          <w:color w:val="1A202C"/>
        </w:rPr>
        <w:t>—</w:t>
      </w:r>
      <w:proofErr w:type="gramEnd"/>
      <w:r>
        <w:rPr>
          <w:rFonts w:eastAsia="Noto Serif CJK TC"/>
          <w:color w:val="1A202C"/>
        </w:rPr>
        <w:t xml:space="preserve">—UCPR </w:t>
      </w:r>
      <w:r>
        <w:rPr>
          <w:rFonts w:eastAsia="Noto Serif CJK TC"/>
          <w:color w:val="1A202C"/>
        </w:rPr>
        <w:t>追問的正是這個實質落差。這是</w:t>
      </w:r>
      <w:r>
        <w:rPr>
          <w:rFonts w:eastAsia="Noto Serif CJK TC"/>
          <w:color w:val="1A202C"/>
        </w:rPr>
        <w:t xml:space="preserve"> UCPR </w:t>
      </w:r>
      <w:r>
        <w:rPr>
          <w:rFonts w:eastAsia="Noto Serif CJK TC"/>
          <w:color w:val="1A202C"/>
        </w:rPr>
        <w:t>相對於</w:t>
      </w:r>
      <w:proofErr w:type="gramStart"/>
      <w:r>
        <w:rPr>
          <w:rFonts w:eastAsia="Noto Serif CJK TC"/>
          <w:color w:val="1A202C"/>
        </w:rPr>
        <w:t>既有問責框架</w:t>
      </w:r>
      <w:proofErr w:type="gramEnd"/>
      <w:r>
        <w:rPr>
          <w:rFonts w:eastAsia="Noto Serif CJK TC"/>
          <w:color w:val="1A202C"/>
        </w:rPr>
        <w:t>的具體區辨</w:t>
      </w:r>
      <w:r>
        <w:rPr>
          <w:rFonts w:eastAsia="Noto Serif CJK TC"/>
          <w:color w:val="1A202C"/>
        </w:rPr>
        <w:t>——</w:t>
      </w:r>
      <w:r>
        <w:rPr>
          <w:rFonts w:eastAsia="Noto Serif CJK TC"/>
          <w:color w:val="1A202C"/>
        </w:rPr>
        <w:t>但這個</w:t>
      </w:r>
      <w:proofErr w:type="gramStart"/>
      <w:r>
        <w:rPr>
          <w:rFonts w:eastAsia="Noto Serif CJK TC"/>
          <w:color w:val="1A202C"/>
        </w:rPr>
        <w:t>區辨要</w:t>
      </w:r>
      <w:proofErr w:type="gramEnd"/>
      <w:r>
        <w:rPr>
          <w:rFonts w:eastAsia="Noto Serif CJK TC"/>
          <w:color w:val="1A202C"/>
        </w:rPr>
        <w:t>能真正站得住，仍需要一套可觀察、可測量的指標，證明「名目上的事中機制」與「實質可行使的事中能力」在經驗上確實可能脫鉤，這正是本文尚未完成的操</w:t>
      </w:r>
      <w:r>
        <w:rPr>
          <w:rFonts w:eastAsia="Noto Serif CJK TC"/>
          <w:color w:val="1A202C"/>
        </w:rPr>
        <w:t>作化工作。</w:t>
      </w:r>
    </w:p>
    <w:p w:rsidR="0003266C" w:rsidRDefault="009E53B5">
      <w:pPr>
        <w:pStyle w:val="2"/>
        <w:spacing w:before="280" w:after="140" w:line="340" w:lineRule="auto"/>
      </w:pPr>
      <w:r>
        <w:rPr>
          <w:rFonts w:ascii="Noto Sans CJK TC" w:eastAsia="Noto Sans CJK TC" w:hAnsi="Noto Sans CJK TC" w:cs="Noto Sans CJK TC"/>
          <w:b/>
          <w:bCs/>
          <w:color w:val="1A365D"/>
          <w:sz w:val="27"/>
          <w:szCs w:val="27"/>
        </w:rPr>
        <w:t>四、與行政法理論比較</w:t>
      </w:r>
    </w:p>
    <w:p w:rsidR="0003266C" w:rsidRDefault="009E53B5">
      <w:pPr>
        <w:pStyle w:val="3"/>
        <w:spacing w:before="200" w:after="100" w:line="320" w:lineRule="auto"/>
      </w:pPr>
      <w:r>
        <w:rPr>
          <w:rFonts w:ascii="Noto Sans CJK TC" w:eastAsia="Noto Sans CJK TC" w:hAnsi="Noto Sans CJK TC" w:cs="Noto Sans CJK TC"/>
          <w:b/>
          <w:bCs/>
          <w:color w:val="2C5282"/>
        </w:rPr>
        <w:t>既有理論的主張</w:t>
      </w:r>
    </w:p>
    <w:p w:rsidR="0003266C" w:rsidRDefault="009E53B5">
      <w:pPr>
        <w:spacing w:after="180" w:line="340" w:lineRule="auto"/>
        <w:jc w:val="both"/>
      </w:pPr>
      <w:r>
        <w:rPr>
          <w:rFonts w:eastAsia="Noto Serif CJK TC"/>
          <w:color w:val="1A202C"/>
        </w:rPr>
        <w:t>Citron</w:t>
      </w:r>
      <w:r>
        <w:rPr>
          <w:rFonts w:eastAsia="Noto Serif CJK TC"/>
          <w:color w:val="1A202C"/>
        </w:rPr>
        <w:t>（</w:t>
      </w:r>
      <w:r>
        <w:rPr>
          <w:rFonts w:eastAsia="Noto Serif CJK TC"/>
          <w:color w:val="1A202C"/>
        </w:rPr>
        <w:t>2008</w:t>
      </w:r>
      <w:r>
        <w:rPr>
          <w:rFonts w:eastAsia="Noto Serif CJK TC"/>
          <w:color w:val="1A202C"/>
        </w:rPr>
        <w:t>）指出，當自動化系統取代人工進行福利資格審查等行政決定時，正當程序保障的通知、聽證、說明理由等程序權利，可能在系統設計階段就已被架空，而非在個案執行階段被違反。</w:t>
      </w:r>
      <w:r>
        <w:rPr>
          <w:rFonts w:eastAsia="Noto Serif CJK TC"/>
          <w:color w:val="1A202C"/>
        </w:rPr>
        <w:t>Langer</w:t>
      </w:r>
      <w:r>
        <w:rPr>
          <w:rFonts w:eastAsia="Noto Serif CJK TC"/>
          <w:color w:val="1A202C"/>
        </w:rPr>
        <w:t>（</w:t>
      </w:r>
      <w:r>
        <w:rPr>
          <w:rFonts w:eastAsia="Noto Serif CJK TC"/>
          <w:color w:val="1A202C"/>
        </w:rPr>
        <w:t>2024</w:t>
      </w:r>
      <w:r>
        <w:rPr>
          <w:rFonts w:eastAsia="Noto Serif CJK TC"/>
          <w:color w:val="1A202C"/>
        </w:rPr>
        <w:t>）則從德國行政法「重要性原則」出發，指出涉及人民權利義務核心事項須由具民主正當性的立法者決定；當系統開發外包私人公司、或決策權限被實質讓渡給演算法時，便觸及不得延伸委任原則的核心關切。</w:t>
      </w:r>
    </w:p>
    <w:p w:rsidR="0003266C" w:rsidRDefault="009E53B5">
      <w:pPr>
        <w:pStyle w:val="3"/>
        <w:spacing w:before="200" w:after="100" w:line="320" w:lineRule="auto"/>
      </w:pPr>
      <w:r>
        <w:rPr>
          <w:rFonts w:ascii="Noto Sans CJK TC" w:eastAsia="Noto Sans CJK TC" w:hAnsi="Noto Sans CJK TC" w:cs="Noto Sans CJK TC"/>
          <w:b/>
          <w:bCs/>
          <w:color w:val="2C5282"/>
        </w:rPr>
        <w:t xml:space="preserve">GDA </w:t>
      </w:r>
      <w:r>
        <w:rPr>
          <w:rFonts w:ascii="Noto Sans CJK TC" w:eastAsia="Noto Sans CJK TC" w:hAnsi="Noto Sans CJK TC" w:cs="Noto Sans CJK TC"/>
          <w:b/>
          <w:bCs/>
          <w:color w:val="2C5282"/>
        </w:rPr>
        <w:t>模型的推進</w:t>
      </w:r>
    </w:p>
    <w:p w:rsidR="0003266C" w:rsidRDefault="009E53B5">
      <w:pPr>
        <w:spacing w:after="180" w:line="340" w:lineRule="auto"/>
        <w:jc w:val="both"/>
      </w:pPr>
      <w:r>
        <w:rPr>
          <w:rFonts w:eastAsia="Noto Serif CJK TC"/>
          <w:color w:val="1A202C"/>
        </w:rPr>
        <w:t xml:space="preserve">Citron </w:t>
      </w:r>
      <w:r>
        <w:rPr>
          <w:rFonts w:eastAsia="Noto Serif CJK TC"/>
          <w:color w:val="1A202C"/>
        </w:rPr>
        <w:t>與</w:t>
      </w:r>
      <w:r>
        <w:rPr>
          <w:rFonts w:eastAsia="Noto Serif CJK TC"/>
          <w:color w:val="1A202C"/>
        </w:rPr>
        <w:t xml:space="preserve"> Langer </w:t>
      </w:r>
      <w:r>
        <w:rPr>
          <w:rFonts w:eastAsia="Noto Serif CJK TC"/>
          <w:color w:val="1A202C"/>
        </w:rPr>
        <w:t>分別指出既有法律原則</w:t>
      </w:r>
      <w:r>
        <w:rPr>
          <w:rFonts w:eastAsia="Noto Serif CJK TC"/>
          <w:color w:val="1A202C"/>
        </w:rPr>
        <w:t>「應該」保障什麼；</w:t>
      </w:r>
      <w:r>
        <w:rPr>
          <w:rFonts w:eastAsia="Noto Serif CJK TC"/>
          <w:color w:val="1A202C"/>
        </w:rPr>
        <w:t xml:space="preserve">GDA </w:t>
      </w:r>
      <w:r>
        <w:rPr>
          <w:rFonts w:eastAsia="Noto Serif CJK TC"/>
          <w:color w:val="1A202C"/>
        </w:rPr>
        <w:t>模型的</w:t>
      </w:r>
      <w:proofErr w:type="gramStart"/>
      <w:r>
        <w:rPr>
          <w:rFonts w:eastAsia="Noto Serif CJK TC"/>
          <w:color w:val="1A202C"/>
        </w:rPr>
        <w:t>裁量場與</w:t>
      </w:r>
      <w:proofErr w:type="gramEnd"/>
      <w:r>
        <w:rPr>
          <w:rFonts w:eastAsia="Noto Serif CJK TC"/>
          <w:color w:val="1A202C"/>
        </w:rPr>
        <w:t xml:space="preserve"> UCPR</w:t>
      </w:r>
      <w:r>
        <w:rPr>
          <w:rFonts w:eastAsia="Noto Serif CJK TC"/>
          <w:color w:val="1A202C"/>
        </w:rPr>
        <w:t>，則回答一個操作性問題：要讓這些原則「真正」發揮保障效果，公共機關需要在生成過程的哪些節點、具備哪些具體能力？這使</w:t>
      </w:r>
      <w:r>
        <w:rPr>
          <w:rFonts w:eastAsia="Noto Serif CJK TC"/>
          <w:color w:val="1A202C"/>
        </w:rPr>
        <w:t xml:space="preserve"> GDA </w:t>
      </w:r>
      <w:r>
        <w:rPr>
          <w:rFonts w:eastAsia="Noto Serif CJK TC"/>
          <w:color w:val="1A202C"/>
        </w:rPr>
        <w:t>模型在定位上，更接近既有行政法原則的「操作化補充」，而非另立一套與既有行政法傳統競爭的規範理論。</w:t>
      </w:r>
    </w:p>
    <w:p w:rsidR="0003266C" w:rsidRDefault="009E53B5">
      <w:pPr>
        <w:pStyle w:val="3"/>
        <w:spacing w:before="200" w:after="100" w:line="320" w:lineRule="auto"/>
      </w:pPr>
      <w:r>
        <w:rPr>
          <w:rFonts w:ascii="Noto Sans CJK TC" w:eastAsia="Noto Sans CJK TC" w:hAnsi="Noto Sans CJK TC" w:cs="Noto Sans CJK TC"/>
          <w:b/>
          <w:bCs/>
          <w:color w:val="2C5282"/>
        </w:rPr>
        <w:t xml:space="preserve">GDA </w:t>
      </w:r>
      <w:r>
        <w:rPr>
          <w:rFonts w:ascii="Noto Sans CJK TC" w:eastAsia="Noto Sans CJK TC" w:hAnsi="Noto Sans CJK TC" w:cs="Noto Sans CJK TC"/>
          <w:b/>
          <w:bCs/>
          <w:color w:val="2C5282"/>
        </w:rPr>
        <w:t>是否逾越行政法的操作化功能？</w:t>
      </w:r>
    </w:p>
    <w:p w:rsidR="0003266C" w:rsidRDefault="009E53B5">
      <w:pPr>
        <w:spacing w:after="180" w:line="340" w:lineRule="auto"/>
        <w:jc w:val="both"/>
      </w:pPr>
      <w:r>
        <w:rPr>
          <w:rFonts w:eastAsia="Noto Serif CJK TC"/>
          <w:color w:val="1A202C"/>
        </w:rPr>
        <w:lastRenderedPageBreak/>
        <w:t>行政法學者可能不認為這是新貢獻：原則需要操作化，本來就是部門法規、行政規則與個案判決逐步累積的工作，這是法學方法論的常態，何須另立一套</w:t>
      </w:r>
      <w:r>
        <w:rPr>
          <w:rFonts w:eastAsia="Noto Serif CJK TC"/>
          <w:color w:val="1A202C"/>
        </w:rPr>
        <w:t xml:space="preserve"> GDA </w:t>
      </w:r>
      <w:r>
        <w:rPr>
          <w:rFonts w:eastAsia="Noto Serif CJK TC"/>
          <w:color w:val="1A202C"/>
        </w:rPr>
        <w:t>詞彙？這個質疑觸及本文比較分析中最根本的一點</w:t>
      </w:r>
      <w:proofErr w:type="gramStart"/>
      <w:r>
        <w:rPr>
          <w:rFonts w:eastAsia="Noto Serif CJK TC"/>
          <w:color w:val="1A202C"/>
        </w:rPr>
        <w:t>—</w:t>
      </w:r>
      <w:proofErr w:type="gramEnd"/>
      <w:r>
        <w:rPr>
          <w:rFonts w:eastAsia="Noto Serif CJK TC"/>
          <w:color w:val="1A202C"/>
        </w:rPr>
        <w:t>—</w:t>
      </w:r>
      <w:r>
        <w:rPr>
          <w:rFonts w:eastAsia="Noto Serif CJK TC"/>
          <w:color w:val="1A202C"/>
        </w:rPr>
        <w:t>本文是否只</w:t>
      </w:r>
      <w:r>
        <w:rPr>
          <w:rFonts w:eastAsia="Noto Serif CJK TC"/>
          <w:color w:val="1A202C"/>
        </w:rPr>
        <w:t>是把既有法學工作重新命名。</w:t>
      </w:r>
      <w:r>
        <w:rPr>
          <w:rFonts w:eastAsia="Noto Serif CJK TC"/>
          <w:color w:val="1A202C"/>
        </w:rPr>
        <w:t xml:space="preserve">GDA </w:t>
      </w:r>
      <w:r>
        <w:rPr>
          <w:rFonts w:eastAsia="Noto Serif CJK TC"/>
          <w:color w:val="1A202C"/>
        </w:rPr>
        <w:t>模型的回應，須先澄清一個可能的簡化：行政法既有的操作化路徑其實同時包含事前與事後兩種機制</w:t>
      </w:r>
      <w:proofErr w:type="gramStart"/>
      <w:r>
        <w:rPr>
          <w:rFonts w:eastAsia="Noto Serif CJK TC"/>
          <w:color w:val="1A202C"/>
        </w:rPr>
        <w:t>—</w:t>
      </w:r>
      <w:proofErr w:type="gramEnd"/>
      <w:r>
        <w:rPr>
          <w:rFonts w:eastAsia="Noto Serif CJK TC"/>
          <w:color w:val="1A202C"/>
        </w:rPr>
        <w:t>—</w:t>
      </w:r>
      <w:r>
        <w:rPr>
          <w:rFonts w:eastAsia="Noto Serif CJK TC"/>
          <w:color w:val="1A202C"/>
        </w:rPr>
        <w:t>事前授權、程序設計、行政規則、預先影響評估等，都可能在決策形成前就發揮作用，把行政法操作化一概說成「事後」個案累積並不公平。</w:t>
      </w:r>
      <w:r>
        <w:rPr>
          <w:rFonts w:eastAsia="Noto Serif CJK TC"/>
          <w:color w:val="1A202C"/>
        </w:rPr>
        <w:t xml:space="preserve">GDA </w:t>
      </w:r>
      <w:r>
        <w:rPr>
          <w:rFonts w:eastAsia="Noto Serif CJK TC"/>
          <w:color w:val="1A202C"/>
        </w:rPr>
        <w:t>真正想補充的，不是創造一種行政法所沒有的「事前控制」，而是聚焦於系統設計與部署流程的具體節點</w:t>
      </w:r>
      <w:proofErr w:type="gramStart"/>
      <w:r>
        <w:rPr>
          <w:rFonts w:eastAsia="Noto Serif CJK TC"/>
          <w:color w:val="1A202C"/>
        </w:rPr>
        <w:t>—</w:t>
      </w:r>
      <w:proofErr w:type="gramEnd"/>
      <w:r>
        <w:rPr>
          <w:rFonts w:eastAsia="Noto Serif CJK TC"/>
          <w:color w:val="1A202C"/>
        </w:rPr>
        <w:t>—</w:t>
      </w:r>
      <w:r>
        <w:rPr>
          <w:rFonts w:eastAsia="Noto Serif CJK TC"/>
          <w:color w:val="1A202C"/>
        </w:rPr>
        <w:t>模型轉譯、介面引導等</w:t>
      </w:r>
      <w:r>
        <w:rPr>
          <w:rFonts w:eastAsia="Noto Serif CJK TC"/>
          <w:color w:val="1A202C"/>
        </w:rPr>
        <w:t>——</w:t>
      </w:r>
      <w:r>
        <w:rPr>
          <w:rFonts w:eastAsia="Noto Serif CJK TC"/>
          <w:color w:val="1A202C"/>
        </w:rPr>
        <w:t>追問：要讓既有的事前程序設計或影響評估真正發揮效果，公共機關在這些節點需要具備哪些可檢驗的能力？這個提問方式上的差異，理論上具有實益：</w:t>
      </w:r>
      <w:r>
        <w:rPr>
          <w:rFonts w:eastAsia="Noto Serif CJK TC"/>
          <w:color w:val="1A202C"/>
        </w:rPr>
        <w:t>若能在設計階段即要求特定節點保有再介入能力，便可能減少憲法與行政法原則「應然」與「實然」之間的落差。但這仍是一個規範性主張，其在實務上是否可行、是否會被既有法規範體系接受為有效的操作化路徑，仍待</w:t>
      </w:r>
      <w:r>
        <w:rPr>
          <w:rFonts w:eastAsia="Noto Serif CJK TC"/>
          <w:color w:val="1A202C"/>
        </w:rPr>
        <w:t xml:space="preserve"> 034 </w:t>
      </w:r>
      <w:r>
        <w:rPr>
          <w:rFonts w:eastAsia="Noto Serif CJK TC"/>
          <w:color w:val="1A202C"/>
        </w:rPr>
        <w:t>對具體法律文本的審計工作來檢驗，本文在此僅止於理論層次的論證。</w:t>
      </w:r>
    </w:p>
    <w:p w:rsidR="0003266C" w:rsidRDefault="009E53B5">
      <w:pPr>
        <w:pStyle w:val="2"/>
        <w:spacing w:before="280" w:after="140" w:line="340" w:lineRule="auto"/>
      </w:pPr>
      <w:r>
        <w:rPr>
          <w:rFonts w:ascii="Noto Sans CJK TC" w:eastAsia="Noto Sans CJK TC" w:hAnsi="Noto Sans CJK TC" w:cs="Noto Sans CJK TC"/>
          <w:b/>
          <w:bCs/>
          <w:color w:val="1A365D"/>
          <w:sz w:val="27"/>
          <w:szCs w:val="27"/>
        </w:rPr>
        <w:t>五、小結：四項比較的推進與未解張力</w:t>
      </w:r>
    </w:p>
    <w:p w:rsidR="0003266C" w:rsidRDefault="009E53B5">
      <w:pPr>
        <w:spacing w:after="180" w:line="340" w:lineRule="auto"/>
        <w:jc w:val="both"/>
      </w:pPr>
      <w:r>
        <w:rPr>
          <w:rFonts w:eastAsia="Noto Serif CJK TC"/>
          <w:color w:val="1A202C"/>
        </w:rPr>
        <w:t>前四節逐一比較後，這裡用一張表收攏：</w:t>
      </w:r>
      <w:r>
        <w:rPr>
          <w:rFonts w:eastAsia="Noto Serif CJK TC"/>
          <w:color w:val="1A202C"/>
        </w:rPr>
        <w:t xml:space="preserve">GDA </w:t>
      </w:r>
      <w:r>
        <w:rPr>
          <w:rFonts w:eastAsia="Noto Serif CJK TC"/>
          <w:color w:val="1A202C"/>
        </w:rPr>
        <w:t>模型在每一項比較中具體推進了什麼，以及本文誠實承認、目前仍未完全化解的張力何在</w:t>
      </w:r>
      <w:proofErr w:type="gramStart"/>
      <w:r>
        <w:rPr>
          <w:rFonts w:eastAsia="Noto Serif CJK TC"/>
          <w:color w:val="1A202C"/>
        </w:rPr>
        <w:t>—</w:t>
      </w:r>
      <w:proofErr w:type="gramEnd"/>
      <w:r>
        <w:rPr>
          <w:rFonts w:eastAsia="Noto Serif CJK TC"/>
          <w:color w:val="1A202C"/>
        </w:rPr>
        <w:t>—</w:t>
      </w:r>
      <w:r>
        <w:rPr>
          <w:rFonts w:eastAsia="Noto Serif CJK TC"/>
          <w:color w:val="1A202C"/>
        </w:rPr>
        <w:t>後者並非本文的漏洞待補，而是本文對自身論證邊界的如實交代：</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3400"/>
        <w:gridCol w:w="3700"/>
      </w:tblGrid>
      <w:tr w:rsidR="0003266C">
        <w:tblPrEx>
          <w:tblCellMar>
            <w:top w:w="0" w:type="dxa"/>
            <w:bottom w:w="0" w:type="dxa"/>
          </w:tblCellMar>
        </w:tblPrEx>
        <w:trPr>
          <w:tblHeader/>
        </w:trPr>
        <w:tc>
          <w:tcPr>
            <w:tcW w:w="1900" w:type="dxa"/>
            <w:shd w:val="clear" w:color="auto" w:fill="1A365D"/>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b/>
                <w:bCs/>
                <w:color w:val="FFFFFF"/>
                <w:sz w:val="18"/>
                <w:szCs w:val="18"/>
              </w:rPr>
              <w:t>既有理論</w:t>
            </w:r>
          </w:p>
        </w:tc>
        <w:tc>
          <w:tcPr>
            <w:tcW w:w="3400" w:type="dxa"/>
            <w:shd w:val="clear" w:color="auto" w:fill="1A365D"/>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b/>
                <w:bCs/>
                <w:color w:val="FFFFFF"/>
                <w:sz w:val="18"/>
                <w:szCs w:val="18"/>
              </w:rPr>
              <w:t xml:space="preserve">GDA </w:t>
            </w:r>
            <w:r>
              <w:rPr>
                <w:rFonts w:ascii="Noto Sans CJK TC" w:eastAsia="Noto Sans CJK TC" w:hAnsi="Noto Sans CJK TC" w:cs="Noto Sans CJK TC"/>
                <w:b/>
                <w:bCs/>
                <w:color w:val="FFFFFF"/>
                <w:sz w:val="18"/>
                <w:szCs w:val="18"/>
              </w:rPr>
              <w:t>模型</w:t>
            </w:r>
            <w:r>
              <w:rPr>
                <w:rFonts w:ascii="Noto Sans CJK TC" w:eastAsia="Noto Sans CJK TC" w:hAnsi="Noto Sans CJK TC" w:cs="Noto Sans CJK TC"/>
                <w:b/>
                <w:bCs/>
                <w:color w:val="FFFFFF"/>
                <w:sz w:val="18"/>
                <w:szCs w:val="18"/>
              </w:rPr>
              <w:t>的推進</w:t>
            </w:r>
          </w:p>
        </w:tc>
        <w:tc>
          <w:tcPr>
            <w:tcW w:w="3700" w:type="dxa"/>
            <w:shd w:val="clear" w:color="auto" w:fill="1A365D"/>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b/>
                <w:bCs/>
                <w:color w:val="FFFFFF"/>
                <w:sz w:val="18"/>
                <w:szCs w:val="18"/>
              </w:rPr>
              <w:t>尚未完全化解的張力</w:t>
            </w:r>
          </w:p>
        </w:tc>
      </w:tr>
      <w:tr w:rsidR="0003266C">
        <w:tblPrEx>
          <w:tblCellMar>
            <w:top w:w="0" w:type="dxa"/>
            <w:bottom w:w="0" w:type="dxa"/>
          </w:tblCellMar>
        </w:tblPrEx>
        <w:tc>
          <w:tcPr>
            <w:tcW w:w="19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數位裁量</w:t>
            </w:r>
            <w:proofErr w:type="gramStart"/>
            <w:r>
              <w:rPr>
                <w:rFonts w:ascii="Noto Sans CJK TC" w:eastAsia="Noto Sans CJK TC" w:hAnsi="Noto Sans CJK TC" w:cs="Noto Sans CJK TC"/>
                <w:color w:val="1A202C"/>
                <w:sz w:val="18"/>
                <w:szCs w:val="18"/>
              </w:rPr>
              <w:t>（</w:t>
            </w:r>
            <w:proofErr w:type="spellStart"/>
            <w:proofErr w:type="gramEnd"/>
            <w:r>
              <w:rPr>
                <w:rFonts w:ascii="Noto Sans CJK TC" w:eastAsia="Noto Sans CJK TC" w:hAnsi="Noto Sans CJK TC" w:cs="Noto Sans CJK TC"/>
                <w:color w:val="1A202C"/>
                <w:sz w:val="18"/>
                <w:szCs w:val="18"/>
              </w:rPr>
              <w:t>Bovens</w:t>
            </w:r>
            <w:proofErr w:type="spellEnd"/>
            <w:r>
              <w:rPr>
                <w:rFonts w:ascii="Noto Sans CJK TC" w:eastAsia="Noto Sans CJK TC" w:hAnsi="Noto Sans CJK TC" w:cs="Noto Sans CJK TC"/>
                <w:color w:val="1A202C"/>
                <w:sz w:val="18"/>
                <w:szCs w:val="18"/>
              </w:rPr>
              <w:t xml:space="preserve"> &amp; </w:t>
            </w:r>
            <w:proofErr w:type="spellStart"/>
            <w:r>
              <w:rPr>
                <w:rFonts w:ascii="Noto Sans CJK TC" w:eastAsia="Noto Sans CJK TC" w:hAnsi="Noto Sans CJK TC" w:cs="Noto Sans CJK TC"/>
                <w:color w:val="1A202C"/>
                <w:sz w:val="18"/>
                <w:szCs w:val="18"/>
              </w:rPr>
              <w:t>Zouridis</w:t>
            </w:r>
            <w:proofErr w:type="spellEnd"/>
            <w:r>
              <w:rPr>
                <w:rFonts w:ascii="Noto Sans CJK TC" w:eastAsia="Noto Sans CJK TC" w:hAnsi="Noto Sans CJK TC" w:cs="Noto Sans CJK TC"/>
                <w:color w:val="1A202C"/>
                <w:sz w:val="18"/>
                <w:szCs w:val="18"/>
              </w:rPr>
              <w:t>, 2002</w:t>
            </w:r>
            <w:r>
              <w:rPr>
                <w:rFonts w:ascii="Noto Sans CJK TC" w:eastAsia="Noto Sans CJK TC" w:hAnsi="Noto Sans CJK TC" w:cs="Noto Sans CJK TC"/>
                <w:color w:val="1A202C"/>
                <w:sz w:val="18"/>
                <w:szCs w:val="18"/>
              </w:rPr>
              <w:t>；</w:t>
            </w:r>
            <w:r>
              <w:rPr>
                <w:rFonts w:ascii="Noto Sans CJK TC" w:eastAsia="Noto Sans CJK TC" w:hAnsi="Noto Sans CJK TC" w:cs="Noto Sans CJK TC"/>
                <w:color w:val="1A202C"/>
                <w:sz w:val="18"/>
                <w:szCs w:val="18"/>
              </w:rPr>
              <w:t xml:space="preserve">Afzal &amp; </w:t>
            </w:r>
            <w:proofErr w:type="spellStart"/>
            <w:r>
              <w:rPr>
                <w:rFonts w:ascii="Noto Sans CJK TC" w:eastAsia="Noto Sans CJK TC" w:hAnsi="Noto Sans CJK TC" w:cs="Noto Sans CJK TC"/>
                <w:color w:val="1A202C"/>
                <w:sz w:val="18"/>
                <w:szCs w:val="18"/>
              </w:rPr>
              <w:t>Panagiotopoulos</w:t>
            </w:r>
            <w:proofErr w:type="spellEnd"/>
            <w:r>
              <w:rPr>
                <w:rFonts w:ascii="Noto Sans CJK TC" w:eastAsia="Noto Sans CJK TC" w:hAnsi="Noto Sans CJK TC" w:cs="Noto Sans CJK TC"/>
                <w:color w:val="1A202C"/>
                <w:sz w:val="18"/>
                <w:szCs w:val="18"/>
              </w:rPr>
              <w:t>, 2025</w:t>
            </w:r>
            <w:proofErr w:type="gramStart"/>
            <w:r>
              <w:rPr>
                <w:rFonts w:ascii="Noto Sans CJK TC" w:eastAsia="Noto Sans CJK TC" w:hAnsi="Noto Sans CJK TC" w:cs="Noto Sans CJK TC"/>
                <w:color w:val="1A202C"/>
                <w:sz w:val="18"/>
                <w:szCs w:val="18"/>
              </w:rPr>
              <w:t>）</w:t>
            </w:r>
            <w:proofErr w:type="gramEnd"/>
          </w:p>
        </w:tc>
        <w:tc>
          <w:tcPr>
            <w:tcW w:w="3400" w:type="dxa"/>
            <w:shd w:val="clear" w:color="auto" w:fill="FFFFFF"/>
            <w:tcMar>
              <w:top w:w="60" w:type="dxa"/>
              <w:left w:w="100" w:type="dxa"/>
              <w:bottom w:w="60" w:type="dxa"/>
              <w:right w:w="100" w:type="dxa"/>
            </w:tcMar>
            <w:vAlign w:val="center"/>
          </w:tcPr>
          <w:p w:rsidR="0003266C" w:rsidRDefault="009E53B5">
            <w:pPr>
              <w:spacing w:line="260" w:lineRule="auto"/>
            </w:pPr>
            <w:proofErr w:type="gramStart"/>
            <w:r>
              <w:rPr>
                <w:rFonts w:ascii="Noto Sans CJK TC" w:eastAsia="Noto Sans CJK TC" w:hAnsi="Noto Sans CJK TC" w:cs="Noto Sans CJK TC"/>
                <w:color w:val="1A202C"/>
                <w:sz w:val="18"/>
                <w:szCs w:val="18"/>
              </w:rPr>
              <w:t>裁量場</w:t>
            </w:r>
            <w:proofErr w:type="gramEnd"/>
            <w:r>
              <w:rPr>
                <w:rFonts w:ascii="Noto Sans CJK TC" w:eastAsia="Noto Sans CJK TC" w:hAnsi="Noto Sans CJK TC" w:cs="Noto Sans CJK TC"/>
                <w:color w:val="1A202C"/>
                <w:sz w:val="18"/>
                <w:szCs w:val="18"/>
              </w:rPr>
              <w:t>：把「裁量前移」拆解為前置配置、模型轉譯、介面引導、人類覆核四個可分別失守的節點</w:t>
            </w:r>
          </w:p>
        </w:tc>
        <w:tc>
          <w:tcPr>
            <w:tcW w:w="37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四節點若最終仍匯聚回同一次系統設計決策，其獨立解釋力有多強，</w:t>
            </w:r>
            <w:proofErr w:type="gramStart"/>
            <w:r>
              <w:rPr>
                <w:rFonts w:ascii="Noto Sans CJK TC" w:eastAsia="Noto Sans CJK TC" w:hAnsi="Noto Sans CJK TC" w:cs="Noto Sans CJK TC"/>
                <w:color w:val="1A202C"/>
                <w:sz w:val="18"/>
                <w:szCs w:val="18"/>
              </w:rPr>
              <w:t>仍待跨案例</w:t>
            </w:r>
            <w:proofErr w:type="gramEnd"/>
            <w:r>
              <w:rPr>
                <w:rFonts w:ascii="Noto Sans CJK TC" w:eastAsia="Noto Sans CJK TC" w:hAnsi="Noto Sans CJK TC" w:cs="Noto Sans CJK TC"/>
                <w:color w:val="1A202C"/>
                <w:sz w:val="18"/>
                <w:szCs w:val="18"/>
              </w:rPr>
              <w:t>實證檢驗</w:t>
            </w:r>
          </w:p>
        </w:tc>
      </w:tr>
      <w:tr w:rsidR="0003266C">
        <w:tblPrEx>
          <w:tblCellMar>
            <w:top w:w="0" w:type="dxa"/>
            <w:bottom w:w="0" w:type="dxa"/>
          </w:tblCellMar>
        </w:tblPrEx>
        <w:tc>
          <w:tcPr>
            <w:tcW w:w="19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演算法治理（</w:t>
            </w:r>
            <w:r>
              <w:rPr>
                <w:rFonts w:ascii="Noto Sans CJK TC" w:eastAsia="Noto Sans CJK TC" w:hAnsi="Noto Sans CJK TC" w:cs="Noto Sans CJK TC"/>
                <w:color w:val="1A202C"/>
                <w:sz w:val="18"/>
                <w:szCs w:val="18"/>
              </w:rPr>
              <w:t>Danaher, 2016</w:t>
            </w:r>
            <w:r>
              <w:rPr>
                <w:rFonts w:ascii="Noto Sans CJK TC" w:eastAsia="Noto Sans CJK TC" w:hAnsi="Noto Sans CJK TC" w:cs="Noto Sans CJK TC"/>
                <w:color w:val="1A202C"/>
                <w:sz w:val="18"/>
                <w:szCs w:val="18"/>
              </w:rPr>
              <w:t>）</w:t>
            </w:r>
          </w:p>
        </w:tc>
        <w:tc>
          <w:tcPr>
            <w:tcW w:w="34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DAA</w:t>
            </w:r>
            <w:r>
              <w:rPr>
                <w:rFonts w:ascii="Noto Sans CJK TC" w:eastAsia="Noto Sans CJK TC" w:hAnsi="Noto Sans CJK TC" w:cs="Noto Sans CJK TC"/>
                <w:color w:val="1A202C"/>
                <w:sz w:val="18"/>
                <w:szCs w:val="18"/>
              </w:rPr>
              <w:t>：演算法只是四層生成構成之一，法定位置與結構條件同樣承載生成責任</w:t>
            </w:r>
          </w:p>
        </w:tc>
        <w:tc>
          <w:tcPr>
            <w:tcW w:w="37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淡化「演算法」作為分析焦點，理論上可能稀釋對演算法本身技術風險的針對</w:t>
            </w:r>
            <w:proofErr w:type="gramStart"/>
            <w:r>
              <w:rPr>
                <w:rFonts w:ascii="Noto Sans CJK TC" w:eastAsia="Noto Sans CJK TC" w:hAnsi="Noto Sans CJK TC" w:cs="Noto Sans CJK TC"/>
                <w:color w:val="1A202C"/>
                <w:sz w:val="18"/>
                <w:szCs w:val="18"/>
              </w:rPr>
              <w:t>性課責</w:t>
            </w:r>
            <w:proofErr w:type="gramEnd"/>
          </w:p>
        </w:tc>
      </w:tr>
      <w:tr w:rsidR="0003266C">
        <w:tblPrEx>
          <w:tblCellMar>
            <w:top w:w="0" w:type="dxa"/>
            <w:bottom w:w="0" w:type="dxa"/>
          </w:tblCellMar>
        </w:tblPrEx>
        <w:tc>
          <w:tcPr>
            <w:tcW w:w="19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AI accountability</w:t>
            </w:r>
            <w:r>
              <w:rPr>
                <w:rFonts w:ascii="Noto Sans CJK TC" w:eastAsia="Noto Sans CJK TC" w:hAnsi="Noto Sans CJK TC" w:cs="Noto Sans CJK TC"/>
                <w:color w:val="1A202C"/>
                <w:sz w:val="18"/>
                <w:szCs w:val="18"/>
              </w:rPr>
              <w:t>（</w:t>
            </w:r>
            <w:proofErr w:type="spellStart"/>
            <w:r>
              <w:rPr>
                <w:rFonts w:ascii="Noto Sans CJK TC" w:eastAsia="Noto Sans CJK TC" w:hAnsi="Noto Sans CJK TC" w:cs="Noto Sans CJK TC"/>
                <w:color w:val="1A202C"/>
                <w:sz w:val="18"/>
                <w:szCs w:val="18"/>
              </w:rPr>
              <w:t>Busuioc</w:t>
            </w:r>
            <w:proofErr w:type="spellEnd"/>
            <w:r>
              <w:rPr>
                <w:rFonts w:ascii="Noto Sans CJK TC" w:eastAsia="Noto Sans CJK TC" w:hAnsi="Noto Sans CJK TC" w:cs="Noto Sans CJK TC"/>
                <w:color w:val="1A202C"/>
                <w:sz w:val="18"/>
                <w:szCs w:val="18"/>
              </w:rPr>
              <w:t>, 2021</w:t>
            </w:r>
            <w:r>
              <w:rPr>
                <w:rFonts w:ascii="Noto Sans CJK TC" w:eastAsia="Noto Sans CJK TC" w:hAnsi="Noto Sans CJK TC" w:cs="Noto Sans CJK TC"/>
                <w:color w:val="1A202C"/>
                <w:sz w:val="18"/>
                <w:szCs w:val="18"/>
              </w:rPr>
              <w:t>）</w:t>
            </w:r>
          </w:p>
        </w:tc>
        <w:tc>
          <w:tcPr>
            <w:tcW w:w="34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UCPR</w:t>
            </w:r>
            <w:r>
              <w:rPr>
                <w:rFonts w:ascii="Noto Sans CJK TC" w:eastAsia="Noto Sans CJK TC" w:hAnsi="Noto Sans CJK TC" w:cs="Noto Sans CJK TC"/>
                <w:color w:val="1A202C"/>
                <w:sz w:val="18"/>
                <w:szCs w:val="18"/>
              </w:rPr>
              <w:t>：把認知、決策、</w:t>
            </w:r>
            <w:proofErr w:type="gramStart"/>
            <w:r>
              <w:rPr>
                <w:rFonts w:ascii="Noto Sans CJK TC" w:eastAsia="Noto Sans CJK TC" w:hAnsi="Noto Sans CJK TC" w:cs="Noto Sans CJK TC"/>
                <w:color w:val="1A202C"/>
                <w:sz w:val="18"/>
                <w:szCs w:val="18"/>
              </w:rPr>
              <w:t>課責能力</w:t>
            </w:r>
            <w:proofErr w:type="gramEnd"/>
            <w:r>
              <w:rPr>
                <w:rFonts w:ascii="Noto Sans CJK TC" w:eastAsia="Noto Sans CJK TC" w:hAnsi="Noto Sans CJK TC" w:cs="Noto Sans CJK TC"/>
                <w:color w:val="1A202C"/>
                <w:sz w:val="18"/>
                <w:szCs w:val="18"/>
              </w:rPr>
              <w:t>從名目上的事中機制，推進到實質可即時行使的能力</w:t>
            </w:r>
          </w:p>
        </w:tc>
        <w:tc>
          <w:tcPr>
            <w:tcW w:w="37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「名目事中機制」與「實質事中能力」在經驗上確實可能脫</w:t>
            </w:r>
            <w:proofErr w:type="gramStart"/>
            <w:r>
              <w:rPr>
                <w:rFonts w:ascii="Noto Sans CJK TC" w:eastAsia="Noto Sans CJK TC" w:hAnsi="Noto Sans CJK TC" w:cs="Noto Sans CJK TC"/>
                <w:color w:val="1A202C"/>
                <w:sz w:val="18"/>
                <w:szCs w:val="18"/>
              </w:rPr>
              <w:t>鉤</w:t>
            </w:r>
            <w:proofErr w:type="gramEnd"/>
            <w:r>
              <w:rPr>
                <w:rFonts w:ascii="Noto Sans CJK TC" w:eastAsia="Noto Sans CJK TC" w:hAnsi="Noto Sans CJK TC" w:cs="Noto Sans CJK TC"/>
                <w:color w:val="1A202C"/>
                <w:sz w:val="18"/>
                <w:szCs w:val="18"/>
              </w:rPr>
              <w:t>，目前仍缺乏可觀察、可測量的操作化指標</w:t>
            </w:r>
          </w:p>
        </w:tc>
      </w:tr>
      <w:tr w:rsidR="0003266C">
        <w:tblPrEx>
          <w:tblCellMar>
            <w:top w:w="0" w:type="dxa"/>
            <w:bottom w:w="0" w:type="dxa"/>
          </w:tblCellMar>
        </w:tblPrEx>
        <w:tc>
          <w:tcPr>
            <w:tcW w:w="19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行政法</w:t>
            </w:r>
            <w:proofErr w:type="gramStart"/>
            <w:r>
              <w:rPr>
                <w:rFonts w:ascii="Noto Sans CJK TC" w:eastAsia="Noto Sans CJK TC" w:hAnsi="Noto Sans CJK TC" w:cs="Noto Sans CJK TC"/>
                <w:color w:val="1A202C"/>
                <w:sz w:val="18"/>
                <w:szCs w:val="18"/>
              </w:rPr>
              <w:t>（</w:t>
            </w:r>
            <w:proofErr w:type="gramEnd"/>
            <w:r>
              <w:rPr>
                <w:rFonts w:ascii="Noto Sans CJK TC" w:eastAsia="Noto Sans CJK TC" w:hAnsi="Noto Sans CJK TC" w:cs="Noto Sans CJK TC"/>
                <w:color w:val="1A202C"/>
                <w:sz w:val="18"/>
                <w:szCs w:val="18"/>
              </w:rPr>
              <w:t>Citron, 2008</w:t>
            </w:r>
            <w:r>
              <w:rPr>
                <w:rFonts w:ascii="Noto Sans CJK TC" w:eastAsia="Noto Sans CJK TC" w:hAnsi="Noto Sans CJK TC" w:cs="Noto Sans CJK TC"/>
                <w:color w:val="1A202C"/>
                <w:sz w:val="18"/>
                <w:szCs w:val="18"/>
              </w:rPr>
              <w:t>；</w:t>
            </w:r>
            <w:r>
              <w:rPr>
                <w:rFonts w:ascii="Noto Sans CJK TC" w:eastAsia="Noto Sans CJK TC" w:hAnsi="Noto Sans CJK TC" w:cs="Noto Sans CJK TC"/>
                <w:color w:val="1A202C"/>
                <w:sz w:val="18"/>
                <w:szCs w:val="18"/>
              </w:rPr>
              <w:t>Langer, 2024</w:t>
            </w:r>
            <w:proofErr w:type="gramStart"/>
            <w:r>
              <w:rPr>
                <w:rFonts w:ascii="Noto Sans CJK TC" w:eastAsia="Noto Sans CJK TC" w:hAnsi="Noto Sans CJK TC" w:cs="Noto Sans CJK TC"/>
                <w:color w:val="1A202C"/>
                <w:sz w:val="18"/>
                <w:szCs w:val="18"/>
              </w:rPr>
              <w:t>）</w:t>
            </w:r>
            <w:proofErr w:type="gramEnd"/>
          </w:p>
        </w:tc>
        <w:tc>
          <w:tcPr>
            <w:tcW w:w="3400" w:type="dxa"/>
            <w:shd w:val="clear" w:color="auto" w:fill="F7FAFC"/>
            <w:tcMar>
              <w:top w:w="60" w:type="dxa"/>
              <w:left w:w="100" w:type="dxa"/>
              <w:bottom w:w="60" w:type="dxa"/>
              <w:right w:w="100" w:type="dxa"/>
            </w:tcMar>
            <w:vAlign w:val="center"/>
          </w:tcPr>
          <w:p w:rsidR="0003266C" w:rsidRDefault="009E53B5">
            <w:pPr>
              <w:spacing w:line="260" w:lineRule="auto"/>
            </w:pPr>
            <w:proofErr w:type="gramStart"/>
            <w:r>
              <w:rPr>
                <w:rFonts w:ascii="Noto Sans CJK TC" w:eastAsia="Noto Sans CJK TC" w:hAnsi="Noto Sans CJK TC" w:cs="Noto Sans CJK TC"/>
                <w:color w:val="1A202C"/>
                <w:sz w:val="18"/>
                <w:szCs w:val="18"/>
              </w:rPr>
              <w:t>裁量場與</w:t>
            </w:r>
            <w:proofErr w:type="gramEnd"/>
            <w:r>
              <w:rPr>
                <w:rFonts w:ascii="Noto Sans CJK TC" w:eastAsia="Noto Sans CJK TC" w:hAnsi="Noto Sans CJK TC" w:cs="Noto Sans CJK TC"/>
                <w:color w:val="1A202C"/>
                <w:sz w:val="18"/>
                <w:szCs w:val="18"/>
              </w:rPr>
              <w:t xml:space="preserve"> UCPR</w:t>
            </w:r>
            <w:r>
              <w:rPr>
                <w:rFonts w:ascii="Noto Sans CJK TC" w:eastAsia="Noto Sans CJK TC" w:hAnsi="Noto Sans CJK TC" w:cs="Noto Sans CJK TC"/>
                <w:color w:val="1A202C"/>
                <w:sz w:val="18"/>
                <w:szCs w:val="18"/>
              </w:rPr>
              <w:t>：把原則性保障轉譯為系統設計階段可檢驗的節點與能力要求</w:t>
            </w:r>
          </w:p>
        </w:tc>
        <w:tc>
          <w:tcPr>
            <w:tcW w:w="37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設計階段的操作化補充，能否被既有法規範體系接受為有效路徑，仍待法律文本層次的實際檢驗</w:t>
            </w:r>
          </w:p>
        </w:tc>
      </w:tr>
    </w:tbl>
    <w:p w:rsidR="0003266C" w:rsidRDefault="009E53B5">
      <w:pPr>
        <w:pStyle w:val="1"/>
        <w:spacing w:before="360" w:after="200" w:line="360" w:lineRule="auto"/>
      </w:pPr>
      <w:r>
        <w:rPr>
          <w:rFonts w:ascii="Noto Sans CJK TC" w:eastAsia="Noto Sans CJK TC" w:hAnsi="Noto Sans CJK TC" w:cs="Noto Sans CJK TC"/>
          <w:b/>
          <w:bCs/>
          <w:color w:val="1A365D"/>
        </w:rPr>
        <w:t>肆、</w:t>
      </w:r>
      <w:r>
        <w:rPr>
          <w:rFonts w:ascii="Noto Sans CJK TC" w:eastAsia="Noto Sans CJK TC" w:hAnsi="Noto Sans CJK TC" w:cs="Noto Sans CJK TC"/>
          <w:b/>
          <w:bCs/>
          <w:color w:val="1A365D"/>
        </w:rPr>
        <w:t xml:space="preserve">GDA </w:t>
      </w:r>
      <w:r>
        <w:rPr>
          <w:rFonts w:ascii="Noto Sans CJK TC" w:eastAsia="Noto Sans CJK TC" w:hAnsi="Noto Sans CJK TC" w:cs="Noto Sans CJK TC"/>
          <w:b/>
          <w:bCs/>
          <w:color w:val="1A365D"/>
        </w:rPr>
        <w:t>模型的理論位置</w:t>
      </w:r>
    </w:p>
    <w:p w:rsidR="0003266C" w:rsidRDefault="009E53B5">
      <w:pPr>
        <w:spacing w:after="180" w:line="340" w:lineRule="auto"/>
        <w:jc w:val="both"/>
      </w:pPr>
      <w:r>
        <w:rPr>
          <w:rFonts w:eastAsia="Noto Serif CJK TC"/>
          <w:color w:val="1A202C"/>
        </w:rPr>
        <w:t>本章是全文論證的核心，整合前兩章的比較結果，具體說明</w:t>
      </w:r>
      <w:r>
        <w:rPr>
          <w:rFonts w:eastAsia="Noto Serif CJK TC"/>
          <w:color w:val="1A202C"/>
        </w:rPr>
        <w:t xml:space="preserve"> GDA </w:t>
      </w:r>
      <w:r>
        <w:rPr>
          <w:rFonts w:eastAsia="Noto Serif CJK TC"/>
          <w:color w:val="1A202C"/>
        </w:rPr>
        <w:t>模型三層之間的理論關係、它們各自相對於既有文獻的位置，並嘗試把整合性主張進一步轉化為可檢驗的理論命題與初步操作化方向。</w:t>
      </w:r>
    </w:p>
    <w:p w:rsidR="0003266C" w:rsidRDefault="009E53B5">
      <w:pPr>
        <w:pStyle w:val="2"/>
        <w:spacing w:before="280" w:after="140" w:line="340" w:lineRule="auto"/>
      </w:pPr>
      <w:r>
        <w:rPr>
          <w:rFonts w:ascii="Noto Sans CJK TC" w:eastAsia="Noto Sans CJK TC" w:hAnsi="Noto Sans CJK TC" w:cs="Noto Sans CJK TC"/>
          <w:b/>
          <w:bCs/>
          <w:color w:val="1A365D"/>
          <w:sz w:val="27"/>
          <w:szCs w:val="27"/>
        </w:rPr>
        <w:lastRenderedPageBreak/>
        <w:t>一、第一層：生成</w:t>
      </w:r>
      <w:proofErr w:type="gramStart"/>
      <w:r>
        <w:rPr>
          <w:rFonts w:ascii="Noto Sans CJK TC" w:eastAsia="Noto Sans CJK TC" w:hAnsi="Noto Sans CJK TC" w:cs="Noto Sans CJK TC"/>
          <w:b/>
          <w:bCs/>
          <w:color w:val="1A365D"/>
          <w:sz w:val="27"/>
          <w:szCs w:val="27"/>
        </w:rPr>
        <w:t>—</w:t>
      </w:r>
      <w:proofErr w:type="gramEnd"/>
      <w:r>
        <w:rPr>
          <w:rFonts w:ascii="Noto Sans CJK TC" w:eastAsia="Noto Sans CJK TC" w:hAnsi="Noto Sans CJK TC" w:cs="Noto Sans CJK TC"/>
          <w:b/>
          <w:bCs/>
          <w:color w:val="1A365D"/>
          <w:sz w:val="27"/>
          <w:szCs w:val="27"/>
        </w:rPr>
        <w:t>—DAA</w:t>
      </w:r>
    </w:p>
    <w:p w:rsidR="0003266C" w:rsidRDefault="009E53B5">
      <w:pPr>
        <w:spacing w:after="180" w:line="340" w:lineRule="auto"/>
        <w:jc w:val="both"/>
      </w:pPr>
      <w:r>
        <w:rPr>
          <w:rFonts w:eastAsia="Noto Serif CJK TC"/>
          <w:color w:val="1A202C"/>
        </w:rPr>
        <w:t>行政結果不是單一行政機關的行為，而是法定位置、判斷位置、計算機制與結構條件共同生成。這個主張的理論意義，在於把「誰做出了這個行政決定」這個傳統上被視為單一答案的問題，重新表述為一個分散式的生成過程</w:t>
      </w:r>
      <w:proofErr w:type="gramStart"/>
      <w:r>
        <w:rPr>
          <w:rFonts w:eastAsia="Noto Serif CJK TC"/>
          <w:color w:val="1A202C"/>
        </w:rPr>
        <w:t>—</w:t>
      </w:r>
      <w:proofErr w:type="gramEnd"/>
      <w:r>
        <w:rPr>
          <w:rFonts w:eastAsia="Noto Serif CJK TC"/>
          <w:color w:val="1A202C"/>
        </w:rPr>
        <w:t>—</w:t>
      </w:r>
      <w:r>
        <w:rPr>
          <w:rFonts w:eastAsia="Noto Serif CJK TC"/>
          <w:color w:val="1A202C"/>
        </w:rPr>
        <w:t>這與</w:t>
      </w:r>
      <w:r>
        <w:rPr>
          <w:rFonts w:eastAsia="Noto Serif CJK TC"/>
          <w:color w:val="1A202C"/>
        </w:rPr>
        <w:t xml:space="preserve"> </w:t>
      </w:r>
      <w:proofErr w:type="spellStart"/>
      <w:r>
        <w:rPr>
          <w:rFonts w:eastAsia="Noto Serif CJK TC"/>
          <w:color w:val="1A202C"/>
        </w:rPr>
        <w:t>Criado</w:t>
      </w:r>
      <w:proofErr w:type="spellEnd"/>
      <w:r>
        <w:rPr>
          <w:rFonts w:eastAsia="Noto Serif CJK TC"/>
          <w:color w:val="1A202C"/>
        </w:rPr>
        <w:t xml:space="preserve"> </w:t>
      </w:r>
      <w:r>
        <w:rPr>
          <w:rFonts w:eastAsia="Noto Serif CJK TC"/>
          <w:color w:val="1A202C"/>
        </w:rPr>
        <w:t>等人宏觀</w:t>
      </w:r>
      <w:r>
        <w:rPr>
          <w:rFonts w:eastAsia="Noto Serif CJK TC"/>
          <w:color w:val="1A202C"/>
        </w:rPr>
        <w:t>—</w:t>
      </w:r>
      <w:r>
        <w:rPr>
          <w:rFonts w:eastAsia="Noto Serif CJK TC"/>
          <w:color w:val="1A202C"/>
        </w:rPr>
        <w:t>中觀</w:t>
      </w:r>
      <w:r>
        <w:rPr>
          <w:rFonts w:eastAsia="Noto Serif CJK TC"/>
          <w:color w:val="1A202C"/>
        </w:rPr>
        <w:t>—</w:t>
      </w:r>
      <w:r>
        <w:rPr>
          <w:rFonts w:eastAsia="Noto Serif CJK TC"/>
          <w:color w:val="1A202C"/>
        </w:rPr>
        <w:t>微觀架構中「行政結果同時受三個層次影響」的洞見一致，但</w:t>
      </w:r>
      <w:r>
        <w:rPr>
          <w:rFonts w:eastAsia="Noto Serif CJK TC"/>
          <w:color w:val="1A202C"/>
        </w:rPr>
        <w:t xml:space="preserve"> DAA </w:t>
      </w:r>
      <w:r>
        <w:rPr>
          <w:rFonts w:eastAsia="Noto Serif CJK TC"/>
          <w:color w:val="1A202C"/>
        </w:rPr>
        <w:t>進</w:t>
      </w:r>
      <w:r>
        <w:rPr>
          <w:rFonts w:eastAsia="Noto Serif CJK TC"/>
          <w:color w:val="1A202C"/>
        </w:rPr>
        <w:t>一步提供了一套具體的、可用於個案編碼的四層構成分類，而不僅止於指出「三層都有影響」這個相對抽象的命題。</w:t>
      </w:r>
    </w:p>
    <w:p w:rsidR="0003266C" w:rsidRDefault="009E53B5">
      <w:pPr>
        <w:pStyle w:val="2"/>
        <w:spacing w:before="280" w:after="140" w:line="340" w:lineRule="auto"/>
      </w:pPr>
      <w:r>
        <w:rPr>
          <w:rFonts w:ascii="Noto Sans CJK TC" w:eastAsia="Noto Sans CJK TC" w:hAnsi="Noto Sans CJK TC" w:cs="Noto Sans CJK TC"/>
          <w:b/>
          <w:bCs/>
          <w:color w:val="1A365D"/>
          <w:sz w:val="27"/>
          <w:szCs w:val="27"/>
        </w:rPr>
        <w:t>二、第二層：裁量</w:t>
      </w:r>
      <w:proofErr w:type="gramStart"/>
      <w:r>
        <w:rPr>
          <w:rFonts w:ascii="Noto Sans CJK TC" w:eastAsia="Noto Sans CJK TC" w:hAnsi="Noto Sans CJK TC" w:cs="Noto Sans CJK TC"/>
          <w:b/>
          <w:bCs/>
          <w:color w:val="1A365D"/>
          <w:sz w:val="27"/>
          <w:szCs w:val="27"/>
        </w:rPr>
        <w:t>—</w:t>
      </w:r>
      <w:proofErr w:type="gramEnd"/>
      <w:r>
        <w:rPr>
          <w:rFonts w:ascii="Noto Sans CJK TC" w:eastAsia="Noto Sans CJK TC" w:hAnsi="Noto Sans CJK TC" w:cs="Noto Sans CJK TC"/>
          <w:b/>
          <w:bCs/>
          <w:color w:val="1A365D"/>
          <w:sz w:val="27"/>
          <w:szCs w:val="27"/>
        </w:rPr>
        <w:t>—</w:t>
      </w:r>
      <w:r>
        <w:rPr>
          <w:rFonts w:ascii="Noto Sans CJK TC" w:eastAsia="Noto Sans CJK TC" w:hAnsi="Noto Sans CJK TC" w:cs="Noto Sans CJK TC"/>
          <w:b/>
          <w:bCs/>
          <w:color w:val="1A365D"/>
          <w:sz w:val="27"/>
          <w:szCs w:val="27"/>
        </w:rPr>
        <w:t>裁量場</w:t>
      </w:r>
    </w:p>
    <w:p w:rsidR="0003266C" w:rsidRDefault="009E53B5">
      <w:pPr>
        <w:spacing w:after="180" w:line="340" w:lineRule="auto"/>
        <w:jc w:val="both"/>
      </w:pPr>
      <w:r>
        <w:rPr>
          <w:rFonts w:eastAsia="Noto Serif CJK TC"/>
          <w:color w:val="1A202C"/>
        </w:rPr>
        <w:t>裁量由單一決策點擴展到前置配置、模型轉譯、介面引導、人類覆核四個節點，而且「形式上有人簽核」不等於存在實質裁量。這一層直接對話</w:t>
      </w:r>
      <w:r>
        <w:rPr>
          <w:rFonts w:eastAsia="Noto Serif CJK TC"/>
          <w:color w:val="1A202C"/>
        </w:rPr>
        <w:t xml:space="preserve"> </w:t>
      </w:r>
      <w:proofErr w:type="spellStart"/>
      <w:r>
        <w:rPr>
          <w:rFonts w:eastAsia="Noto Serif CJK TC"/>
          <w:color w:val="1A202C"/>
        </w:rPr>
        <w:t>Bovens</w:t>
      </w:r>
      <w:proofErr w:type="spellEnd"/>
      <w:r>
        <w:rPr>
          <w:rFonts w:eastAsia="Noto Serif CJK TC"/>
          <w:color w:val="1A202C"/>
        </w:rPr>
        <w:t xml:space="preserve"> </w:t>
      </w:r>
      <w:r>
        <w:rPr>
          <w:rFonts w:eastAsia="Noto Serif CJK TC"/>
          <w:color w:val="1A202C"/>
        </w:rPr>
        <w:t>與</w:t>
      </w:r>
      <w:r>
        <w:rPr>
          <w:rFonts w:eastAsia="Noto Serif CJK TC"/>
          <w:color w:val="1A202C"/>
        </w:rPr>
        <w:t xml:space="preserve"> </w:t>
      </w:r>
      <w:proofErr w:type="spellStart"/>
      <w:r>
        <w:rPr>
          <w:rFonts w:eastAsia="Noto Serif CJK TC"/>
          <w:color w:val="1A202C"/>
        </w:rPr>
        <w:t>Zouridis</w:t>
      </w:r>
      <w:proofErr w:type="spellEnd"/>
      <w:r>
        <w:rPr>
          <w:rFonts w:eastAsia="Noto Serif CJK TC"/>
          <w:color w:val="1A202C"/>
        </w:rPr>
        <w:t>（</w:t>
      </w:r>
      <w:r>
        <w:rPr>
          <w:rFonts w:eastAsia="Noto Serif CJK TC"/>
          <w:color w:val="1A202C"/>
        </w:rPr>
        <w:t>2002</w:t>
      </w:r>
      <w:r>
        <w:rPr>
          <w:rFonts w:eastAsia="Noto Serif CJK TC"/>
          <w:color w:val="1A202C"/>
        </w:rPr>
        <w:t>）的裁量前移命題，以及</w:t>
      </w:r>
      <w:r>
        <w:rPr>
          <w:rFonts w:eastAsia="Noto Serif CJK TC"/>
          <w:color w:val="1A202C"/>
        </w:rPr>
        <w:t xml:space="preserve"> Afzal </w:t>
      </w:r>
      <w:r>
        <w:rPr>
          <w:rFonts w:eastAsia="Noto Serif CJK TC"/>
          <w:color w:val="1A202C"/>
        </w:rPr>
        <w:t>與</w:t>
      </w:r>
      <w:r>
        <w:rPr>
          <w:rFonts w:eastAsia="Noto Serif CJK TC"/>
          <w:color w:val="1A202C"/>
        </w:rPr>
        <w:t xml:space="preserve"> </w:t>
      </w:r>
      <w:proofErr w:type="spellStart"/>
      <w:r>
        <w:rPr>
          <w:rFonts w:eastAsia="Noto Serif CJK TC"/>
          <w:color w:val="1A202C"/>
        </w:rPr>
        <w:t>Panagiotopoulos</w:t>
      </w:r>
      <w:proofErr w:type="spellEnd"/>
      <w:r>
        <w:rPr>
          <w:rFonts w:eastAsia="Noto Serif CJK TC"/>
          <w:color w:val="1A202C"/>
        </w:rPr>
        <w:t>（</w:t>
      </w:r>
      <w:r>
        <w:rPr>
          <w:rFonts w:eastAsia="Noto Serif CJK TC"/>
          <w:color w:val="1A202C"/>
        </w:rPr>
        <w:t>2025</w:t>
      </w:r>
      <w:r>
        <w:rPr>
          <w:rFonts w:eastAsia="Noto Serif CJK TC"/>
          <w:color w:val="1A202C"/>
        </w:rPr>
        <w:t>）關於官員因轉換成本、損失厭惡與績效不確定而</w:t>
      </w:r>
      <w:proofErr w:type="gramStart"/>
      <w:r>
        <w:rPr>
          <w:rFonts w:eastAsia="Noto Serif CJK TC"/>
          <w:color w:val="1A202C"/>
        </w:rPr>
        <w:t>抗拒把裁量</w:t>
      </w:r>
      <w:proofErr w:type="gramEnd"/>
      <w:r>
        <w:rPr>
          <w:rFonts w:eastAsia="Noto Serif CJK TC"/>
          <w:color w:val="1A202C"/>
        </w:rPr>
        <w:t>委託給演算法的發現，並將兩者整合進一個更完整的動態架構：裁量</w:t>
      </w:r>
      <w:proofErr w:type="gramStart"/>
      <w:r>
        <w:rPr>
          <w:rFonts w:eastAsia="Noto Serif CJK TC"/>
          <w:color w:val="1A202C"/>
        </w:rPr>
        <w:t>前移只說明</w:t>
      </w:r>
      <w:proofErr w:type="gramEnd"/>
      <w:r>
        <w:rPr>
          <w:rFonts w:eastAsia="Noto Serif CJK TC"/>
          <w:color w:val="1A202C"/>
        </w:rPr>
        <w:t>了裁</w:t>
      </w:r>
      <w:r>
        <w:rPr>
          <w:rFonts w:eastAsia="Noto Serif CJK TC"/>
          <w:color w:val="1A202C"/>
        </w:rPr>
        <w:t>量「從哪裡消失」，</w:t>
      </w:r>
      <w:proofErr w:type="gramStart"/>
      <w:r>
        <w:rPr>
          <w:rFonts w:eastAsia="Noto Serif CJK TC"/>
          <w:color w:val="1A202C"/>
        </w:rPr>
        <w:t>裁量場</w:t>
      </w:r>
      <w:proofErr w:type="gramEnd"/>
      <w:r>
        <w:rPr>
          <w:rFonts w:eastAsia="Noto Serif CJK TC"/>
          <w:color w:val="1A202C"/>
        </w:rPr>
        <w:t>則進一步說明裁量「轉移到了哪裡」，以及每個轉移後的節點是出現形式簽核、自動順服，還是實質抵制。</w:t>
      </w:r>
    </w:p>
    <w:p w:rsidR="0003266C" w:rsidRDefault="009E53B5">
      <w:pPr>
        <w:pStyle w:val="2"/>
        <w:spacing w:before="280" w:after="140" w:line="340" w:lineRule="auto"/>
      </w:pPr>
      <w:r>
        <w:rPr>
          <w:rFonts w:ascii="Noto Sans CJK TC" w:eastAsia="Noto Sans CJK TC" w:hAnsi="Noto Sans CJK TC" w:cs="Noto Sans CJK TC"/>
          <w:b/>
          <w:bCs/>
          <w:color w:val="1A365D"/>
          <w:sz w:val="27"/>
          <w:szCs w:val="27"/>
        </w:rPr>
        <w:t>三、生成構成與裁量節點的交叉矩陣</w:t>
      </w:r>
    </w:p>
    <w:p w:rsidR="0003266C" w:rsidRDefault="009E53B5">
      <w:pPr>
        <w:spacing w:after="180" w:line="340" w:lineRule="auto"/>
        <w:jc w:val="both"/>
      </w:pPr>
      <w:r>
        <w:rPr>
          <w:rFonts w:eastAsia="Noto Serif CJK TC"/>
          <w:color w:val="1A202C"/>
        </w:rPr>
        <w:t xml:space="preserve">DAA </w:t>
      </w:r>
      <w:r>
        <w:rPr>
          <w:rFonts w:eastAsia="Noto Serif CJK TC"/>
          <w:color w:val="1A202C"/>
        </w:rPr>
        <w:t>的四層構成（法定位置、判斷位置、計算機制、結構條件）與</w:t>
      </w:r>
      <w:proofErr w:type="gramStart"/>
      <w:r>
        <w:rPr>
          <w:rFonts w:eastAsia="Noto Serif CJK TC"/>
          <w:color w:val="1A202C"/>
        </w:rPr>
        <w:t>裁量場的</w:t>
      </w:r>
      <w:proofErr w:type="gramEnd"/>
      <w:r>
        <w:rPr>
          <w:rFonts w:eastAsia="Noto Serif CJK TC"/>
          <w:color w:val="1A202C"/>
        </w:rPr>
        <w:t>四個節點（前置配置、模型轉譯、介面引導、人類覆核），是本文兩套不同的分類：前者的分析層次混合了制度位置、判斷行動、技術機制與環境條件，後者則主要沿流程時間點展開，兩者並非同一套邏輯的重複。與其把兩者當成兩條平行清單，不如把它們交叉起來，變成一張可以共同編碼個案的分析矩陣</w:t>
      </w:r>
      <w:proofErr w:type="gramStart"/>
      <w:r>
        <w:rPr>
          <w:rFonts w:eastAsia="Noto Serif CJK TC"/>
          <w:color w:val="1A202C"/>
        </w:rPr>
        <w:t>—</w:t>
      </w:r>
      <w:proofErr w:type="gramEnd"/>
      <w:r>
        <w:rPr>
          <w:rFonts w:eastAsia="Noto Serif CJK TC"/>
          <w:color w:val="1A202C"/>
        </w:rPr>
        <w:t>—</w:t>
      </w:r>
      <w:r>
        <w:rPr>
          <w:rFonts w:eastAsia="Noto Serif CJK TC"/>
          <w:color w:val="1A202C"/>
        </w:rPr>
        <w:t>矩陣中每一格是</w:t>
      </w:r>
      <w:r>
        <w:rPr>
          <w:rFonts w:eastAsia="Noto Serif CJK TC"/>
          <w:color w:val="1A202C"/>
        </w:rPr>
        <w:t>一個具體的觀察問題，而非本文已有答案的定論：</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1850"/>
        <w:gridCol w:w="1850"/>
        <w:gridCol w:w="1850"/>
        <w:gridCol w:w="1850"/>
      </w:tblGrid>
      <w:tr w:rsidR="0003266C">
        <w:tblPrEx>
          <w:tblCellMar>
            <w:top w:w="0" w:type="dxa"/>
            <w:bottom w:w="0" w:type="dxa"/>
          </w:tblCellMar>
        </w:tblPrEx>
        <w:trPr>
          <w:tblHeader/>
        </w:trPr>
        <w:tc>
          <w:tcPr>
            <w:tcW w:w="1600" w:type="dxa"/>
            <w:shd w:val="clear" w:color="auto" w:fill="1A365D"/>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b/>
                <w:bCs/>
                <w:color w:val="FFFFFF"/>
                <w:sz w:val="18"/>
                <w:szCs w:val="18"/>
              </w:rPr>
              <w:t>裁量節點／生成構成</w:t>
            </w:r>
          </w:p>
        </w:tc>
        <w:tc>
          <w:tcPr>
            <w:tcW w:w="1850" w:type="dxa"/>
            <w:shd w:val="clear" w:color="auto" w:fill="1A365D"/>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b/>
                <w:bCs/>
                <w:color w:val="FFFFFF"/>
                <w:sz w:val="18"/>
                <w:szCs w:val="18"/>
              </w:rPr>
              <w:t>法定位置</w:t>
            </w:r>
          </w:p>
        </w:tc>
        <w:tc>
          <w:tcPr>
            <w:tcW w:w="1850" w:type="dxa"/>
            <w:shd w:val="clear" w:color="auto" w:fill="1A365D"/>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b/>
                <w:bCs/>
                <w:color w:val="FFFFFF"/>
                <w:sz w:val="18"/>
                <w:szCs w:val="18"/>
              </w:rPr>
              <w:t>判斷位置</w:t>
            </w:r>
          </w:p>
        </w:tc>
        <w:tc>
          <w:tcPr>
            <w:tcW w:w="1850" w:type="dxa"/>
            <w:shd w:val="clear" w:color="auto" w:fill="1A365D"/>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b/>
                <w:bCs/>
                <w:color w:val="FFFFFF"/>
                <w:sz w:val="18"/>
                <w:szCs w:val="18"/>
              </w:rPr>
              <w:t>計算機制</w:t>
            </w:r>
          </w:p>
        </w:tc>
        <w:tc>
          <w:tcPr>
            <w:tcW w:w="1850" w:type="dxa"/>
            <w:shd w:val="clear" w:color="auto" w:fill="1A365D"/>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b/>
                <w:bCs/>
                <w:color w:val="FFFFFF"/>
                <w:sz w:val="18"/>
                <w:szCs w:val="18"/>
              </w:rPr>
              <w:t>結構條件</w:t>
            </w:r>
          </w:p>
        </w:tc>
      </w:tr>
      <w:tr w:rsidR="0003266C">
        <w:tblPrEx>
          <w:tblCellMar>
            <w:top w:w="0" w:type="dxa"/>
            <w:bottom w:w="0" w:type="dxa"/>
          </w:tblCellMar>
        </w:tblPrEx>
        <w:tc>
          <w:tcPr>
            <w:tcW w:w="16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前置配置</w:t>
            </w:r>
          </w:p>
        </w:tc>
        <w:tc>
          <w:tcPr>
            <w:tcW w:w="185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誰授權系統處理何種事項？</w:t>
            </w:r>
          </w:p>
        </w:tc>
        <w:tc>
          <w:tcPr>
            <w:tcW w:w="185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誰界定專業判斷標準？</w:t>
            </w:r>
          </w:p>
        </w:tc>
        <w:tc>
          <w:tcPr>
            <w:tcW w:w="185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誰決定模型目的與資料範圍？</w:t>
            </w:r>
          </w:p>
        </w:tc>
        <w:tc>
          <w:tcPr>
            <w:tcW w:w="185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採購、預算與資料治理如何限制選擇？</w:t>
            </w:r>
          </w:p>
        </w:tc>
      </w:tr>
      <w:tr w:rsidR="0003266C">
        <w:tblPrEx>
          <w:tblCellMar>
            <w:top w:w="0" w:type="dxa"/>
            <w:bottom w:w="0" w:type="dxa"/>
          </w:tblCellMar>
        </w:tblPrEx>
        <w:tc>
          <w:tcPr>
            <w:tcW w:w="16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模型轉譯</w:t>
            </w:r>
          </w:p>
        </w:tc>
        <w:tc>
          <w:tcPr>
            <w:tcW w:w="185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法律概念如何被轉換為可計算規則？</w:t>
            </w:r>
          </w:p>
        </w:tc>
        <w:tc>
          <w:tcPr>
            <w:tcW w:w="185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專業判斷如何被編碼？</w:t>
            </w:r>
          </w:p>
        </w:tc>
        <w:tc>
          <w:tcPr>
            <w:tcW w:w="185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何種特徵、門檻、權重被採用？</w:t>
            </w:r>
          </w:p>
        </w:tc>
        <w:tc>
          <w:tcPr>
            <w:tcW w:w="185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誰掌握技術文件與模型更新權？</w:t>
            </w:r>
          </w:p>
        </w:tc>
      </w:tr>
      <w:tr w:rsidR="0003266C">
        <w:tblPrEx>
          <w:tblCellMar>
            <w:top w:w="0" w:type="dxa"/>
            <w:bottom w:w="0" w:type="dxa"/>
          </w:tblCellMar>
        </w:tblPrEx>
        <w:tc>
          <w:tcPr>
            <w:tcW w:w="16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介面引導</w:t>
            </w:r>
          </w:p>
        </w:tc>
        <w:tc>
          <w:tcPr>
            <w:tcW w:w="185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系統是否揭示法定依據？</w:t>
            </w:r>
          </w:p>
        </w:tc>
        <w:tc>
          <w:tcPr>
            <w:tcW w:w="185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人員能否輸入專業理由？</w:t>
            </w:r>
          </w:p>
        </w:tc>
        <w:tc>
          <w:tcPr>
            <w:tcW w:w="185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風險分數與建議如何呈現？</w:t>
            </w:r>
          </w:p>
        </w:tc>
        <w:tc>
          <w:tcPr>
            <w:tcW w:w="185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時間壓力、績效考核是否造成預設依賴？</w:t>
            </w:r>
          </w:p>
        </w:tc>
      </w:tr>
      <w:tr w:rsidR="0003266C">
        <w:tblPrEx>
          <w:tblCellMar>
            <w:top w:w="0" w:type="dxa"/>
            <w:bottom w:w="0" w:type="dxa"/>
          </w:tblCellMar>
        </w:tblPrEx>
        <w:tc>
          <w:tcPr>
            <w:tcW w:w="16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人類覆核</w:t>
            </w:r>
          </w:p>
        </w:tc>
        <w:tc>
          <w:tcPr>
            <w:tcW w:w="185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覆核者的法律權限為何？</w:t>
            </w:r>
          </w:p>
        </w:tc>
        <w:tc>
          <w:tcPr>
            <w:tcW w:w="185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覆核者能否提出獨立判斷？</w:t>
            </w:r>
          </w:p>
        </w:tc>
        <w:tc>
          <w:tcPr>
            <w:tcW w:w="185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能否查看、質疑、推翻模型依據？</w:t>
            </w:r>
          </w:p>
        </w:tc>
        <w:tc>
          <w:tcPr>
            <w:tcW w:w="185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是否具備培訓、資源與組織支持？</w:t>
            </w:r>
          </w:p>
        </w:tc>
      </w:tr>
    </w:tbl>
    <w:p w:rsidR="0003266C" w:rsidRDefault="009E53B5">
      <w:pPr>
        <w:spacing w:after="180" w:line="340" w:lineRule="auto"/>
        <w:jc w:val="both"/>
      </w:pPr>
      <w:r>
        <w:rPr>
          <w:rFonts w:eastAsia="Noto Serif CJK TC"/>
          <w:color w:val="1A202C"/>
        </w:rPr>
        <w:t>這張矩陣目前仍是本文為了說明兩套分類如何交叉而提出的分析工具，尚未實際用於編碼任何個案；它的價值要等到</w:t>
      </w:r>
      <w:r>
        <w:rPr>
          <w:rFonts w:eastAsia="Noto Serif CJK TC"/>
          <w:color w:val="1A202C"/>
        </w:rPr>
        <w:t xml:space="preserve"> 031 </w:t>
      </w:r>
      <w:r>
        <w:rPr>
          <w:rFonts w:eastAsia="Noto Serif CJK TC"/>
          <w:color w:val="1A202C"/>
        </w:rPr>
        <w:t>的個案檢視實際套用之後，才能判斷是否所有十六格都是有意義的觀察單位，或其中一些格在經驗上其實是空集合。</w:t>
      </w:r>
    </w:p>
    <w:p w:rsidR="0003266C" w:rsidRDefault="009E53B5">
      <w:pPr>
        <w:pStyle w:val="2"/>
        <w:spacing w:before="280" w:after="140" w:line="340" w:lineRule="auto"/>
      </w:pPr>
      <w:r>
        <w:rPr>
          <w:rFonts w:ascii="Noto Sans CJK TC" w:eastAsia="Noto Sans CJK TC" w:hAnsi="Noto Sans CJK TC" w:cs="Noto Sans CJK TC"/>
          <w:b/>
          <w:bCs/>
          <w:color w:val="1A365D"/>
          <w:sz w:val="27"/>
          <w:szCs w:val="27"/>
        </w:rPr>
        <w:lastRenderedPageBreak/>
        <w:t>四、第三層：權威</w:t>
      </w:r>
      <w:proofErr w:type="gramStart"/>
      <w:r>
        <w:rPr>
          <w:rFonts w:ascii="Noto Sans CJK TC" w:eastAsia="Noto Sans CJK TC" w:hAnsi="Noto Sans CJK TC" w:cs="Noto Sans CJK TC"/>
          <w:b/>
          <w:bCs/>
          <w:color w:val="1A365D"/>
          <w:sz w:val="27"/>
          <w:szCs w:val="27"/>
        </w:rPr>
        <w:t>—</w:t>
      </w:r>
      <w:proofErr w:type="gramEnd"/>
      <w:r>
        <w:rPr>
          <w:rFonts w:ascii="Noto Sans CJK TC" w:eastAsia="Noto Sans CJK TC" w:hAnsi="Noto Sans CJK TC" w:cs="Noto Sans CJK TC"/>
          <w:b/>
          <w:bCs/>
          <w:color w:val="1A365D"/>
          <w:sz w:val="27"/>
          <w:szCs w:val="27"/>
        </w:rPr>
        <w:t>—UCPR</w:t>
      </w:r>
    </w:p>
    <w:p w:rsidR="0003266C" w:rsidRDefault="009E53B5">
      <w:pPr>
        <w:spacing w:after="180" w:line="340" w:lineRule="auto"/>
        <w:jc w:val="both"/>
      </w:pPr>
      <w:r>
        <w:rPr>
          <w:rFonts w:eastAsia="Noto Serif CJK TC"/>
          <w:color w:val="1A202C"/>
        </w:rPr>
        <w:t>公共權威必須保有三種能力：認知能力（政府是否知道系統在做什麼）、決策能力（政府是否能修改、覆核、否決、暫停、停止系統決策）、</w:t>
      </w:r>
      <w:proofErr w:type="gramStart"/>
      <w:r>
        <w:rPr>
          <w:rFonts w:eastAsia="Noto Serif CJK TC"/>
          <w:color w:val="1A202C"/>
        </w:rPr>
        <w:t>課責能力</w:t>
      </w:r>
      <w:proofErr w:type="gramEnd"/>
      <w:r>
        <w:rPr>
          <w:rFonts w:eastAsia="Noto Serif CJK TC"/>
          <w:color w:val="1A202C"/>
        </w:rPr>
        <w:t>（政府是否能說明理由、承認錯誤、提供救濟、承擔責任）。這一層是</w:t>
      </w:r>
      <w:r>
        <w:rPr>
          <w:rFonts w:eastAsia="Noto Serif CJK TC"/>
          <w:color w:val="1A202C"/>
        </w:rPr>
        <w:t xml:space="preserve"> GDA </w:t>
      </w:r>
      <w:r>
        <w:rPr>
          <w:rFonts w:eastAsia="Noto Serif CJK TC"/>
          <w:color w:val="1A202C"/>
        </w:rPr>
        <w:t>模型對</w:t>
      </w:r>
      <w:r>
        <w:rPr>
          <w:rFonts w:eastAsia="Noto Serif CJK TC"/>
          <w:color w:val="1A202C"/>
        </w:rPr>
        <w:t xml:space="preserve"> </w:t>
      </w:r>
      <w:proofErr w:type="spellStart"/>
      <w:r>
        <w:rPr>
          <w:rFonts w:eastAsia="Noto Serif CJK TC"/>
          <w:color w:val="1A202C"/>
        </w:rPr>
        <w:t>Busuioc</w:t>
      </w:r>
      <w:proofErr w:type="spellEnd"/>
      <w:r>
        <w:rPr>
          <w:rFonts w:eastAsia="Noto Serif CJK TC"/>
          <w:color w:val="1A202C"/>
        </w:rPr>
        <w:t>（</w:t>
      </w:r>
      <w:r>
        <w:rPr>
          <w:rFonts w:eastAsia="Noto Serif CJK TC"/>
          <w:color w:val="1A202C"/>
        </w:rPr>
        <w:t>2021</w:t>
      </w:r>
      <w:r>
        <w:rPr>
          <w:rFonts w:eastAsia="Noto Serif CJK TC"/>
          <w:color w:val="1A202C"/>
        </w:rPr>
        <w:t>）</w:t>
      </w:r>
      <w:proofErr w:type="gramStart"/>
      <w:r>
        <w:rPr>
          <w:rFonts w:eastAsia="Noto Serif CJK TC"/>
          <w:color w:val="1A202C"/>
        </w:rPr>
        <w:t>問責挑戰</w:t>
      </w:r>
      <w:proofErr w:type="gramEnd"/>
      <w:r>
        <w:rPr>
          <w:rFonts w:eastAsia="Noto Serif CJK TC"/>
          <w:color w:val="1A202C"/>
        </w:rPr>
        <w:t>的制度回應，也是對</w:t>
      </w:r>
      <w:r>
        <w:rPr>
          <w:rFonts w:eastAsia="Noto Serif CJK TC"/>
          <w:color w:val="1A202C"/>
        </w:rPr>
        <w:t xml:space="preserve"> Citron</w:t>
      </w:r>
      <w:r>
        <w:rPr>
          <w:rFonts w:eastAsia="Noto Serif CJK TC"/>
          <w:color w:val="1A202C"/>
        </w:rPr>
        <w:t>（</w:t>
      </w:r>
      <w:r>
        <w:rPr>
          <w:rFonts w:eastAsia="Noto Serif CJK TC"/>
          <w:color w:val="1A202C"/>
        </w:rPr>
        <w:t>2008</w:t>
      </w:r>
      <w:r>
        <w:rPr>
          <w:rFonts w:eastAsia="Noto Serif CJK TC"/>
          <w:color w:val="1A202C"/>
        </w:rPr>
        <w:t>）與</w:t>
      </w:r>
      <w:r>
        <w:rPr>
          <w:rFonts w:eastAsia="Noto Serif CJK TC"/>
          <w:color w:val="1A202C"/>
        </w:rPr>
        <w:t xml:space="preserve"> Langer</w:t>
      </w:r>
      <w:r>
        <w:rPr>
          <w:rFonts w:eastAsia="Noto Serif CJK TC"/>
          <w:color w:val="1A202C"/>
        </w:rPr>
        <w:t>（</w:t>
      </w:r>
      <w:r>
        <w:rPr>
          <w:rFonts w:eastAsia="Noto Serif CJK TC"/>
          <w:color w:val="1A202C"/>
        </w:rPr>
        <w:t>2024</w:t>
      </w:r>
      <w:r>
        <w:rPr>
          <w:rFonts w:eastAsia="Noto Serif CJK TC"/>
          <w:color w:val="1A202C"/>
        </w:rPr>
        <w:t>）行政法關切的操作化嘗試</w:t>
      </w:r>
      <w:r>
        <w:rPr>
          <w:rFonts w:eastAsia="Noto Serif CJK TC"/>
          <w:color w:val="1A202C"/>
        </w:rPr>
        <w:t>——</w:t>
      </w:r>
      <w:r>
        <w:rPr>
          <w:rFonts w:eastAsia="Noto Serif CJK TC"/>
          <w:color w:val="1A202C"/>
        </w:rPr>
        <w:t>它把「保障正當程序」「不得延伸委任核心決定」這類原則性主張，轉譯為三組具體、可被檢驗的制度能力。需要特別說明的是，這三種能力並非可以彼此加總或替代的量表分項，而更接近一</w:t>
      </w:r>
      <w:r>
        <w:rPr>
          <w:rFonts w:eastAsia="Noto Serif CJK TC"/>
          <w:color w:val="1A202C"/>
        </w:rPr>
        <w:t>組「構成性能力」：任一項長期缺失，都可能使公共權威喪失實質的再介入能力，而不是可以靠其他兩項補足的分項成績</w:t>
      </w:r>
      <w:proofErr w:type="gramStart"/>
      <w:r>
        <w:rPr>
          <w:rFonts w:eastAsia="Noto Serif CJK TC"/>
          <w:color w:val="1A202C"/>
        </w:rPr>
        <w:t>—</w:t>
      </w:r>
      <w:proofErr w:type="gramEnd"/>
      <w:r>
        <w:rPr>
          <w:rFonts w:eastAsia="Noto Serif CJK TC"/>
          <w:color w:val="1A202C"/>
        </w:rPr>
        <w:t>—</w:t>
      </w:r>
      <w:r>
        <w:rPr>
          <w:rFonts w:eastAsia="Noto Serif CJK TC"/>
          <w:color w:val="1A202C"/>
        </w:rPr>
        <w:t>例如一個機關即使充分理解系統邏輯（認知能力具備），若契約上無法暫停或修改系統運作（決策能力缺失），仍不構成完整的</w:t>
      </w:r>
      <w:r>
        <w:rPr>
          <w:rFonts w:eastAsia="Noto Serif CJK TC"/>
          <w:color w:val="1A202C"/>
        </w:rPr>
        <w:t xml:space="preserve"> UCPR</w:t>
      </w:r>
      <w:r>
        <w:rPr>
          <w:rFonts w:eastAsia="Noto Serif CJK TC"/>
          <w:color w:val="1A202C"/>
        </w:rPr>
        <w:t>。</w:t>
      </w:r>
    </w:p>
    <w:p w:rsidR="0003266C" w:rsidRDefault="009E53B5">
      <w:pPr>
        <w:pStyle w:val="2"/>
        <w:spacing w:before="280" w:after="140" w:line="340" w:lineRule="auto"/>
      </w:pPr>
      <w:r>
        <w:rPr>
          <w:rFonts w:ascii="Noto Sans CJK TC" w:eastAsia="Noto Sans CJK TC" w:hAnsi="Noto Sans CJK TC" w:cs="Noto Sans CJK TC"/>
          <w:b/>
          <w:bCs/>
          <w:color w:val="1A365D"/>
          <w:sz w:val="27"/>
          <w:szCs w:val="27"/>
        </w:rPr>
        <w:t>五、三層之間的關係</w:t>
      </w:r>
    </w:p>
    <w:p w:rsidR="0003266C" w:rsidRDefault="009E53B5">
      <w:pPr>
        <w:spacing w:after="180" w:line="340" w:lineRule="auto"/>
        <w:jc w:val="both"/>
      </w:pPr>
      <w:r>
        <w:rPr>
          <w:rFonts w:eastAsia="Noto Serif CJK TC"/>
          <w:color w:val="1A202C"/>
        </w:rPr>
        <w:t>生成、裁量、權威三層並非三個平行、各自獨立的概念，而是形成</w:t>
      </w:r>
      <w:r>
        <w:rPr>
          <w:rFonts w:eastAsia="Noto Serif CJK TC"/>
          <w:color w:val="1A202C"/>
        </w:rPr>
        <w:t xml:space="preserve"> Generation → Discretion → Authority </w:t>
      </w:r>
      <w:r>
        <w:rPr>
          <w:rFonts w:eastAsia="Noto Serif CJK TC"/>
          <w:color w:val="1A202C"/>
        </w:rPr>
        <w:t>的因果連動關係：生成結構的分散程度，會影響裁量可能分布的節點與位置，但其實際效果仍受到組織文化、專業規範、資源條件與行動者策</w:t>
      </w:r>
      <w:r>
        <w:rPr>
          <w:rFonts w:eastAsia="Noto Serif CJK TC"/>
          <w:color w:val="1A202C"/>
        </w:rPr>
        <w:t>略等因素調節；裁量分布的狀態，則進一步牽動公共權威需要在哪些節點保有</w:t>
      </w:r>
      <w:r>
        <w:rPr>
          <w:rFonts w:eastAsia="Noto Serif CJK TC"/>
          <w:color w:val="1A202C"/>
        </w:rPr>
        <w:t xml:space="preserve"> UCPR</w:t>
      </w:r>
      <w:r>
        <w:rPr>
          <w:rFonts w:eastAsia="Noto Serif CJK TC"/>
          <w:color w:val="1A202C"/>
        </w:rPr>
        <w:t>，才能避免權威被技術中介的過程實質外部化</w:t>
      </w:r>
      <w:proofErr w:type="gramStart"/>
      <w:r>
        <w:rPr>
          <w:rFonts w:eastAsia="Noto Serif CJK TC"/>
          <w:color w:val="1A202C"/>
        </w:rPr>
        <w:t>—</w:t>
      </w:r>
      <w:proofErr w:type="gramEnd"/>
      <w:r>
        <w:rPr>
          <w:rFonts w:eastAsia="Noto Serif CJK TC"/>
          <w:color w:val="1A202C"/>
        </w:rPr>
        <w:t>—</w:t>
      </w:r>
      <w:r>
        <w:rPr>
          <w:rFonts w:eastAsia="Noto Serif CJK TC"/>
          <w:color w:val="1A202C"/>
        </w:rPr>
        <w:t>這是一條有方向性、但非機械決定論的因果鏈，其確切的調節條件仍待後續實證檢驗。這正是</w:t>
      </w:r>
      <w:r>
        <w:rPr>
          <w:rFonts w:eastAsia="Noto Serif CJK TC"/>
          <w:color w:val="1A202C"/>
        </w:rPr>
        <w:t xml:space="preserve"> GDA </w:t>
      </w:r>
      <w:r>
        <w:rPr>
          <w:rFonts w:eastAsia="Noto Serif CJK TC"/>
          <w:color w:val="1A202C"/>
        </w:rPr>
        <w:t>模型相對於本文檢視的代表性文獻</w:t>
      </w:r>
      <w:proofErr w:type="gramStart"/>
      <w:r>
        <w:rPr>
          <w:rFonts w:eastAsia="Noto Serif CJK TC"/>
          <w:color w:val="1A202C"/>
        </w:rPr>
        <w:t>—</w:t>
      </w:r>
      <w:proofErr w:type="gramEnd"/>
      <w:r>
        <w:rPr>
          <w:rFonts w:eastAsia="Noto Serif CJK TC"/>
          <w:color w:val="1A202C"/>
        </w:rPr>
        <w:t>—</w:t>
      </w:r>
      <w:r>
        <w:rPr>
          <w:rFonts w:eastAsia="Noto Serif CJK TC"/>
          <w:color w:val="1A202C"/>
        </w:rPr>
        <w:t>多半只處理生成、裁量、權威三者之一，或最多處理兩者之間的關係</w:t>
      </w:r>
      <w:r>
        <w:rPr>
          <w:rFonts w:eastAsia="Noto Serif CJK TC"/>
          <w:color w:val="1A202C"/>
        </w:rPr>
        <w:t>——</w:t>
      </w:r>
      <w:r>
        <w:rPr>
          <w:rFonts w:eastAsia="Noto Serif CJK TC"/>
          <w:color w:val="1A202C"/>
        </w:rPr>
        <w:t>最主要的整合性貢獻：既有的六條國際研究路徑，分別對應了這條因果鏈的不同片段，而</w:t>
      </w:r>
      <w:r>
        <w:rPr>
          <w:rFonts w:eastAsia="Noto Serif CJK TC"/>
          <w:color w:val="1A202C"/>
        </w:rPr>
        <w:t xml:space="preserve"> GDA </w:t>
      </w:r>
      <w:r>
        <w:rPr>
          <w:rFonts w:eastAsia="Noto Serif CJK TC"/>
          <w:color w:val="1A202C"/>
        </w:rPr>
        <w:t>模型主張，唯有把三段因果鏈完整地串起來，才能同時解釋經驗現象、並提供制度設計上的規範指引；但這個因果鏈目前仍是待</w:t>
      </w:r>
      <w:r>
        <w:rPr>
          <w:rFonts w:eastAsia="Noto Serif CJK TC"/>
          <w:color w:val="1A202C"/>
        </w:rPr>
        <w:t>檢驗的理論命題，而非已證實的因果模型。</w:t>
      </w:r>
    </w:p>
    <w:p w:rsidR="0003266C" w:rsidRDefault="009E53B5">
      <w:pPr>
        <w:pStyle w:val="2"/>
        <w:spacing w:before="280" w:after="140" w:line="340" w:lineRule="auto"/>
      </w:pPr>
      <w:r>
        <w:rPr>
          <w:rFonts w:ascii="Noto Sans CJK TC" w:eastAsia="Noto Sans CJK TC" w:hAnsi="Noto Sans CJK TC" w:cs="Noto Sans CJK TC"/>
          <w:b/>
          <w:bCs/>
          <w:color w:val="1A365D"/>
          <w:sz w:val="27"/>
          <w:szCs w:val="27"/>
        </w:rPr>
        <w:t>六、理論命題與邊界條件</w:t>
      </w:r>
    </w:p>
    <w:p w:rsidR="0003266C" w:rsidRDefault="009E53B5">
      <w:pPr>
        <w:spacing w:after="180" w:line="340" w:lineRule="auto"/>
        <w:jc w:val="both"/>
      </w:pPr>
      <w:r>
        <w:rPr>
          <w:rFonts w:eastAsia="Noto Serif CJK TC"/>
          <w:color w:val="1A202C"/>
        </w:rPr>
        <w:t>上一節指出，生成、裁量、權威三層的因果連動「目前仍是待檢驗的理論命題，而非已證實的因果模型」</w:t>
      </w:r>
      <w:proofErr w:type="gramStart"/>
      <w:r>
        <w:rPr>
          <w:rFonts w:eastAsia="Noto Serif CJK TC"/>
          <w:color w:val="1A202C"/>
        </w:rPr>
        <w:t>—</w:t>
      </w:r>
      <w:proofErr w:type="gramEnd"/>
      <w:r>
        <w:rPr>
          <w:rFonts w:eastAsia="Noto Serif CJK TC"/>
          <w:color w:val="1A202C"/>
        </w:rPr>
        <w:t>—</w:t>
      </w:r>
      <w:r>
        <w:rPr>
          <w:rFonts w:eastAsia="Noto Serif CJK TC"/>
          <w:color w:val="1A202C"/>
        </w:rPr>
        <w:t>這句話容易被讀成一種修辭性的自我保護，若要讓它真正具有理論意義，就必須把「生成結構會影響裁量分布」這類語言，改寫成具體到可以被經驗材料支持或推翻的命題。以下提出六條初步命題，作為</w:t>
      </w:r>
      <w:r>
        <w:rPr>
          <w:rFonts w:eastAsia="Noto Serif CJK TC"/>
          <w:color w:val="1A202C"/>
        </w:rPr>
        <w:t xml:space="preserve"> 031 </w:t>
      </w:r>
      <w:r>
        <w:rPr>
          <w:rFonts w:eastAsia="Noto Serif CJK TC"/>
          <w:color w:val="1A202C"/>
        </w:rPr>
        <w:t>個案檢視與後續跨案例比較的起點，而非本文已經驗證的結論；前四條命題（</w:t>
      </w:r>
      <w:r>
        <w:rPr>
          <w:rFonts w:eastAsia="Noto Serif CJK TC"/>
          <w:color w:val="1A202C"/>
        </w:rPr>
        <w:t>P1</w:t>
      </w:r>
      <w:proofErr w:type="gramStart"/>
      <w:r>
        <w:rPr>
          <w:rFonts w:eastAsia="Noto Serif CJK TC"/>
          <w:color w:val="1A202C"/>
        </w:rPr>
        <w:t>–</w:t>
      </w:r>
      <w:proofErr w:type="gramEnd"/>
      <w:r>
        <w:rPr>
          <w:rFonts w:eastAsia="Noto Serif CJK TC"/>
          <w:color w:val="1A202C"/>
        </w:rPr>
        <w:t>P4</w:t>
      </w:r>
      <w:r>
        <w:rPr>
          <w:rFonts w:eastAsia="Noto Serif CJK TC"/>
          <w:color w:val="1A202C"/>
        </w:rPr>
        <w:t>）聚焦於生成、裁量、權威三層各自的內部機制，後兩條命題（</w:t>
      </w:r>
      <w:r>
        <w:rPr>
          <w:rFonts w:eastAsia="Noto Serif CJK TC"/>
          <w:color w:val="1A202C"/>
        </w:rPr>
        <w:t>P5</w:t>
      </w:r>
      <w:r>
        <w:rPr>
          <w:rFonts w:eastAsia="Noto Serif CJK TC"/>
          <w:color w:val="1A202C"/>
        </w:rPr>
        <w:t>、</w:t>
      </w:r>
      <w:r>
        <w:rPr>
          <w:rFonts w:eastAsia="Noto Serif CJK TC"/>
          <w:color w:val="1A202C"/>
        </w:rPr>
        <w:t>P6</w:t>
      </w:r>
      <w:r>
        <w:rPr>
          <w:rFonts w:eastAsia="Noto Serif CJK TC"/>
          <w:color w:val="1A202C"/>
        </w:rPr>
        <w:t>）則進一步處理介面設</w:t>
      </w:r>
      <w:r>
        <w:rPr>
          <w:rFonts w:eastAsia="Noto Serif CJK TC"/>
          <w:color w:val="1A202C"/>
        </w:rPr>
        <w:t>計如何中介</w:t>
      </w:r>
      <w:proofErr w:type="gramStart"/>
      <w:r>
        <w:rPr>
          <w:rFonts w:eastAsia="Noto Serif CJK TC"/>
          <w:color w:val="1A202C"/>
        </w:rPr>
        <w:t>裁量場</w:t>
      </w:r>
      <w:proofErr w:type="gramEnd"/>
      <w:r>
        <w:rPr>
          <w:rFonts w:eastAsia="Noto Serif CJK TC"/>
          <w:color w:val="1A202C"/>
        </w:rPr>
        <w:t>的人類覆核節點，以及三層機制若同時弱化，是否足以構成本文所稱的「權威</w:t>
      </w:r>
      <w:proofErr w:type="gramStart"/>
      <w:r>
        <w:rPr>
          <w:rFonts w:eastAsia="Noto Serif CJK TC"/>
          <w:color w:val="1A202C"/>
        </w:rPr>
        <w:t>外部</w:t>
      </w:r>
      <w:proofErr w:type="gramEnd"/>
      <w:r>
        <w:rPr>
          <w:rFonts w:eastAsia="Noto Serif CJK TC"/>
          <w:color w:val="1A202C"/>
        </w:rPr>
        <w:t>化」：</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3700"/>
        <w:gridCol w:w="3700"/>
      </w:tblGrid>
      <w:tr w:rsidR="0003266C">
        <w:tblPrEx>
          <w:tblCellMar>
            <w:top w:w="0" w:type="dxa"/>
            <w:bottom w:w="0" w:type="dxa"/>
          </w:tblCellMar>
        </w:tblPrEx>
        <w:trPr>
          <w:tblHeader/>
        </w:trPr>
        <w:tc>
          <w:tcPr>
            <w:tcW w:w="1600" w:type="dxa"/>
            <w:shd w:val="clear" w:color="auto" w:fill="1A365D"/>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b/>
                <w:bCs/>
                <w:color w:val="FFFFFF"/>
                <w:sz w:val="18"/>
                <w:szCs w:val="18"/>
              </w:rPr>
              <w:lastRenderedPageBreak/>
              <w:t>命題</w:t>
            </w:r>
          </w:p>
        </w:tc>
        <w:tc>
          <w:tcPr>
            <w:tcW w:w="3700" w:type="dxa"/>
            <w:shd w:val="clear" w:color="auto" w:fill="1A365D"/>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b/>
                <w:bCs/>
                <w:color w:val="FFFFFF"/>
                <w:sz w:val="18"/>
                <w:szCs w:val="18"/>
              </w:rPr>
              <w:t>可檢驗表述</w:t>
            </w:r>
          </w:p>
        </w:tc>
        <w:tc>
          <w:tcPr>
            <w:tcW w:w="3700" w:type="dxa"/>
            <w:shd w:val="clear" w:color="auto" w:fill="1A365D"/>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b/>
                <w:bCs/>
                <w:color w:val="FFFFFF"/>
                <w:sz w:val="18"/>
                <w:szCs w:val="18"/>
              </w:rPr>
              <w:t>可能反證</w:t>
            </w:r>
          </w:p>
        </w:tc>
      </w:tr>
      <w:tr w:rsidR="0003266C">
        <w:tblPrEx>
          <w:tblCellMar>
            <w:top w:w="0" w:type="dxa"/>
            <w:bottom w:w="0" w:type="dxa"/>
          </w:tblCellMar>
        </w:tblPrEx>
        <w:tc>
          <w:tcPr>
            <w:tcW w:w="16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P1</w:t>
            </w:r>
            <w:r>
              <w:rPr>
                <w:rFonts w:ascii="Noto Sans CJK TC" w:eastAsia="Noto Sans CJK TC" w:hAnsi="Noto Sans CJK TC" w:cs="Noto Sans CJK TC"/>
                <w:color w:val="1A202C"/>
                <w:sz w:val="18"/>
                <w:szCs w:val="18"/>
              </w:rPr>
              <w:t xml:space="preserve">　生成分散命題</w:t>
            </w:r>
          </w:p>
        </w:tc>
        <w:tc>
          <w:tcPr>
            <w:tcW w:w="37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行政結果所涉及的法定、判斷、計算、結構位置越多，其決策邏輯的可追溯性與可理解性越低</w:t>
            </w:r>
          </w:p>
        </w:tc>
        <w:tc>
          <w:tcPr>
            <w:tcW w:w="37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即使涉及多個生成位置，若權責文件、可追溯紀錄與整合稽核機制完善，認知能力未必隨之下降</w:t>
            </w:r>
          </w:p>
        </w:tc>
      </w:tr>
      <w:tr w:rsidR="0003266C">
        <w:tblPrEx>
          <w:tblCellMar>
            <w:top w:w="0" w:type="dxa"/>
            <w:bottom w:w="0" w:type="dxa"/>
          </w:tblCellMar>
        </w:tblPrEx>
        <w:tc>
          <w:tcPr>
            <w:tcW w:w="16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P2</w:t>
            </w:r>
            <w:r>
              <w:rPr>
                <w:rFonts w:ascii="Noto Sans CJK TC" w:eastAsia="Noto Sans CJK TC" w:hAnsi="Noto Sans CJK TC" w:cs="Noto Sans CJK TC"/>
                <w:color w:val="1A202C"/>
                <w:sz w:val="18"/>
                <w:szCs w:val="18"/>
              </w:rPr>
              <w:t xml:space="preserve">　裁量轉移命題</w:t>
            </w:r>
          </w:p>
        </w:tc>
        <w:tc>
          <w:tcPr>
            <w:tcW w:w="37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當模型門檻與介面預設值高度固定時，人類覆核節點的實質推翻率會下降</w:t>
            </w:r>
          </w:p>
        </w:tc>
        <w:tc>
          <w:tcPr>
            <w:tcW w:w="37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覆核者若具有暫停權、充分的理由記錄要求與組織支持，即使面對固定預設，仍可能維持高頻率的實質推翻</w:t>
            </w:r>
          </w:p>
        </w:tc>
      </w:tr>
      <w:tr w:rsidR="0003266C">
        <w:tblPrEx>
          <w:tblCellMar>
            <w:top w:w="0" w:type="dxa"/>
            <w:bottom w:w="0" w:type="dxa"/>
          </w:tblCellMar>
        </w:tblPrEx>
        <w:tc>
          <w:tcPr>
            <w:tcW w:w="16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P3</w:t>
            </w:r>
            <w:r>
              <w:rPr>
                <w:rFonts w:ascii="Noto Sans CJK TC" w:eastAsia="Noto Sans CJK TC" w:hAnsi="Noto Sans CJK TC" w:cs="Noto Sans CJK TC"/>
                <w:color w:val="1A202C"/>
                <w:sz w:val="18"/>
                <w:szCs w:val="18"/>
              </w:rPr>
              <w:t xml:space="preserve">　再介入能力命題</w:t>
            </w:r>
          </w:p>
        </w:tc>
        <w:tc>
          <w:tcPr>
            <w:tcW w:w="37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缺乏事中暫停、修改或否決權的機關，即使具備事後申訴與救濟程序，仍不具備充分的</w:t>
            </w:r>
            <w:r>
              <w:rPr>
                <w:rFonts w:ascii="Noto Sans CJK TC" w:eastAsia="Noto Sans CJK TC" w:hAnsi="Noto Sans CJK TC" w:cs="Noto Sans CJK TC"/>
                <w:color w:val="1A202C"/>
                <w:sz w:val="18"/>
                <w:szCs w:val="18"/>
              </w:rPr>
              <w:t xml:space="preserve"> UCPR</w:t>
            </w:r>
          </w:p>
        </w:tc>
        <w:tc>
          <w:tcPr>
            <w:tcW w:w="37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若事後救濟機制能有效、迅速地停止系統運作並回復受影響者權益，可能部分彌補事中能力的不足</w:t>
            </w:r>
          </w:p>
        </w:tc>
      </w:tr>
      <w:tr w:rsidR="0003266C">
        <w:tblPrEx>
          <w:tblCellMar>
            <w:top w:w="0" w:type="dxa"/>
            <w:bottom w:w="0" w:type="dxa"/>
          </w:tblCellMar>
        </w:tblPrEx>
        <w:tc>
          <w:tcPr>
            <w:tcW w:w="16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P4</w:t>
            </w:r>
            <w:r>
              <w:rPr>
                <w:rFonts w:ascii="Noto Sans CJK TC" w:eastAsia="Noto Sans CJK TC" w:hAnsi="Noto Sans CJK TC" w:cs="Noto Sans CJK TC"/>
                <w:color w:val="1A202C"/>
                <w:sz w:val="18"/>
                <w:szCs w:val="18"/>
              </w:rPr>
              <w:t xml:space="preserve">　外包風險命題</w:t>
            </w:r>
          </w:p>
        </w:tc>
        <w:tc>
          <w:tcPr>
            <w:tcW w:w="37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當私人供應商掌握模型更新、資料管線或技術文件的控制權時，公共機關的認知與決策能力較容易脫</w:t>
            </w:r>
            <w:proofErr w:type="gramStart"/>
            <w:r>
              <w:rPr>
                <w:rFonts w:ascii="Noto Sans CJK TC" w:eastAsia="Noto Sans CJK TC" w:hAnsi="Noto Sans CJK TC" w:cs="Noto Sans CJK TC"/>
                <w:color w:val="1A202C"/>
                <w:sz w:val="18"/>
                <w:szCs w:val="18"/>
              </w:rPr>
              <w:t>鉤</w:t>
            </w:r>
            <w:proofErr w:type="gramEnd"/>
          </w:p>
        </w:tc>
        <w:tc>
          <w:tcPr>
            <w:tcW w:w="37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若機關保有原始碼託管權、完整模型文件、獨立稽核權與強制停止契約權，外包本身未必導致權威失守</w:t>
            </w:r>
          </w:p>
        </w:tc>
      </w:tr>
      <w:tr w:rsidR="0003266C">
        <w:tblPrEx>
          <w:tblCellMar>
            <w:top w:w="0" w:type="dxa"/>
            <w:bottom w:w="0" w:type="dxa"/>
          </w:tblCellMar>
        </w:tblPrEx>
        <w:tc>
          <w:tcPr>
            <w:tcW w:w="16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P5</w:t>
            </w:r>
            <w:r>
              <w:rPr>
                <w:rFonts w:ascii="Noto Sans CJK TC" w:eastAsia="Noto Sans CJK TC" w:hAnsi="Noto Sans CJK TC" w:cs="Noto Sans CJK TC"/>
                <w:color w:val="1A202C"/>
                <w:sz w:val="18"/>
                <w:szCs w:val="18"/>
              </w:rPr>
              <w:t xml:space="preserve">　介面中介命題</w:t>
            </w:r>
          </w:p>
        </w:tc>
        <w:tc>
          <w:tcPr>
            <w:tcW w:w="37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介面設計以特定方式呈現風險分數、模型建議與替代選項時，覆核者之遵從率將依建議內容是否契合其既有判斷傾向而有系統性差異，而非單純取決於建議是否來自演算法</w:t>
            </w:r>
          </w:p>
        </w:tc>
        <w:tc>
          <w:tcPr>
            <w:tcW w:w="37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若覆核者所屬機關要求逐案書面說明接受或拒絕建議之理由，且該說明受獨立審查，介面呈現方式對遵從率的影響可能顯著降低</w:t>
            </w:r>
          </w:p>
        </w:tc>
      </w:tr>
      <w:tr w:rsidR="0003266C">
        <w:tblPrEx>
          <w:tblCellMar>
            <w:top w:w="0" w:type="dxa"/>
            <w:bottom w:w="0" w:type="dxa"/>
          </w:tblCellMar>
        </w:tblPrEx>
        <w:tc>
          <w:tcPr>
            <w:tcW w:w="16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P6</w:t>
            </w:r>
            <w:r>
              <w:rPr>
                <w:rFonts w:ascii="Noto Sans CJK TC" w:eastAsia="Noto Sans CJK TC" w:hAnsi="Noto Sans CJK TC" w:cs="Noto Sans CJK TC"/>
                <w:color w:val="1A202C"/>
                <w:sz w:val="18"/>
                <w:szCs w:val="18"/>
              </w:rPr>
              <w:t xml:space="preserve">　權威</w:t>
            </w:r>
            <w:proofErr w:type="gramStart"/>
            <w:r>
              <w:rPr>
                <w:rFonts w:ascii="Noto Sans CJK TC" w:eastAsia="Noto Sans CJK TC" w:hAnsi="Noto Sans CJK TC" w:cs="Noto Sans CJK TC"/>
                <w:color w:val="1A202C"/>
                <w:sz w:val="18"/>
                <w:szCs w:val="18"/>
              </w:rPr>
              <w:t>外部化</w:t>
            </w:r>
            <w:proofErr w:type="gramEnd"/>
            <w:r>
              <w:rPr>
                <w:rFonts w:ascii="Noto Sans CJK TC" w:eastAsia="Noto Sans CJK TC" w:hAnsi="Noto Sans CJK TC" w:cs="Noto Sans CJK TC"/>
                <w:color w:val="1A202C"/>
                <w:sz w:val="18"/>
                <w:szCs w:val="18"/>
              </w:rPr>
              <w:t>命題</w:t>
            </w:r>
          </w:p>
        </w:tc>
        <w:tc>
          <w:tcPr>
            <w:tcW w:w="37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當認知、決策、</w:t>
            </w:r>
            <w:proofErr w:type="gramStart"/>
            <w:r>
              <w:rPr>
                <w:rFonts w:ascii="Noto Sans CJK TC" w:eastAsia="Noto Sans CJK TC" w:hAnsi="Noto Sans CJK TC" w:cs="Noto Sans CJK TC"/>
                <w:color w:val="1A202C"/>
                <w:sz w:val="18"/>
                <w:szCs w:val="18"/>
              </w:rPr>
              <w:t>課責三種</w:t>
            </w:r>
            <w:proofErr w:type="gramEnd"/>
            <w:r>
              <w:rPr>
                <w:rFonts w:ascii="Noto Sans CJK TC" w:eastAsia="Noto Sans CJK TC" w:hAnsi="Noto Sans CJK TC" w:cs="Noto Sans CJK TC"/>
                <w:color w:val="1A202C"/>
                <w:sz w:val="18"/>
                <w:szCs w:val="18"/>
              </w:rPr>
              <w:t>能力於同一系統之關鍵生成位置同時薄弱時，即使法律形式上仍由公共機關作成決定，其行政權威已可能實質</w:t>
            </w:r>
            <w:proofErr w:type="gramStart"/>
            <w:r>
              <w:rPr>
                <w:rFonts w:ascii="Noto Sans CJK TC" w:eastAsia="Noto Sans CJK TC" w:hAnsi="Noto Sans CJK TC" w:cs="Noto Sans CJK TC"/>
                <w:color w:val="1A202C"/>
                <w:sz w:val="18"/>
                <w:szCs w:val="18"/>
              </w:rPr>
              <w:t>外部</w:t>
            </w:r>
            <w:proofErr w:type="gramEnd"/>
            <w:r>
              <w:rPr>
                <w:rFonts w:ascii="Noto Sans CJK TC" w:eastAsia="Noto Sans CJK TC" w:hAnsi="Noto Sans CJK TC" w:cs="Noto Sans CJK TC"/>
                <w:color w:val="1A202C"/>
                <w:sz w:val="18"/>
                <w:szCs w:val="18"/>
              </w:rPr>
              <w:t>化於模型、供應商或不可挑戰的技術流程</w:t>
            </w:r>
          </w:p>
        </w:tc>
        <w:tc>
          <w:tcPr>
            <w:tcW w:w="37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機關雖於個別能力上有所欠缺，但若保有可迅速啟動之外部稽核、司法救濟或緊急停止機制作為整體性補救，實質</w:t>
            </w:r>
            <w:proofErr w:type="gramStart"/>
            <w:r>
              <w:rPr>
                <w:rFonts w:ascii="Noto Sans CJK TC" w:eastAsia="Noto Sans CJK TC" w:hAnsi="Noto Sans CJK TC" w:cs="Noto Sans CJK TC"/>
                <w:color w:val="1A202C"/>
                <w:sz w:val="18"/>
                <w:szCs w:val="18"/>
              </w:rPr>
              <w:t>外部化</w:t>
            </w:r>
            <w:proofErr w:type="gramEnd"/>
            <w:r>
              <w:rPr>
                <w:rFonts w:ascii="Noto Sans CJK TC" w:eastAsia="Noto Sans CJK TC" w:hAnsi="Noto Sans CJK TC" w:cs="Noto Sans CJK TC"/>
                <w:color w:val="1A202C"/>
                <w:sz w:val="18"/>
                <w:szCs w:val="18"/>
              </w:rPr>
              <w:t>的風險可能被制度性地降低，而非必然發生</w:t>
            </w:r>
          </w:p>
        </w:tc>
      </w:tr>
    </w:tbl>
    <w:p w:rsidR="0003266C" w:rsidRDefault="009E53B5">
      <w:pPr>
        <w:spacing w:after="180" w:line="340" w:lineRule="auto"/>
        <w:jc w:val="both"/>
      </w:pPr>
      <w:r>
        <w:rPr>
          <w:rFonts w:eastAsia="Noto Serif CJK TC"/>
          <w:color w:val="1A202C"/>
        </w:rPr>
        <w:t xml:space="preserve">P5 </w:t>
      </w:r>
      <w:r>
        <w:rPr>
          <w:rFonts w:eastAsia="Noto Serif CJK TC"/>
          <w:color w:val="1A202C"/>
        </w:rPr>
        <w:t>直接延伸參</w:t>
      </w:r>
      <w:r>
        <w:rPr>
          <w:rFonts w:eastAsia="Noto Serif CJK TC"/>
          <w:color w:val="1A202C"/>
        </w:rPr>
        <w:t>-</w:t>
      </w:r>
      <w:proofErr w:type="gramStart"/>
      <w:r>
        <w:rPr>
          <w:rFonts w:eastAsia="Noto Serif CJK TC"/>
          <w:color w:val="1A202C"/>
        </w:rPr>
        <w:t>一</w:t>
      </w:r>
      <w:proofErr w:type="gramEnd"/>
      <w:r>
        <w:rPr>
          <w:rFonts w:eastAsia="Noto Serif CJK TC"/>
          <w:color w:val="1A202C"/>
        </w:rPr>
        <w:t>已引用之</w:t>
      </w:r>
      <w:r>
        <w:rPr>
          <w:rFonts w:eastAsia="Noto Serif CJK TC"/>
          <w:color w:val="1A202C"/>
        </w:rPr>
        <w:t xml:space="preserve"> Alon-Barkat </w:t>
      </w:r>
      <w:r>
        <w:rPr>
          <w:rFonts w:eastAsia="Noto Serif CJK TC"/>
          <w:color w:val="1A202C"/>
        </w:rPr>
        <w:t>與</w:t>
      </w:r>
      <w:r>
        <w:rPr>
          <w:rFonts w:eastAsia="Noto Serif CJK TC"/>
          <w:color w:val="1A202C"/>
        </w:rPr>
        <w:t xml:space="preserve"> </w:t>
      </w:r>
      <w:proofErr w:type="spellStart"/>
      <w:r>
        <w:rPr>
          <w:rFonts w:eastAsia="Noto Serif CJK TC"/>
          <w:color w:val="1A202C"/>
        </w:rPr>
        <w:t>Busuioc</w:t>
      </w:r>
      <w:proofErr w:type="spellEnd"/>
      <w:r>
        <w:rPr>
          <w:rFonts w:eastAsia="Noto Serif CJK TC"/>
          <w:color w:val="1A202C"/>
        </w:rPr>
        <w:t>（</w:t>
      </w:r>
      <w:r>
        <w:rPr>
          <w:rFonts w:eastAsia="Noto Serif CJK TC"/>
          <w:color w:val="1A202C"/>
        </w:rPr>
        <w:t>2023</w:t>
      </w:r>
      <w:r>
        <w:rPr>
          <w:rFonts w:eastAsia="Noto Serif CJK TC"/>
          <w:color w:val="1A202C"/>
        </w:rPr>
        <w:t>）選擇性遵從發現：該發現指出官員是否遵從建議，取決於建議內容是否契合既有判斷傾向，而非建議來源本身；</w:t>
      </w:r>
      <w:r>
        <w:rPr>
          <w:rFonts w:eastAsia="Noto Serif CJK TC"/>
          <w:color w:val="1A202C"/>
        </w:rPr>
        <w:t xml:space="preserve">P5 </w:t>
      </w:r>
      <w:r>
        <w:rPr>
          <w:rFonts w:eastAsia="Noto Serif CJK TC"/>
          <w:color w:val="1A202C"/>
        </w:rPr>
        <w:t>把這個發現轉譯為</w:t>
      </w:r>
      <w:proofErr w:type="gramStart"/>
      <w:r>
        <w:rPr>
          <w:rFonts w:eastAsia="Noto Serif CJK TC"/>
          <w:color w:val="1A202C"/>
        </w:rPr>
        <w:t>裁量場人類</w:t>
      </w:r>
      <w:proofErr w:type="gramEnd"/>
      <w:r>
        <w:rPr>
          <w:rFonts w:eastAsia="Noto Serif CJK TC"/>
          <w:color w:val="1A202C"/>
        </w:rPr>
        <w:t>覆核節點的一條可檢驗命題。</w:t>
      </w:r>
      <w:r>
        <w:rPr>
          <w:rFonts w:eastAsia="Noto Serif CJK TC"/>
          <w:color w:val="1A202C"/>
        </w:rPr>
        <w:t xml:space="preserve">P6 </w:t>
      </w:r>
      <w:r>
        <w:rPr>
          <w:rFonts w:eastAsia="Noto Serif CJK TC"/>
          <w:color w:val="1A202C"/>
        </w:rPr>
        <w:t>則是三層因果鏈的整合性命題，呼應聯合國</w:t>
      </w:r>
      <w:r>
        <w:rPr>
          <w:rFonts w:eastAsia="Noto Serif CJK TC"/>
          <w:color w:val="1A202C"/>
        </w:rPr>
        <w:t xml:space="preserve"> CEPA</w:t>
      </w:r>
      <w:r>
        <w:rPr>
          <w:rFonts w:eastAsia="Noto Serif CJK TC"/>
          <w:color w:val="1A202C"/>
        </w:rPr>
        <w:t>（</w:t>
      </w:r>
      <w:r>
        <w:rPr>
          <w:rFonts w:eastAsia="Noto Serif CJK TC"/>
          <w:color w:val="1A202C"/>
        </w:rPr>
        <w:t>Committee of Experts on Public Administration</w:t>
      </w:r>
      <w:r>
        <w:rPr>
          <w:rFonts w:eastAsia="Noto Serif CJK TC"/>
          <w:color w:val="1A202C"/>
        </w:rPr>
        <w:t>）就最高審計機關監督</w:t>
      </w:r>
      <w:r>
        <w:rPr>
          <w:rFonts w:eastAsia="Noto Serif CJK TC"/>
          <w:color w:val="1A202C"/>
        </w:rPr>
        <w:t xml:space="preserve"> AI </w:t>
      </w:r>
      <w:r>
        <w:rPr>
          <w:rFonts w:eastAsia="Noto Serif CJK TC"/>
          <w:color w:val="1A202C"/>
        </w:rPr>
        <w:t>系統所提出之</w:t>
      </w:r>
      <w:r>
        <w:rPr>
          <w:rFonts w:eastAsia="Noto Serif CJK TC"/>
          <w:color w:val="1A202C"/>
        </w:rPr>
        <w:t xml:space="preserve"> human-in-the-loop</w:t>
      </w:r>
      <w:r>
        <w:rPr>
          <w:rFonts w:eastAsia="Noto Serif CJK TC"/>
          <w:color w:val="1A202C"/>
        </w:rPr>
        <w:t>／</w:t>
      </w:r>
      <w:r>
        <w:rPr>
          <w:rFonts w:eastAsia="Noto Serif CJK TC"/>
          <w:color w:val="1A202C"/>
        </w:rPr>
        <w:t>on-the-loop</w:t>
      </w:r>
      <w:r>
        <w:rPr>
          <w:rFonts w:eastAsia="Noto Serif CJK TC"/>
          <w:color w:val="1A202C"/>
        </w:rPr>
        <w:t>／</w:t>
      </w:r>
      <w:r>
        <w:rPr>
          <w:rFonts w:eastAsia="Noto Serif CJK TC"/>
          <w:color w:val="1A202C"/>
        </w:rPr>
        <w:t>out-of-the-l</w:t>
      </w:r>
      <w:r>
        <w:rPr>
          <w:rFonts w:eastAsia="Noto Serif CJK TC"/>
          <w:color w:val="1A202C"/>
        </w:rPr>
        <w:t xml:space="preserve">oop </w:t>
      </w:r>
      <w:r>
        <w:rPr>
          <w:rFonts w:eastAsia="Noto Serif CJK TC"/>
          <w:color w:val="1A202C"/>
        </w:rPr>
        <w:t>三分法：形式上「有人在迴路中」（</w:t>
      </w:r>
      <w:r>
        <w:rPr>
          <w:rFonts w:eastAsia="Noto Serif CJK TC"/>
          <w:color w:val="1A202C"/>
        </w:rPr>
        <w:t>human-in-the-loop</w:t>
      </w:r>
      <w:r>
        <w:rPr>
          <w:rFonts w:eastAsia="Noto Serif CJK TC"/>
          <w:color w:val="1A202C"/>
        </w:rPr>
        <w:t>）並不等於保有實質控制，唯有機關具備隨時介入的監督能力（</w:t>
      </w:r>
      <w:r>
        <w:rPr>
          <w:rFonts w:eastAsia="Noto Serif CJK TC"/>
          <w:color w:val="1A202C"/>
        </w:rPr>
        <w:t>human-on-the-loop</w:t>
      </w:r>
      <w:r>
        <w:rPr>
          <w:rFonts w:eastAsia="Noto Serif CJK TC"/>
          <w:color w:val="1A202C"/>
        </w:rPr>
        <w:t>），才較接近本文所稱之</w:t>
      </w:r>
      <w:r>
        <w:rPr>
          <w:rFonts w:eastAsia="Noto Serif CJK TC"/>
          <w:color w:val="1A202C"/>
        </w:rPr>
        <w:t xml:space="preserve"> UCPR</w:t>
      </w:r>
      <w:r>
        <w:rPr>
          <w:rFonts w:eastAsia="Noto Serif CJK TC"/>
          <w:color w:val="1A202C"/>
        </w:rPr>
        <w:t>。這六條命題的共同性質是：它們都預測了一個方向性的關係，也都指出了會使這個關係不成立的具體條件</w:t>
      </w:r>
      <w:proofErr w:type="gramStart"/>
      <w:r>
        <w:rPr>
          <w:rFonts w:eastAsia="Noto Serif CJK TC"/>
          <w:color w:val="1A202C"/>
        </w:rPr>
        <w:t>—</w:t>
      </w:r>
      <w:proofErr w:type="gramEnd"/>
      <w:r>
        <w:rPr>
          <w:rFonts w:eastAsia="Noto Serif CJK TC"/>
          <w:color w:val="1A202C"/>
        </w:rPr>
        <w:t>—</w:t>
      </w:r>
      <w:r>
        <w:rPr>
          <w:rFonts w:eastAsia="Noto Serif CJK TC"/>
          <w:color w:val="1A202C"/>
        </w:rPr>
        <w:t>這是本文與單純主張「三層有因果連動」最主要的差異，</w:t>
      </w:r>
      <w:proofErr w:type="gramStart"/>
      <w:r>
        <w:rPr>
          <w:rFonts w:eastAsia="Noto Serif CJK TC"/>
          <w:color w:val="1A202C"/>
        </w:rPr>
        <w:t>也是肆章</w:t>
      </w:r>
      <w:proofErr w:type="gramEnd"/>
      <w:r>
        <w:rPr>
          <w:rFonts w:eastAsia="Noto Serif CJK TC"/>
          <w:color w:val="1A202C"/>
        </w:rPr>
        <w:t>從「圖式」推進到「命題」的具體嘗試。本文尚未針對任何一條命題進行資料蒐集，六條命題的優先驗證順序，留待</w:t>
      </w:r>
      <w:r>
        <w:rPr>
          <w:rFonts w:eastAsia="Noto Serif CJK TC"/>
          <w:color w:val="1A202C"/>
        </w:rPr>
        <w:t xml:space="preserve"> 031 </w:t>
      </w:r>
      <w:r>
        <w:rPr>
          <w:rFonts w:eastAsia="Noto Serif CJK TC"/>
          <w:color w:val="1A202C"/>
        </w:rPr>
        <w:t>的個案檢視決定。</w:t>
      </w:r>
    </w:p>
    <w:p w:rsidR="0003266C" w:rsidRDefault="009E53B5">
      <w:pPr>
        <w:pStyle w:val="2"/>
        <w:spacing w:before="280" w:after="140" w:line="340" w:lineRule="auto"/>
      </w:pPr>
      <w:r>
        <w:rPr>
          <w:rFonts w:ascii="Noto Sans CJK TC" w:eastAsia="Noto Sans CJK TC" w:hAnsi="Noto Sans CJK TC" w:cs="Noto Sans CJK TC"/>
          <w:b/>
          <w:bCs/>
          <w:color w:val="1A365D"/>
          <w:sz w:val="27"/>
          <w:szCs w:val="27"/>
        </w:rPr>
        <w:t>七、命題的邊界條件</w:t>
      </w:r>
    </w:p>
    <w:p w:rsidR="0003266C" w:rsidRDefault="009E53B5">
      <w:pPr>
        <w:spacing w:after="180" w:line="340" w:lineRule="auto"/>
        <w:jc w:val="both"/>
      </w:pPr>
      <w:r>
        <w:rPr>
          <w:rFonts w:eastAsia="Noto Serif CJK TC"/>
          <w:color w:val="1A202C"/>
        </w:rPr>
        <w:t>上述六條命</w:t>
      </w:r>
      <w:r>
        <w:rPr>
          <w:rFonts w:eastAsia="Noto Serif CJK TC"/>
          <w:color w:val="1A202C"/>
        </w:rPr>
        <w:t>題並非在任何情境下都同等適用，以下五項邊界條件，是本文認為會調節命題成立與否的主要因素，也是後續個案研究與跨案例比較須先辨識</w:t>
      </w:r>
      <w:proofErr w:type="gramStart"/>
      <w:r>
        <w:rPr>
          <w:rFonts w:eastAsia="Noto Serif CJK TC"/>
          <w:color w:val="1A202C"/>
        </w:rPr>
        <w:t>清楚的</w:t>
      </w:r>
      <w:proofErr w:type="gramEnd"/>
      <w:r>
        <w:rPr>
          <w:rFonts w:eastAsia="Noto Serif CJK TC"/>
          <w:color w:val="1A202C"/>
        </w:rPr>
        <w:t>背景變項：</w:t>
      </w:r>
    </w:p>
    <w:p w:rsidR="0003266C" w:rsidRDefault="009E53B5">
      <w:pPr>
        <w:pStyle w:val="a4"/>
        <w:numPr>
          <w:ilvl w:val="0"/>
          <w:numId w:val="1"/>
        </w:numPr>
        <w:spacing w:after="100" w:line="320" w:lineRule="auto"/>
        <w:ind w:left="400"/>
      </w:pPr>
      <w:r>
        <w:rPr>
          <w:rFonts w:eastAsia="Noto Serif CJK TC"/>
          <w:color w:val="1A202C"/>
        </w:rPr>
        <w:t>行政任務的性質：對於規則明確、低風險、可大量重複的行政程序，較高程度的自動化</w:t>
      </w:r>
      <w:proofErr w:type="gramStart"/>
      <w:r>
        <w:rPr>
          <w:rFonts w:eastAsia="Noto Serif CJK TC"/>
          <w:color w:val="1A202C"/>
        </w:rPr>
        <w:t>不</w:t>
      </w:r>
      <w:proofErr w:type="gramEnd"/>
      <w:r>
        <w:rPr>
          <w:rFonts w:eastAsia="Noto Serif CJK TC"/>
          <w:color w:val="1A202C"/>
        </w:rPr>
        <w:t>必然削弱公共權威；但對於涉及基本權、個別情境判斷或高度不確定性的事項，人工判斷、理由說明與救濟機制的重要性通常更高。不宜不區分任務類型，就將同一套命題適用於所有行政</w:t>
      </w:r>
      <w:r>
        <w:rPr>
          <w:rFonts w:eastAsia="Noto Serif CJK TC"/>
          <w:color w:val="1A202C"/>
        </w:rPr>
        <w:t xml:space="preserve"> AI </w:t>
      </w:r>
      <w:r>
        <w:rPr>
          <w:rFonts w:eastAsia="Noto Serif CJK TC"/>
          <w:color w:val="1A202C"/>
        </w:rPr>
        <w:t>系統。</w:t>
      </w:r>
    </w:p>
    <w:p w:rsidR="0003266C" w:rsidRDefault="009E53B5">
      <w:pPr>
        <w:pStyle w:val="a4"/>
        <w:numPr>
          <w:ilvl w:val="0"/>
          <w:numId w:val="1"/>
        </w:numPr>
        <w:spacing w:after="100" w:line="320" w:lineRule="auto"/>
        <w:ind w:left="400"/>
      </w:pPr>
      <w:r>
        <w:rPr>
          <w:rFonts w:eastAsia="Noto Serif CJK TC"/>
          <w:color w:val="1A202C"/>
        </w:rPr>
        <w:lastRenderedPageBreak/>
        <w:t>組織能力與資源條件：大型機關可能具有獨立的資料治理、模型稽核與法律審查能力，小型機關則可能高度依賴外部供應商。相</w:t>
      </w:r>
      <w:r>
        <w:rPr>
          <w:rFonts w:eastAsia="Noto Serif CJK TC"/>
          <w:color w:val="1A202C"/>
        </w:rPr>
        <w:t>同的外包安排，在不同的組織能力條件下，可能對</w:t>
      </w:r>
      <w:r>
        <w:rPr>
          <w:rFonts w:eastAsia="Noto Serif CJK TC"/>
          <w:color w:val="1A202C"/>
        </w:rPr>
        <w:t xml:space="preserve"> P4</w:t>
      </w:r>
      <w:r>
        <w:rPr>
          <w:rFonts w:eastAsia="Noto Serif CJK TC"/>
          <w:color w:val="1A202C"/>
        </w:rPr>
        <w:t>、</w:t>
      </w:r>
      <w:r>
        <w:rPr>
          <w:rFonts w:eastAsia="Noto Serif CJK TC"/>
          <w:color w:val="1A202C"/>
        </w:rPr>
        <w:t xml:space="preserve">P6 </w:t>
      </w:r>
      <w:r>
        <w:rPr>
          <w:rFonts w:eastAsia="Noto Serif CJK TC"/>
          <w:color w:val="1A202C"/>
        </w:rPr>
        <w:t>產生不同程度的風險。</w:t>
      </w:r>
    </w:p>
    <w:p w:rsidR="0003266C" w:rsidRDefault="009E53B5">
      <w:pPr>
        <w:pStyle w:val="a4"/>
        <w:numPr>
          <w:ilvl w:val="0"/>
          <w:numId w:val="1"/>
        </w:numPr>
        <w:spacing w:after="100" w:line="320" w:lineRule="auto"/>
        <w:ind w:left="400"/>
      </w:pPr>
      <w:r>
        <w:rPr>
          <w:rFonts w:eastAsia="Noto Serif CJK TC"/>
          <w:color w:val="1A202C"/>
        </w:rPr>
        <w:t>法律與制度環境：即使機關內部具有技術理解能力，若法律未明確規定停止權、理由說明義務、資料存取權或供應商配合義務，</w:t>
      </w:r>
      <w:r>
        <w:rPr>
          <w:rFonts w:eastAsia="Noto Serif CJK TC"/>
          <w:color w:val="1A202C"/>
        </w:rPr>
        <w:t xml:space="preserve">UCPR </w:t>
      </w:r>
      <w:r>
        <w:rPr>
          <w:rFonts w:eastAsia="Noto Serif CJK TC"/>
          <w:color w:val="1A202C"/>
        </w:rPr>
        <w:t>仍可能停留在行政內部的非正式能力，而無法成為穩定、可持續的制度能力</w:t>
      </w:r>
      <w:proofErr w:type="gramStart"/>
      <w:r>
        <w:rPr>
          <w:rFonts w:eastAsia="Noto Serif CJK TC"/>
          <w:color w:val="1A202C"/>
        </w:rPr>
        <w:t>—</w:t>
      </w:r>
      <w:proofErr w:type="gramEnd"/>
      <w:r>
        <w:rPr>
          <w:rFonts w:eastAsia="Noto Serif CJK TC"/>
          <w:color w:val="1A202C"/>
        </w:rPr>
        <w:t>—</w:t>
      </w:r>
      <w:r>
        <w:rPr>
          <w:rFonts w:eastAsia="Noto Serif CJK TC"/>
          <w:color w:val="1A202C"/>
        </w:rPr>
        <w:t>這正是</w:t>
      </w:r>
      <w:r>
        <w:rPr>
          <w:rFonts w:eastAsia="Noto Serif CJK TC"/>
          <w:color w:val="1A202C"/>
        </w:rPr>
        <w:t xml:space="preserve"> 034 </w:t>
      </w:r>
      <w:r>
        <w:rPr>
          <w:rFonts w:eastAsia="Noto Serif CJK TC"/>
          <w:color w:val="1A202C"/>
        </w:rPr>
        <w:t>規劃處理的核心問題。</w:t>
      </w:r>
    </w:p>
    <w:p w:rsidR="0003266C" w:rsidRDefault="009E53B5">
      <w:pPr>
        <w:pStyle w:val="a4"/>
        <w:numPr>
          <w:ilvl w:val="0"/>
          <w:numId w:val="1"/>
        </w:numPr>
        <w:spacing w:after="100" w:line="320" w:lineRule="auto"/>
        <w:ind w:left="400"/>
      </w:pPr>
      <w:r>
        <w:rPr>
          <w:rFonts w:eastAsia="Noto Serif CJK TC"/>
          <w:color w:val="1A202C"/>
        </w:rPr>
        <w:t>組織文化與績效誘因：覆核者可能在形式上可以推翻模型建議，但若推翻行為會增加工作量、造成責任風險或降低績效評價，人工覆核便可能退化為形式確認，直接調節</w:t>
      </w:r>
      <w:r>
        <w:rPr>
          <w:rFonts w:eastAsia="Noto Serif CJK TC"/>
          <w:color w:val="1A202C"/>
        </w:rPr>
        <w:t xml:space="preserve"> P2</w:t>
      </w:r>
      <w:r>
        <w:rPr>
          <w:rFonts w:eastAsia="Noto Serif CJK TC"/>
          <w:color w:val="1A202C"/>
        </w:rPr>
        <w:t>、</w:t>
      </w:r>
      <w:r>
        <w:rPr>
          <w:rFonts w:eastAsia="Noto Serif CJK TC"/>
          <w:color w:val="1A202C"/>
        </w:rPr>
        <w:t xml:space="preserve">P5 </w:t>
      </w:r>
      <w:r>
        <w:rPr>
          <w:rFonts w:eastAsia="Noto Serif CJK TC"/>
          <w:color w:val="1A202C"/>
        </w:rPr>
        <w:t>的成立條件。</w:t>
      </w:r>
    </w:p>
    <w:p w:rsidR="0003266C" w:rsidRDefault="009E53B5">
      <w:pPr>
        <w:pStyle w:val="a4"/>
        <w:numPr>
          <w:ilvl w:val="0"/>
          <w:numId w:val="1"/>
        </w:numPr>
        <w:spacing w:after="100" w:line="320" w:lineRule="auto"/>
        <w:ind w:left="400"/>
      </w:pPr>
      <w:r>
        <w:rPr>
          <w:rFonts w:eastAsia="Noto Serif CJK TC"/>
          <w:color w:val="1A202C"/>
        </w:rPr>
        <w:t xml:space="preserve">AI </w:t>
      </w:r>
      <w:r>
        <w:rPr>
          <w:rFonts w:eastAsia="Noto Serif CJK TC"/>
          <w:color w:val="1A202C"/>
        </w:rPr>
        <w:t>系統的型態：規則式系</w:t>
      </w:r>
      <w:r>
        <w:rPr>
          <w:rFonts w:eastAsia="Noto Serif CJK TC"/>
          <w:color w:val="1A202C"/>
        </w:rPr>
        <w:t>統、預測模型、生成式</w:t>
      </w:r>
      <w:r>
        <w:rPr>
          <w:rFonts w:eastAsia="Noto Serif CJK TC"/>
          <w:color w:val="1A202C"/>
        </w:rPr>
        <w:t xml:space="preserve"> AI </w:t>
      </w:r>
      <w:r>
        <w:rPr>
          <w:rFonts w:eastAsia="Noto Serif CJK TC"/>
          <w:color w:val="1A202C"/>
        </w:rPr>
        <w:t>與多代理系統，在可解釋性、輸出穩定性、錯誤模式與人機互動方式上並不相同。本文目前提供的是跨系統的分析語言，但後續研究仍須依技術型態細化</w:t>
      </w:r>
      <w:r>
        <w:rPr>
          <w:rFonts w:eastAsia="Noto Serif CJK TC"/>
          <w:color w:val="1A202C"/>
        </w:rPr>
        <w:t xml:space="preserve"> DAA</w:t>
      </w:r>
      <w:r>
        <w:rPr>
          <w:rFonts w:eastAsia="Noto Serif CJK TC"/>
          <w:color w:val="1A202C"/>
        </w:rPr>
        <w:t>、</w:t>
      </w:r>
      <w:proofErr w:type="gramStart"/>
      <w:r>
        <w:rPr>
          <w:rFonts w:eastAsia="Noto Serif CJK TC"/>
          <w:color w:val="1A202C"/>
        </w:rPr>
        <w:t>裁量場與</w:t>
      </w:r>
      <w:proofErr w:type="gramEnd"/>
      <w:r>
        <w:rPr>
          <w:rFonts w:eastAsia="Noto Serif CJK TC"/>
          <w:color w:val="1A202C"/>
        </w:rPr>
        <w:t xml:space="preserve"> UCPR </w:t>
      </w:r>
      <w:r>
        <w:rPr>
          <w:rFonts w:eastAsia="Noto Serif CJK TC"/>
          <w:color w:val="1A202C"/>
        </w:rPr>
        <w:t>的觀察指標。</w:t>
      </w:r>
    </w:p>
    <w:p w:rsidR="0003266C" w:rsidRDefault="009E53B5">
      <w:pPr>
        <w:pStyle w:val="2"/>
        <w:spacing w:before="280" w:after="140" w:line="340" w:lineRule="auto"/>
      </w:pPr>
      <w:r>
        <w:rPr>
          <w:rFonts w:ascii="Noto Sans CJK TC" w:eastAsia="Noto Sans CJK TC" w:hAnsi="Noto Sans CJK TC" w:cs="Noto Sans CJK TC"/>
          <w:b/>
          <w:bCs/>
          <w:color w:val="1A365D"/>
          <w:sz w:val="27"/>
          <w:szCs w:val="27"/>
        </w:rPr>
        <w:t>八、概念操作化：分析單位與可觀察指標</w:t>
      </w:r>
    </w:p>
    <w:p w:rsidR="0003266C" w:rsidRDefault="009E53B5">
      <w:pPr>
        <w:spacing w:after="180" w:line="340" w:lineRule="auto"/>
        <w:jc w:val="both"/>
      </w:pPr>
      <w:r>
        <w:rPr>
          <w:rFonts w:eastAsia="Noto Serif CJK TC"/>
          <w:color w:val="1A202C"/>
        </w:rPr>
        <w:t>DAA</w:t>
      </w:r>
      <w:r>
        <w:rPr>
          <w:rFonts w:eastAsia="Noto Serif CJK TC"/>
          <w:color w:val="1A202C"/>
        </w:rPr>
        <w:t>、</w:t>
      </w:r>
      <w:proofErr w:type="gramStart"/>
      <w:r>
        <w:rPr>
          <w:rFonts w:eastAsia="Noto Serif CJK TC"/>
          <w:color w:val="1A202C"/>
        </w:rPr>
        <w:t>裁量場</w:t>
      </w:r>
      <w:proofErr w:type="gramEnd"/>
      <w:r>
        <w:rPr>
          <w:rFonts w:eastAsia="Noto Serif CJK TC"/>
          <w:color w:val="1A202C"/>
        </w:rPr>
        <w:t>、</w:t>
      </w:r>
      <w:r>
        <w:rPr>
          <w:rFonts w:eastAsia="Noto Serif CJK TC"/>
          <w:color w:val="1A202C"/>
        </w:rPr>
        <w:t xml:space="preserve">UCPR </w:t>
      </w:r>
      <w:r>
        <w:rPr>
          <w:rFonts w:eastAsia="Noto Serif CJK TC"/>
          <w:color w:val="1A202C"/>
        </w:rPr>
        <w:t>目前主要以概念性語言表述，若要支撐後續的跨案例比較與資料蒐集，需要進一步說明每</w:t>
      </w:r>
      <w:proofErr w:type="gramStart"/>
      <w:r>
        <w:rPr>
          <w:rFonts w:eastAsia="Noto Serif CJK TC"/>
          <w:color w:val="1A202C"/>
        </w:rPr>
        <w:t>個構</w:t>
      </w:r>
      <w:proofErr w:type="gramEnd"/>
      <w:r>
        <w:rPr>
          <w:rFonts w:eastAsia="Noto Serif CJK TC"/>
          <w:color w:val="1A202C"/>
        </w:rPr>
        <w:t>念的分析單位、可觀察指標、可能資料來源與失效型態。相較於本文先前版本，下表新增「判定問題」一欄，並將</w:t>
      </w:r>
      <w:proofErr w:type="gramStart"/>
      <w:r>
        <w:rPr>
          <w:rFonts w:eastAsia="Noto Serif CJK TC"/>
          <w:color w:val="1A202C"/>
        </w:rPr>
        <w:t>裁量場拆開</w:t>
      </w:r>
      <w:proofErr w:type="gramEnd"/>
      <w:r>
        <w:rPr>
          <w:rFonts w:eastAsia="Noto Serif CJK TC"/>
          <w:color w:val="1A202C"/>
        </w:rPr>
        <w:t>為前置配置、模型轉譯、介面引導、人類覆核四個節點分</w:t>
      </w:r>
      <w:r>
        <w:rPr>
          <w:rFonts w:eastAsia="Noto Serif CJK TC"/>
          <w:color w:val="1A202C"/>
        </w:rPr>
        <w:t>別列出，使其不只是資料清單，而是具有初步編碼功能：</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50"/>
        <w:gridCol w:w="1500"/>
        <w:gridCol w:w="2000"/>
        <w:gridCol w:w="2500"/>
        <w:gridCol w:w="1850"/>
      </w:tblGrid>
      <w:tr w:rsidR="0003266C">
        <w:tblPrEx>
          <w:tblCellMar>
            <w:top w:w="0" w:type="dxa"/>
            <w:bottom w:w="0" w:type="dxa"/>
          </w:tblCellMar>
        </w:tblPrEx>
        <w:trPr>
          <w:tblHeader/>
        </w:trPr>
        <w:tc>
          <w:tcPr>
            <w:tcW w:w="1150" w:type="dxa"/>
            <w:shd w:val="clear" w:color="auto" w:fill="1A365D"/>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b/>
                <w:bCs/>
                <w:color w:val="FFFFFF"/>
                <w:sz w:val="18"/>
                <w:szCs w:val="18"/>
              </w:rPr>
              <w:t>概念</w:t>
            </w:r>
          </w:p>
        </w:tc>
        <w:tc>
          <w:tcPr>
            <w:tcW w:w="1500" w:type="dxa"/>
            <w:shd w:val="clear" w:color="auto" w:fill="1A365D"/>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b/>
                <w:bCs/>
                <w:color w:val="FFFFFF"/>
                <w:sz w:val="18"/>
                <w:szCs w:val="18"/>
              </w:rPr>
              <w:t>分析單位</w:t>
            </w:r>
          </w:p>
        </w:tc>
        <w:tc>
          <w:tcPr>
            <w:tcW w:w="2000" w:type="dxa"/>
            <w:shd w:val="clear" w:color="auto" w:fill="1A365D"/>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b/>
                <w:bCs/>
                <w:color w:val="FFFFFF"/>
                <w:sz w:val="18"/>
                <w:szCs w:val="18"/>
              </w:rPr>
              <w:t>可觀察指標</w:t>
            </w:r>
          </w:p>
        </w:tc>
        <w:tc>
          <w:tcPr>
            <w:tcW w:w="2500" w:type="dxa"/>
            <w:shd w:val="clear" w:color="auto" w:fill="1A365D"/>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b/>
                <w:bCs/>
                <w:color w:val="FFFFFF"/>
                <w:sz w:val="18"/>
                <w:szCs w:val="18"/>
              </w:rPr>
              <w:t>判定問題</w:t>
            </w:r>
          </w:p>
        </w:tc>
        <w:tc>
          <w:tcPr>
            <w:tcW w:w="1850" w:type="dxa"/>
            <w:shd w:val="clear" w:color="auto" w:fill="1A365D"/>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b/>
                <w:bCs/>
                <w:color w:val="FFFFFF"/>
                <w:sz w:val="18"/>
                <w:szCs w:val="18"/>
              </w:rPr>
              <w:t>可能失效型態</w:t>
            </w:r>
          </w:p>
        </w:tc>
      </w:tr>
      <w:tr w:rsidR="0003266C">
        <w:tblPrEx>
          <w:tblCellMar>
            <w:top w:w="0" w:type="dxa"/>
            <w:bottom w:w="0" w:type="dxa"/>
          </w:tblCellMar>
        </w:tblPrEx>
        <w:tc>
          <w:tcPr>
            <w:tcW w:w="115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DAA</w:t>
            </w:r>
          </w:p>
        </w:tc>
        <w:tc>
          <w:tcPr>
            <w:tcW w:w="15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行政結果的生成位置</w:t>
            </w:r>
          </w:p>
        </w:tc>
        <w:tc>
          <w:tcPr>
            <w:tcW w:w="20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法定授權文件、模型規格、資料流程、組織分工、供應商契約</w:t>
            </w:r>
          </w:p>
        </w:tc>
        <w:tc>
          <w:tcPr>
            <w:tcW w:w="25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能否指出哪些位置共同改變了行政結果？</w:t>
            </w:r>
          </w:p>
        </w:tc>
        <w:tc>
          <w:tcPr>
            <w:tcW w:w="185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參與者眾多但責任無法追溯</w:t>
            </w:r>
          </w:p>
        </w:tc>
      </w:tr>
      <w:tr w:rsidR="0003266C">
        <w:tblPrEx>
          <w:tblCellMar>
            <w:top w:w="0" w:type="dxa"/>
            <w:bottom w:w="0" w:type="dxa"/>
          </w:tblCellMar>
        </w:tblPrEx>
        <w:tc>
          <w:tcPr>
            <w:tcW w:w="115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前置配置</w:t>
            </w:r>
          </w:p>
        </w:tc>
        <w:tc>
          <w:tcPr>
            <w:tcW w:w="15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系統導入前的政策與制度設定</w:t>
            </w:r>
          </w:p>
        </w:tc>
        <w:tc>
          <w:tcPr>
            <w:tcW w:w="20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自動化範圍、適用對象、風險分類、資源配置</w:t>
            </w:r>
          </w:p>
        </w:tc>
        <w:tc>
          <w:tcPr>
            <w:tcW w:w="25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誰決定哪些事項交由系統處理？</w:t>
            </w:r>
          </w:p>
        </w:tc>
        <w:tc>
          <w:tcPr>
            <w:tcW w:w="185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自動化範圍超出法律授權</w:t>
            </w:r>
          </w:p>
        </w:tc>
      </w:tr>
      <w:tr w:rsidR="0003266C">
        <w:tblPrEx>
          <w:tblCellMar>
            <w:top w:w="0" w:type="dxa"/>
            <w:bottom w:w="0" w:type="dxa"/>
          </w:tblCellMar>
        </w:tblPrEx>
        <w:tc>
          <w:tcPr>
            <w:tcW w:w="115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模型轉譯</w:t>
            </w:r>
          </w:p>
        </w:tc>
        <w:tc>
          <w:tcPr>
            <w:tcW w:w="15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法律與專業判斷的技術轉換</w:t>
            </w:r>
          </w:p>
        </w:tc>
        <w:tc>
          <w:tcPr>
            <w:tcW w:w="20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特徵、權重、門檻、目標函數、例外規則</w:t>
            </w:r>
          </w:p>
        </w:tc>
        <w:tc>
          <w:tcPr>
            <w:tcW w:w="25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法律標準如何被轉成模型規則？</w:t>
            </w:r>
          </w:p>
        </w:tc>
        <w:tc>
          <w:tcPr>
            <w:tcW w:w="185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專業判斷被不透明地固定化</w:t>
            </w:r>
          </w:p>
        </w:tc>
      </w:tr>
      <w:tr w:rsidR="0003266C">
        <w:tblPrEx>
          <w:tblCellMar>
            <w:top w:w="0" w:type="dxa"/>
            <w:bottom w:w="0" w:type="dxa"/>
          </w:tblCellMar>
        </w:tblPrEx>
        <w:tc>
          <w:tcPr>
            <w:tcW w:w="115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介面引導</w:t>
            </w:r>
          </w:p>
        </w:tc>
        <w:tc>
          <w:tcPr>
            <w:tcW w:w="15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系統與覆核者的互動介面</w:t>
            </w:r>
          </w:p>
        </w:tc>
        <w:tc>
          <w:tcPr>
            <w:tcW w:w="20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預設值、選項排序、</w:t>
            </w:r>
            <w:proofErr w:type="gramStart"/>
            <w:r>
              <w:rPr>
                <w:rFonts w:ascii="Noto Sans CJK TC" w:eastAsia="Noto Sans CJK TC" w:hAnsi="Noto Sans CJK TC" w:cs="Noto Sans CJK TC"/>
                <w:color w:val="1A202C"/>
                <w:sz w:val="18"/>
                <w:szCs w:val="18"/>
              </w:rPr>
              <w:t>警示語</w:t>
            </w:r>
            <w:proofErr w:type="gramEnd"/>
            <w:r>
              <w:rPr>
                <w:rFonts w:ascii="Noto Sans CJK TC" w:eastAsia="Noto Sans CJK TC" w:hAnsi="Noto Sans CJK TC" w:cs="Noto Sans CJK TC"/>
                <w:color w:val="1A202C"/>
                <w:sz w:val="18"/>
                <w:szCs w:val="18"/>
              </w:rPr>
              <w:t>、信心分數、替代方案</w:t>
            </w:r>
          </w:p>
        </w:tc>
        <w:tc>
          <w:tcPr>
            <w:tcW w:w="25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系統是否引導覆核者接受特定結果？</w:t>
            </w:r>
          </w:p>
        </w:tc>
        <w:tc>
          <w:tcPr>
            <w:tcW w:w="185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形式覆核退化為點選確認</w:t>
            </w:r>
          </w:p>
        </w:tc>
      </w:tr>
      <w:tr w:rsidR="0003266C">
        <w:tblPrEx>
          <w:tblCellMar>
            <w:top w:w="0" w:type="dxa"/>
            <w:bottom w:w="0" w:type="dxa"/>
          </w:tblCellMar>
        </w:tblPrEx>
        <w:tc>
          <w:tcPr>
            <w:tcW w:w="115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人類覆核</w:t>
            </w:r>
          </w:p>
        </w:tc>
        <w:tc>
          <w:tcPr>
            <w:tcW w:w="15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個案決策的人工節點</w:t>
            </w:r>
          </w:p>
        </w:tc>
        <w:tc>
          <w:tcPr>
            <w:tcW w:w="20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推翻率、覆核時間、理由紀錄、暫停權、申訴紀錄</w:t>
            </w:r>
          </w:p>
        </w:tc>
        <w:tc>
          <w:tcPr>
            <w:tcW w:w="25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覆核者是否能真正偏離模型建議？</w:t>
            </w:r>
          </w:p>
        </w:tc>
        <w:tc>
          <w:tcPr>
            <w:tcW w:w="185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人工存在但缺乏實質控制</w:t>
            </w:r>
          </w:p>
        </w:tc>
      </w:tr>
      <w:tr w:rsidR="0003266C">
        <w:tblPrEx>
          <w:tblCellMar>
            <w:top w:w="0" w:type="dxa"/>
            <w:bottom w:w="0" w:type="dxa"/>
          </w:tblCellMar>
        </w:tblPrEx>
        <w:tc>
          <w:tcPr>
            <w:tcW w:w="115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UCPR</w:t>
            </w:r>
            <w:r>
              <w:rPr>
                <w:rFonts w:ascii="Noto Sans CJK TC" w:eastAsia="Noto Sans CJK TC" w:hAnsi="Noto Sans CJK TC" w:cs="Noto Sans CJK TC"/>
                <w:color w:val="1A202C"/>
                <w:sz w:val="18"/>
                <w:szCs w:val="18"/>
              </w:rPr>
              <w:t>－認知能力</w:t>
            </w:r>
          </w:p>
        </w:tc>
        <w:tc>
          <w:tcPr>
            <w:tcW w:w="15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機關理解系統的能力</w:t>
            </w:r>
          </w:p>
        </w:tc>
        <w:tc>
          <w:tcPr>
            <w:tcW w:w="20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模型文件、稽核報告、資料字典、錯誤分析</w:t>
            </w:r>
          </w:p>
        </w:tc>
        <w:tc>
          <w:tcPr>
            <w:tcW w:w="25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機關能否說明系統為何產生該結果？</w:t>
            </w:r>
          </w:p>
        </w:tc>
        <w:tc>
          <w:tcPr>
            <w:tcW w:w="185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黑箱</w:t>
            </w:r>
            <w:proofErr w:type="gramStart"/>
            <w:r>
              <w:rPr>
                <w:rFonts w:ascii="Noto Sans CJK TC" w:eastAsia="Noto Sans CJK TC" w:hAnsi="Noto Sans CJK TC" w:cs="Noto Sans CJK TC"/>
                <w:color w:val="1A202C"/>
                <w:sz w:val="18"/>
                <w:szCs w:val="18"/>
              </w:rPr>
              <w:t>內部化</w:t>
            </w:r>
            <w:proofErr w:type="gramEnd"/>
          </w:p>
        </w:tc>
      </w:tr>
      <w:tr w:rsidR="0003266C">
        <w:tblPrEx>
          <w:tblCellMar>
            <w:top w:w="0" w:type="dxa"/>
            <w:bottom w:w="0" w:type="dxa"/>
          </w:tblCellMar>
        </w:tblPrEx>
        <w:tc>
          <w:tcPr>
            <w:tcW w:w="115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UCPR</w:t>
            </w:r>
            <w:r>
              <w:rPr>
                <w:rFonts w:ascii="Noto Sans CJK TC" w:eastAsia="Noto Sans CJK TC" w:hAnsi="Noto Sans CJK TC" w:cs="Noto Sans CJK TC"/>
                <w:color w:val="1A202C"/>
                <w:sz w:val="18"/>
                <w:szCs w:val="18"/>
              </w:rPr>
              <w:t>－決策能力</w:t>
            </w:r>
          </w:p>
        </w:tc>
        <w:tc>
          <w:tcPr>
            <w:tcW w:w="15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機關修正與停止系統的能力</w:t>
            </w:r>
          </w:p>
        </w:tc>
        <w:tc>
          <w:tcPr>
            <w:tcW w:w="20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修改權、否決權、暫停權、停止案例、版本控制</w:t>
            </w:r>
          </w:p>
        </w:tc>
        <w:tc>
          <w:tcPr>
            <w:tcW w:w="25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機關能否在過程中改變或停止系統決策？</w:t>
            </w:r>
          </w:p>
        </w:tc>
        <w:tc>
          <w:tcPr>
            <w:tcW w:w="185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權限名義存在但從未行使</w:t>
            </w:r>
          </w:p>
        </w:tc>
      </w:tr>
      <w:tr w:rsidR="0003266C">
        <w:tblPrEx>
          <w:tblCellMar>
            <w:top w:w="0" w:type="dxa"/>
            <w:bottom w:w="0" w:type="dxa"/>
          </w:tblCellMar>
        </w:tblPrEx>
        <w:tc>
          <w:tcPr>
            <w:tcW w:w="115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lastRenderedPageBreak/>
              <w:t>UCPR</w:t>
            </w:r>
            <w:proofErr w:type="gramStart"/>
            <w:r>
              <w:rPr>
                <w:rFonts w:ascii="Noto Sans CJK TC" w:eastAsia="Noto Sans CJK TC" w:hAnsi="Noto Sans CJK TC" w:cs="Noto Sans CJK TC"/>
                <w:color w:val="1A202C"/>
                <w:sz w:val="18"/>
                <w:szCs w:val="18"/>
              </w:rPr>
              <w:t>－課責</w:t>
            </w:r>
            <w:proofErr w:type="gramEnd"/>
            <w:r>
              <w:rPr>
                <w:rFonts w:ascii="Noto Sans CJK TC" w:eastAsia="Noto Sans CJK TC" w:hAnsi="Noto Sans CJK TC" w:cs="Noto Sans CJK TC"/>
                <w:color w:val="1A202C"/>
                <w:sz w:val="18"/>
                <w:szCs w:val="18"/>
              </w:rPr>
              <w:t>能力</w:t>
            </w:r>
          </w:p>
        </w:tc>
        <w:tc>
          <w:tcPr>
            <w:tcW w:w="15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機關說明、補救</w:t>
            </w:r>
            <w:proofErr w:type="gramStart"/>
            <w:r>
              <w:rPr>
                <w:rFonts w:ascii="Noto Sans CJK TC" w:eastAsia="Noto Sans CJK TC" w:hAnsi="Noto Sans CJK TC" w:cs="Noto Sans CJK TC"/>
                <w:color w:val="1A202C"/>
                <w:sz w:val="18"/>
                <w:szCs w:val="18"/>
              </w:rPr>
              <w:t>與承責的</w:t>
            </w:r>
            <w:proofErr w:type="gramEnd"/>
            <w:r>
              <w:rPr>
                <w:rFonts w:ascii="Noto Sans CJK TC" w:eastAsia="Noto Sans CJK TC" w:hAnsi="Noto Sans CJK TC" w:cs="Noto Sans CJK TC"/>
                <w:color w:val="1A202C"/>
                <w:sz w:val="18"/>
                <w:szCs w:val="18"/>
              </w:rPr>
              <w:t>能力</w:t>
            </w:r>
          </w:p>
        </w:tc>
        <w:tc>
          <w:tcPr>
            <w:tcW w:w="20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理由通知、救濟程序、錯誤更正、責任文件</w:t>
            </w:r>
          </w:p>
        </w:tc>
        <w:tc>
          <w:tcPr>
            <w:tcW w:w="25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人民能否理解、挑戰並獲得補救？</w:t>
            </w:r>
          </w:p>
        </w:tc>
        <w:tc>
          <w:tcPr>
            <w:tcW w:w="185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救濟存在但責任無法歸屬</w:t>
            </w:r>
          </w:p>
        </w:tc>
      </w:tr>
    </w:tbl>
    <w:p w:rsidR="0003266C" w:rsidRDefault="009E53B5">
      <w:pPr>
        <w:spacing w:after="180" w:line="340" w:lineRule="auto"/>
        <w:jc w:val="both"/>
      </w:pPr>
      <w:r>
        <w:rPr>
          <w:rFonts w:eastAsia="Noto Serif CJK TC"/>
          <w:color w:val="1A202C"/>
        </w:rPr>
        <w:t>這張表本身仍是理論推導的產物，尚未實際蒐集資料檢驗；它的作用是把「概念層次的因果連動主張」轉譯為下一步實證研究可以直接使用的觀察起點與編碼問題，而非宣稱這些指標已被證明有效。</w:t>
      </w:r>
    </w:p>
    <w:p w:rsidR="0003266C" w:rsidRDefault="009E53B5">
      <w:pPr>
        <w:pStyle w:val="2"/>
        <w:spacing w:before="280" w:after="140" w:line="340" w:lineRule="auto"/>
      </w:pPr>
      <w:r>
        <w:rPr>
          <w:rFonts w:ascii="Noto Sans CJK TC" w:eastAsia="Noto Sans CJK TC" w:hAnsi="Noto Sans CJK TC" w:cs="Noto Sans CJK TC"/>
          <w:b/>
          <w:bCs/>
          <w:color w:val="1A365D"/>
          <w:sz w:val="27"/>
          <w:szCs w:val="27"/>
        </w:rPr>
        <w:t>九、研究命題與後續驗證方向</w:t>
      </w:r>
    </w:p>
    <w:p w:rsidR="0003266C" w:rsidRDefault="009E53B5">
      <w:pPr>
        <w:spacing w:after="180" w:line="340" w:lineRule="auto"/>
        <w:jc w:val="both"/>
      </w:pPr>
      <w:r>
        <w:rPr>
          <w:rFonts w:eastAsia="Noto Serif CJK TC"/>
          <w:color w:val="1A202C"/>
        </w:rPr>
        <w:t>綜合六章、七章與八章，本文的命題與操作化工作可收攏為五個尚待驗證的研究問題：</w:t>
      </w:r>
      <w:proofErr w:type="gramStart"/>
      <w:r>
        <w:rPr>
          <w:rFonts w:eastAsia="Noto Serif CJK TC"/>
          <w:color w:val="1A202C"/>
        </w:rPr>
        <w:t>其一，</w:t>
      </w:r>
      <w:proofErr w:type="gramEnd"/>
      <w:r>
        <w:rPr>
          <w:rFonts w:eastAsia="Noto Serif CJK TC"/>
          <w:color w:val="1A202C"/>
        </w:rPr>
        <w:t>行政結果涉及的生成位置越多，是否越容易出現責任追溯中斷或模型知識</w:t>
      </w:r>
      <w:proofErr w:type="gramStart"/>
      <w:r>
        <w:rPr>
          <w:rFonts w:eastAsia="Noto Serif CJK TC"/>
          <w:color w:val="1A202C"/>
        </w:rPr>
        <w:t>外部</w:t>
      </w:r>
      <w:proofErr w:type="gramEnd"/>
      <w:r>
        <w:rPr>
          <w:rFonts w:eastAsia="Noto Serif CJK TC"/>
          <w:color w:val="1A202C"/>
        </w:rPr>
        <w:t>化？</w:t>
      </w:r>
      <w:proofErr w:type="gramStart"/>
      <w:r>
        <w:rPr>
          <w:rFonts w:eastAsia="Noto Serif CJK TC"/>
          <w:color w:val="1A202C"/>
        </w:rPr>
        <w:t>其二，</w:t>
      </w:r>
      <w:proofErr w:type="gramEnd"/>
      <w:r>
        <w:rPr>
          <w:rFonts w:eastAsia="Noto Serif CJK TC"/>
          <w:color w:val="1A202C"/>
        </w:rPr>
        <w:t>前置配置、模型轉譯、介面引導與人類覆核四個節點是否具有可區辨的裁量效果？其</w:t>
      </w:r>
      <w:proofErr w:type="gramStart"/>
      <w:r>
        <w:rPr>
          <w:rFonts w:eastAsia="Noto Serif CJK TC"/>
          <w:color w:val="1A202C"/>
        </w:rPr>
        <w:t>三</w:t>
      </w:r>
      <w:proofErr w:type="gramEnd"/>
      <w:r>
        <w:rPr>
          <w:rFonts w:eastAsia="Noto Serif CJK TC"/>
          <w:color w:val="1A202C"/>
        </w:rPr>
        <w:t>，形式上存在人工覆核的系統，是否同時具備實質推翻權、理由形成權與暫停權？其四，公共機關的認知能力、決策能力</w:t>
      </w:r>
      <w:proofErr w:type="gramStart"/>
      <w:r>
        <w:rPr>
          <w:rFonts w:eastAsia="Noto Serif CJK TC"/>
          <w:color w:val="1A202C"/>
        </w:rPr>
        <w:t>與課責</w:t>
      </w:r>
      <w:proofErr w:type="gramEnd"/>
      <w:r>
        <w:rPr>
          <w:rFonts w:eastAsia="Noto Serif CJK TC"/>
          <w:color w:val="1A202C"/>
        </w:rPr>
        <w:t>能力是否可能彼此脫鉤？其五，哪些法律、契約、組織與技術條件能夠避免生成分散轉化為權威</w:t>
      </w:r>
      <w:proofErr w:type="gramStart"/>
      <w:r>
        <w:rPr>
          <w:rFonts w:eastAsia="Noto Serif CJK TC"/>
          <w:color w:val="1A202C"/>
        </w:rPr>
        <w:t>外部化</w:t>
      </w:r>
      <w:proofErr w:type="gramEnd"/>
      <w:r>
        <w:rPr>
          <w:rFonts w:eastAsia="Noto Serif CJK TC"/>
          <w:color w:val="1A202C"/>
        </w:rPr>
        <w:t>？</w:t>
      </w:r>
    </w:p>
    <w:p w:rsidR="0003266C" w:rsidRDefault="009E53B5">
      <w:pPr>
        <w:spacing w:after="180" w:line="340" w:lineRule="auto"/>
        <w:jc w:val="both"/>
      </w:pPr>
      <w:r>
        <w:rPr>
          <w:rFonts w:eastAsia="Noto Serif CJK TC"/>
          <w:color w:val="1A202C"/>
        </w:rPr>
        <w:t>這五</w:t>
      </w:r>
      <w:proofErr w:type="gramStart"/>
      <w:r>
        <w:rPr>
          <w:rFonts w:eastAsia="Noto Serif CJK TC"/>
          <w:color w:val="1A202C"/>
        </w:rPr>
        <w:t>個</w:t>
      </w:r>
      <w:proofErr w:type="gramEnd"/>
      <w:r>
        <w:rPr>
          <w:rFonts w:eastAsia="Noto Serif CJK TC"/>
          <w:color w:val="1A202C"/>
        </w:rPr>
        <w:t>問題可透過三種研究策略加以驗證：</w:t>
      </w:r>
      <w:proofErr w:type="gramStart"/>
      <w:r>
        <w:rPr>
          <w:rFonts w:eastAsia="Noto Serif CJK TC"/>
          <w:color w:val="1A202C"/>
        </w:rPr>
        <w:t>其一，</w:t>
      </w:r>
      <w:proofErr w:type="gramEnd"/>
      <w:r>
        <w:rPr>
          <w:rFonts w:eastAsia="Noto Serif CJK TC"/>
          <w:color w:val="1A202C"/>
        </w:rPr>
        <w:t>進行行政</w:t>
      </w:r>
      <w:r>
        <w:rPr>
          <w:rFonts w:eastAsia="Noto Serif CJK TC"/>
          <w:color w:val="1A202C"/>
        </w:rPr>
        <w:t xml:space="preserve"> AI </w:t>
      </w:r>
      <w:r>
        <w:rPr>
          <w:rFonts w:eastAsia="Noto Serif CJK TC"/>
          <w:color w:val="1A202C"/>
        </w:rPr>
        <w:t>個案研究，</w:t>
      </w:r>
      <w:r>
        <w:rPr>
          <w:rFonts w:eastAsia="Noto Serif CJK TC"/>
          <w:color w:val="1A202C"/>
        </w:rPr>
        <w:t>重建一項行政結果從法定授權、資料形成、模型運算、介面呈現到人工覆核的完整流程；</w:t>
      </w:r>
      <w:proofErr w:type="gramStart"/>
      <w:r>
        <w:rPr>
          <w:rFonts w:eastAsia="Noto Serif CJK TC"/>
          <w:color w:val="1A202C"/>
        </w:rPr>
        <w:t>其二，</w:t>
      </w:r>
      <w:proofErr w:type="gramEnd"/>
      <w:r>
        <w:rPr>
          <w:rFonts w:eastAsia="Noto Serif CJK TC"/>
          <w:color w:val="1A202C"/>
        </w:rPr>
        <w:t>進行跨案例比較，檢視不同組織安排與外包程度是否造成不同的裁量分布與</w:t>
      </w:r>
      <w:r>
        <w:rPr>
          <w:rFonts w:eastAsia="Noto Serif CJK TC"/>
          <w:color w:val="1A202C"/>
        </w:rPr>
        <w:t xml:space="preserve"> UCPR </w:t>
      </w:r>
      <w:r>
        <w:rPr>
          <w:rFonts w:eastAsia="Noto Serif CJK TC"/>
          <w:color w:val="1A202C"/>
        </w:rPr>
        <w:t>結果；其</w:t>
      </w:r>
      <w:proofErr w:type="gramStart"/>
      <w:r>
        <w:rPr>
          <w:rFonts w:eastAsia="Noto Serif CJK TC"/>
          <w:color w:val="1A202C"/>
        </w:rPr>
        <w:t>三</w:t>
      </w:r>
      <w:proofErr w:type="gramEnd"/>
      <w:r>
        <w:rPr>
          <w:rFonts w:eastAsia="Noto Serif CJK TC"/>
          <w:color w:val="1A202C"/>
        </w:rPr>
        <w:t>，進行法律文本審計，分析法規、行政規則、採購契約與系統文件是否明確規定認知、決策</w:t>
      </w:r>
      <w:proofErr w:type="gramStart"/>
      <w:r>
        <w:rPr>
          <w:rFonts w:eastAsia="Noto Serif CJK TC"/>
          <w:color w:val="1A202C"/>
        </w:rPr>
        <w:t>與課</w:t>
      </w:r>
      <w:proofErr w:type="gramEnd"/>
      <w:r>
        <w:rPr>
          <w:rFonts w:eastAsia="Noto Serif CJK TC"/>
          <w:color w:val="1A202C"/>
        </w:rPr>
        <w:t>責能力。這五</w:t>
      </w:r>
      <w:proofErr w:type="gramStart"/>
      <w:r>
        <w:rPr>
          <w:rFonts w:eastAsia="Noto Serif CJK TC"/>
          <w:color w:val="1A202C"/>
        </w:rPr>
        <w:t>個</w:t>
      </w:r>
      <w:proofErr w:type="gramEnd"/>
      <w:r>
        <w:rPr>
          <w:rFonts w:eastAsia="Noto Serif CJK TC"/>
          <w:color w:val="1A202C"/>
        </w:rPr>
        <w:t>問題與三種策略的具體研究設計、方法配對與優先順序，本文不在此展開，讀者可參照同系列</w:t>
      </w:r>
      <w:r>
        <w:rPr>
          <w:rFonts w:eastAsia="Noto Serif CJK TC"/>
          <w:color w:val="1A202C"/>
        </w:rPr>
        <w:t xml:space="preserve"> 033</w:t>
      </w:r>
      <w:r>
        <w:rPr>
          <w:rFonts w:eastAsia="Noto Serif CJK TC"/>
          <w:color w:val="1A202C"/>
        </w:rPr>
        <w:t>〈人工智慧時代公共行政研究議程〉之詳細整理</w:t>
      </w:r>
      <w:r>
        <w:rPr>
          <w:rFonts w:eastAsia="Noto Serif CJK TC"/>
          <w:color w:val="1A202C"/>
        </w:rPr>
        <w:t>——</w:t>
      </w:r>
      <w:r>
        <w:rPr>
          <w:rFonts w:eastAsia="Noto Serif CJK TC"/>
          <w:color w:val="1A202C"/>
        </w:rPr>
        <w:t>該文把本節五個問題與</w:t>
      </w:r>
      <w:r>
        <w:rPr>
          <w:rFonts w:eastAsia="Noto Serif CJK TC"/>
          <w:color w:val="1A202C"/>
        </w:rPr>
        <w:t xml:space="preserve"> P1–P6 </w:t>
      </w:r>
      <w:r>
        <w:rPr>
          <w:rFonts w:eastAsia="Noto Serif CJK TC"/>
          <w:color w:val="1A202C"/>
        </w:rPr>
        <w:t>命題，進一步轉化為二十餘題可操作的後續研究題目。</w:t>
      </w:r>
    </w:p>
    <w:p w:rsidR="0003266C" w:rsidRDefault="009E53B5">
      <w:pPr>
        <w:spacing w:after="180" w:line="340" w:lineRule="auto"/>
        <w:jc w:val="both"/>
      </w:pPr>
      <w:r>
        <w:rPr>
          <w:rFonts w:eastAsia="Noto Serif CJK TC"/>
          <w:color w:val="1A202C"/>
        </w:rPr>
        <w:t>因此，</w:t>
      </w:r>
      <w:r>
        <w:rPr>
          <w:rFonts w:eastAsia="Noto Serif CJK TC"/>
          <w:color w:val="1A202C"/>
        </w:rPr>
        <w:t xml:space="preserve">GDA </w:t>
      </w:r>
      <w:r>
        <w:rPr>
          <w:rFonts w:eastAsia="Noto Serif CJK TC"/>
          <w:color w:val="1A202C"/>
        </w:rPr>
        <w:t>模型目前</w:t>
      </w:r>
      <w:r>
        <w:rPr>
          <w:rFonts w:eastAsia="Noto Serif CJK TC"/>
          <w:color w:val="1A202C"/>
        </w:rPr>
        <w:t>最適當的定位，不是已完成驗證的普遍因果模型，而是具有明確理論方向與可操作化潛力的中層研究架構。其後續價值，取決於能否在實證材料中證明：</w:t>
      </w:r>
      <w:r>
        <w:rPr>
          <w:rFonts w:eastAsia="Noto Serif CJK TC"/>
          <w:color w:val="1A202C"/>
        </w:rPr>
        <w:t xml:space="preserve">DAA </w:t>
      </w:r>
      <w:r>
        <w:rPr>
          <w:rFonts w:eastAsia="Noto Serif CJK TC"/>
          <w:color w:val="1A202C"/>
        </w:rPr>
        <w:t>所辨識的生成位置，確實會透過</w:t>
      </w:r>
      <w:proofErr w:type="gramStart"/>
      <w:r>
        <w:rPr>
          <w:rFonts w:eastAsia="Noto Serif CJK TC"/>
          <w:color w:val="1A202C"/>
        </w:rPr>
        <w:t>裁量場的</w:t>
      </w:r>
      <w:proofErr w:type="gramEnd"/>
      <w:r>
        <w:rPr>
          <w:rFonts w:eastAsia="Noto Serif CJK TC"/>
          <w:color w:val="1A202C"/>
        </w:rPr>
        <w:t>配置影響</w:t>
      </w:r>
      <w:r>
        <w:rPr>
          <w:rFonts w:eastAsia="Noto Serif CJK TC"/>
          <w:color w:val="1A202C"/>
        </w:rPr>
        <w:t xml:space="preserve"> UCPR</w:t>
      </w:r>
      <w:r>
        <w:rPr>
          <w:rFonts w:eastAsia="Noto Serif CJK TC"/>
          <w:color w:val="1A202C"/>
        </w:rPr>
        <w:t>，而非僅僅將既有的法律、組織與技術因素重新排列。</w:t>
      </w:r>
    </w:p>
    <w:p w:rsidR="0003266C" w:rsidRDefault="009E53B5">
      <w:pPr>
        <w:pStyle w:val="1"/>
        <w:spacing w:before="360" w:after="200" w:line="360" w:lineRule="auto"/>
      </w:pPr>
      <w:r>
        <w:rPr>
          <w:rFonts w:ascii="Noto Sans CJK TC" w:eastAsia="Noto Sans CJK TC" w:hAnsi="Noto Sans CJK TC" w:cs="Noto Sans CJK TC"/>
          <w:b/>
          <w:bCs/>
          <w:color w:val="1A365D"/>
        </w:rPr>
        <w:t>伍、</w:t>
      </w:r>
      <w:r>
        <w:rPr>
          <w:rFonts w:ascii="Noto Sans CJK TC" w:eastAsia="Noto Sans CJK TC" w:hAnsi="Noto Sans CJK TC" w:cs="Noto Sans CJK TC"/>
          <w:b/>
          <w:bCs/>
          <w:color w:val="1A365D"/>
        </w:rPr>
        <w:t xml:space="preserve">GDA </w:t>
      </w:r>
      <w:r>
        <w:rPr>
          <w:rFonts w:ascii="Noto Sans CJK TC" w:eastAsia="Noto Sans CJK TC" w:hAnsi="Noto Sans CJK TC" w:cs="Noto Sans CJK TC"/>
          <w:b/>
          <w:bCs/>
          <w:color w:val="1A365D"/>
        </w:rPr>
        <w:t>模型與國際理論的差異</w:t>
      </w:r>
    </w:p>
    <w:p w:rsidR="0003266C" w:rsidRDefault="009E53B5">
      <w:pPr>
        <w:spacing w:after="180" w:line="340" w:lineRule="auto"/>
        <w:jc w:val="both"/>
      </w:pPr>
      <w:r>
        <w:rPr>
          <w:rFonts w:eastAsia="Noto Serif CJK TC"/>
          <w:color w:val="1A202C"/>
        </w:rPr>
        <w:t>本章不擬論證「</w:t>
      </w:r>
      <w:r>
        <w:rPr>
          <w:rFonts w:eastAsia="Noto Serif CJK TC"/>
          <w:color w:val="1A202C"/>
        </w:rPr>
        <w:t xml:space="preserve">GDA </w:t>
      </w:r>
      <w:r>
        <w:rPr>
          <w:rFonts w:eastAsia="Noto Serif CJK TC"/>
          <w:color w:val="1A202C"/>
        </w:rPr>
        <w:t>模型比既有理論更好」，而是嘗試以一張理論定位矩陣，具體呈現</w:t>
      </w:r>
      <w:r>
        <w:rPr>
          <w:rFonts w:eastAsia="Noto Serif CJK TC"/>
          <w:color w:val="1A202C"/>
        </w:rPr>
        <w:t xml:space="preserve"> GDA </w:t>
      </w:r>
      <w:r>
        <w:rPr>
          <w:rFonts w:eastAsia="Noto Serif CJK TC"/>
          <w:color w:val="1A202C"/>
        </w:rPr>
        <w:t>模型與既有六條路徑</w:t>
      </w:r>
      <w:proofErr w:type="gramStart"/>
      <w:r>
        <w:rPr>
          <w:rFonts w:eastAsia="Noto Serif CJK TC"/>
          <w:color w:val="1A202C"/>
        </w:rPr>
        <w:t>之間，</w:t>
      </w:r>
      <w:proofErr w:type="gramEnd"/>
      <w:r>
        <w:rPr>
          <w:rFonts w:eastAsia="Noto Serif CJK TC"/>
          <w:color w:val="1A202C"/>
        </w:rPr>
        <w:t>在核心問題、分析單位、</w:t>
      </w:r>
      <w:proofErr w:type="gramStart"/>
      <w:r>
        <w:rPr>
          <w:rFonts w:eastAsia="Noto Serif CJK TC"/>
          <w:color w:val="1A202C"/>
        </w:rPr>
        <w:t>對裁</w:t>
      </w:r>
      <w:proofErr w:type="gramEnd"/>
      <w:r>
        <w:rPr>
          <w:rFonts w:eastAsia="Noto Serif CJK TC"/>
          <w:color w:val="1A202C"/>
        </w:rPr>
        <w:t>量的處理程度、對權威的處理程度四個面向上的異同：</w:t>
      </w:r>
    </w:p>
    <w:p w:rsidR="0003266C" w:rsidRDefault="009E53B5">
      <w:pPr>
        <w:spacing w:after="180" w:line="340" w:lineRule="auto"/>
        <w:jc w:val="both"/>
      </w:pPr>
      <w:r>
        <w:rPr>
          <w:rFonts w:eastAsia="Noto Serif CJK TC"/>
          <w:color w:val="1A202C"/>
        </w:rPr>
        <w:t>矩陣中「核心／部分／間接」的判斷標準如下：</w:t>
      </w:r>
      <w:r>
        <w:rPr>
          <w:rFonts w:eastAsia="Noto Serif CJK TC"/>
          <w:color w:val="1A202C"/>
        </w:rPr>
        <w:t>核心，指該理論明確以該問題作為主要分析對象；部分，指理論涉及該問題，但未提供完整分析架構；間接，指該問題僅作為規範背景或推</w:t>
      </w:r>
      <w:r>
        <w:rPr>
          <w:rFonts w:eastAsia="Noto Serif CJK TC"/>
          <w:color w:val="1A202C"/>
        </w:rPr>
        <w:lastRenderedPageBreak/>
        <w:t>論結果出現。這是本文依據前述比較內容進行的分類判斷，而非文獻本身明示的評分，僅供讀者掌握本文比較邏輯之用。</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78"/>
        <w:gridCol w:w="2159"/>
        <w:gridCol w:w="1715"/>
        <w:gridCol w:w="1374"/>
        <w:gridCol w:w="1374"/>
      </w:tblGrid>
      <w:tr w:rsidR="0003266C">
        <w:tblPrEx>
          <w:tblCellMar>
            <w:top w:w="0" w:type="dxa"/>
            <w:bottom w:w="0" w:type="dxa"/>
          </w:tblCellMar>
        </w:tblPrEx>
        <w:trPr>
          <w:tblHeader/>
        </w:trPr>
        <w:tc>
          <w:tcPr>
            <w:tcW w:w="2400" w:type="dxa"/>
            <w:shd w:val="clear" w:color="auto" w:fill="1A365D"/>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b/>
                <w:bCs/>
                <w:color w:val="FFFFFF"/>
                <w:sz w:val="18"/>
                <w:szCs w:val="18"/>
              </w:rPr>
              <w:t>理論</w:t>
            </w:r>
          </w:p>
        </w:tc>
        <w:tc>
          <w:tcPr>
            <w:tcW w:w="2200" w:type="dxa"/>
            <w:shd w:val="clear" w:color="auto" w:fill="1A365D"/>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b/>
                <w:bCs/>
                <w:color w:val="FFFFFF"/>
                <w:sz w:val="18"/>
                <w:szCs w:val="18"/>
              </w:rPr>
              <w:t>核心問題</w:t>
            </w:r>
          </w:p>
        </w:tc>
        <w:tc>
          <w:tcPr>
            <w:tcW w:w="1600" w:type="dxa"/>
            <w:shd w:val="clear" w:color="auto" w:fill="1A365D"/>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b/>
                <w:bCs/>
                <w:color w:val="FFFFFF"/>
                <w:sz w:val="18"/>
                <w:szCs w:val="18"/>
              </w:rPr>
              <w:t>分析單位</w:t>
            </w:r>
          </w:p>
        </w:tc>
        <w:tc>
          <w:tcPr>
            <w:tcW w:w="1400" w:type="dxa"/>
            <w:shd w:val="clear" w:color="auto" w:fill="1A365D"/>
            <w:tcMar>
              <w:top w:w="60" w:type="dxa"/>
              <w:left w:w="100" w:type="dxa"/>
              <w:bottom w:w="60" w:type="dxa"/>
              <w:right w:w="100" w:type="dxa"/>
            </w:tcMar>
            <w:vAlign w:val="center"/>
          </w:tcPr>
          <w:p w:rsidR="0003266C" w:rsidRDefault="009E53B5">
            <w:pPr>
              <w:spacing w:line="260" w:lineRule="auto"/>
            </w:pPr>
            <w:proofErr w:type="gramStart"/>
            <w:r>
              <w:rPr>
                <w:rFonts w:ascii="Noto Sans CJK TC" w:eastAsia="Noto Sans CJK TC" w:hAnsi="Noto Sans CJK TC" w:cs="Noto Sans CJK TC"/>
                <w:b/>
                <w:bCs/>
                <w:color w:val="FFFFFF"/>
                <w:sz w:val="18"/>
                <w:szCs w:val="18"/>
              </w:rPr>
              <w:t>對裁量</w:t>
            </w:r>
            <w:proofErr w:type="gramEnd"/>
            <w:r>
              <w:rPr>
                <w:rFonts w:ascii="Noto Sans CJK TC" w:eastAsia="Noto Sans CJK TC" w:hAnsi="Noto Sans CJK TC" w:cs="Noto Sans CJK TC"/>
                <w:b/>
                <w:bCs/>
                <w:color w:val="FFFFFF"/>
                <w:sz w:val="18"/>
                <w:szCs w:val="18"/>
              </w:rPr>
              <w:t>處理</w:t>
            </w:r>
          </w:p>
        </w:tc>
        <w:tc>
          <w:tcPr>
            <w:tcW w:w="1400" w:type="dxa"/>
            <w:shd w:val="clear" w:color="auto" w:fill="1A365D"/>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b/>
                <w:bCs/>
                <w:color w:val="FFFFFF"/>
                <w:sz w:val="18"/>
                <w:szCs w:val="18"/>
              </w:rPr>
              <w:t>對權威處理</w:t>
            </w:r>
          </w:p>
        </w:tc>
      </w:tr>
      <w:tr w:rsidR="0003266C">
        <w:tblPrEx>
          <w:tblCellMar>
            <w:top w:w="0" w:type="dxa"/>
            <w:bottom w:w="0" w:type="dxa"/>
          </w:tblCellMar>
        </w:tblPrEx>
        <w:tc>
          <w:tcPr>
            <w:tcW w:w="24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數位裁量</w:t>
            </w:r>
            <w:proofErr w:type="gramStart"/>
            <w:r>
              <w:rPr>
                <w:rFonts w:ascii="Noto Sans CJK TC" w:eastAsia="Noto Sans CJK TC" w:hAnsi="Noto Sans CJK TC" w:cs="Noto Sans CJK TC"/>
                <w:color w:val="1A202C"/>
                <w:sz w:val="18"/>
                <w:szCs w:val="18"/>
              </w:rPr>
              <w:t>（</w:t>
            </w:r>
            <w:proofErr w:type="spellStart"/>
            <w:proofErr w:type="gramEnd"/>
            <w:r>
              <w:rPr>
                <w:rFonts w:ascii="Noto Sans CJK TC" w:eastAsia="Noto Sans CJK TC" w:hAnsi="Noto Sans CJK TC" w:cs="Noto Sans CJK TC"/>
                <w:color w:val="1A202C"/>
                <w:sz w:val="18"/>
                <w:szCs w:val="18"/>
              </w:rPr>
              <w:t>Bovens</w:t>
            </w:r>
            <w:proofErr w:type="spellEnd"/>
            <w:r>
              <w:rPr>
                <w:rFonts w:ascii="Noto Sans CJK TC" w:eastAsia="Noto Sans CJK TC" w:hAnsi="Noto Sans CJK TC" w:cs="Noto Sans CJK TC"/>
                <w:color w:val="1A202C"/>
                <w:sz w:val="18"/>
                <w:szCs w:val="18"/>
              </w:rPr>
              <w:t xml:space="preserve"> &amp; </w:t>
            </w:r>
            <w:proofErr w:type="spellStart"/>
            <w:r>
              <w:rPr>
                <w:rFonts w:ascii="Noto Sans CJK TC" w:eastAsia="Noto Sans CJK TC" w:hAnsi="Noto Sans CJK TC" w:cs="Noto Sans CJK TC"/>
                <w:color w:val="1A202C"/>
                <w:sz w:val="18"/>
                <w:szCs w:val="18"/>
              </w:rPr>
              <w:t>Zouridis</w:t>
            </w:r>
            <w:proofErr w:type="spellEnd"/>
            <w:r>
              <w:rPr>
                <w:rFonts w:ascii="Noto Sans CJK TC" w:eastAsia="Noto Sans CJK TC" w:hAnsi="Noto Sans CJK TC" w:cs="Noto Sans CJK TC"/>
                <w:color w:val="1A202C"/>
                <w:sz w:val="18"/>
                <w:szCs w:val="18"/>
              </w:rPr>
              <w:t>, 2002</w:t>
            </w:r>
            <w:r>
              <w:rPr>
                <w:rFonts w:ascii="Noto Sans CJK TC" w:eastAsia="Noto Sans CJK TC" w:hAnsi="Noto Sans CJK TC" w:cs="Noto Sans CJK TC"/>
                <w:color w:val="1A202C"/>
                <w:sz w:val="18"/>
                <w:szCs w:val="18"/>
              </w:rPr>
              <w:t>；</w:t>
            </w:r>
            <w:r>
              <w:rPr>
                <w:rFonts w:ascii="Noto Sans CJK TC" w:eastAsia="Noto Sans CJK TC" w:hAnsi="Noto Sans CJK TC" w:cs="Noto Sans CJK TC"/>
                <w:color w:val="1A202C"/>
                <w:sz w:val="18"/>
                <w:szCs w:val="18"/>
              </w:rPr>
              <w:t xml:space="preserve">Afzal &amp; </w:t>
            </w:r>
            <w:proofErr w:type="spellStart"/>
            <w:r>
              <w:rPr>
                <w:rFonts w:ascii="Noto Sans CJK TC" w:eastAsia="Noto Sans CJK TC" w:hAnsi="Noto Sans CJK TC" w:cs="Noto Sans CJK TC"/>
                <w:color w:val="1A202C"/>
                <w:sz w:val="18"/>
                <w:szCs w:val="18"/>
              </w:rPr>
              <w:t>Panagiotopoulos</w:t>
            </w:r>
            <w:proofErr w:type="spellEnd"/>
            <w:r>
              <w:rPr>
                <w:rFonts w:ascii="Noto Sans CJK TC" w:eastAsia="Noto Sans CJK TC" w:hAnsi="Noto Sans CJK TC" w:cs="Noto Sans CJK TC"/>
                <w:color w:val="1A202C"/>
                <w:sz w:val="18"/>
                <w:szCs w:val="18"/>
              </w:rPr>
              <w:t>, 2025</w:t>
            </w:r>
            <w:proofErr w:type="gramStart"/>
            <w:r>
              <w:rPr>
                <w:rFonts w:ascii="Noto Sans CJK TC" w:eastAsia="Noto Sans CJK TC" w:hAnsi="Noto Sans CJK TC" w:cs="Noto Sans CJK TC"/>
                <w:color w:val="1A202C"/>
                <w:sz w:val="18"/>
                <w:szCs w:val="18"/>
              </w:rPr>
              <w:t>）</w:t>
            </w:r>
            <w:proofErr w:type="gramEnd"/>
          </w:p>
        </w:tc>
        <w:tc>
          <w:tcPr>
            <w:tcW w:w="22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裁量如何改變</w:t>
            </w:r>
          </w:p>
        </w:tc>
        <w:tc>
          <w:tcPr>
            <w:tcW w:w="16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行政人員／系統設計</w:t>
            </w:r>
          </w:p>
        </w:tc>
        <w:tc>
          <w:tcPr>
            <w:tcW w:w="14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核心</w:t>
            </w:r>
          </w:p>
        </w:tc>
        <w:tc>
          <w:tcPr>
            <w:tcW w:w="14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次要</w:t>
            </w:r>
          </w:p>
        </w:tc>
      </w:tr>
      <w:tr w:rsidR="0003266C">
        <w:tblPrEx>
          <w:tblCellMar>
            <w:top w:w="0" w:type="dxa"/>
            <w:bottom w:w="0" w:type="dxa"/>
          </w:tblCellMar>
        </w:tblPrEx>
        <w:tc>
          <w:tcPr>
            <w:tcW w:w="24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演算法治理（</w:t>
            </w:r>
            <w:r>
              <w:rPr>
                <w:rFonts w:ascii="Noto Sans CJK TC" w:eastAsia="Noto Sans CJK TC" w:hAnsi="Noto Sans CJK TC" w:cs="Noto Sans CJK TC"/>
                <w:color w:val="1A202C"/>
                <w:sz w:val="18"/>
                <w:szCs w:val="18"/>
              </w:rPr>
              <w:t>Danaher, 2016</w:t>
            </w:r>
            <w:r>
              <w:rPr>
                <w:rFonts w:ascii="Noto Sans CJK TC" w:eastAsia="Noto Sans CJK TC" w:hAnsi="Noto Sans CJK TC" w:cs="Noto Sans CJK TC"/>
                <w:color w:val="1A202C"/>
                <w:sz w:val="18"/>
                <w:szCs w:val="18"/>
              </w:rPr>
              <w:t>）</w:t>
            </w:r>
          </w:p>
        </w:tc>
        <w:tc>
          <w:tcPr>
            <w:tcW w:w="22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演算法如何治理／統治</w:t>
            </w:r>
          </w:p>
        </w:tc>
        <w:tc>
          <w:tcPr>
            <w:tcW w:w="16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演算法系統</w:t>
            </w:r>
          </w:p>
        </w:tc>
        <w:tc>
          <w:tcPr>
            <w:tcW w:w="14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部分</w:t>
            </w:r>
          </w:p>
        </w:tc>
        <w:tc>
          <w:tcPr>
            <w:tcW w:w="14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核心</w:t>
            </w:r>
          </w:p>
        </w:tc>
      </w:tr>
      <w:tr w:rsidR="0003266C">
        <w:tblPrEx>
          <w:tblCellMar>
            <w:top w:w="0" w:type="dxa"/>
            <w:bottom w:w="0" w:type="dxa"/>
          </w:tblCellMar>
        </w:tblPrEx>
        <w:tc>
          <w:tcPr>
            <w:tcW w:w="24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AI accountability</w:t>
            </w:r>
            <w:r>
              <w:rPr>
                <w:rFonts w:ascii="Noto Sans CJK TC" w:eastAsia="Noto Sans CJK TC" w:hAnsi="Noto Sans CJK TC" w:cs="Noto Sans CJK TC"/>
                <w:color w:val="1A202C"/>
                <w:sz w:val="18"/>
                <w:szCs w:val="18"/>
              </w:rPr>
              <w:t>（</w:t>
            </w:r>
            <w:proofErr w:type="spellStart"/>
            <w:r>
              <w:rPr>
                <w:rFonts w:ascii="Noto Sans CJK TC" w:eastAsia="Noto Sans CJK TC" w:hAnsi="Noto Sans CJK TC" w:cs="Noto Sans CJK TC"/>
                <w:color w:val="1A202C"/>
                <w:sz w:val="18"/>
                <w:szCs w:val="18"/>
              </w:rPr>
              <w:t>Busuioc</w:t>
            </w:r>
            <w:proofErr w:type="spellEnd"/>
            <w:r>
              <w:rPr>
                <w:rFonts w:ascii="Noto Sans CJK TC" w:eastAsia="Noto Sans CJK TC" w:hAnsi="Noto Sans CJK TC" w:cs="Noto Sans CJK TC"/>
                <w:color w:val="1A202C"/>
                <w:sz w:val="18"/>
                <w:szCs w:val="18"/>
              </w:rPr>
              <w:t>, 2021</w:t>
            </w:r>
            <w:r>
              <w:rPr>
                <w:rFonts w:ascii="Noto Sans CJK TC" w:eastAsia="Noto Sans CJK TC" w:hAnsi="Noto Sans CJK TC" w:cs="Noto Sans CJK TC"/>
                <w:color w:val="1A202C"/>
                <w:sz w:val="18"/>
                <w:szCs w:val="18"/>
              </w:rPr>
              <w:t>）</w:t>
            </w:r>
          </w:p>
        </w:tc>
        <w:tc>
          <w:tcPr>
            <w:tcW w:w="22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誰負責</w:t>
            </w:r>
          </w:p>
        </w:tc>
        <w:tc>
          <w:tcPr>
            <w:tcW w:w="16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責任鏈</w:t>
            </w:r>
          </w:p>
        </w:tc>
        <w:tc>
          <w:tcPr>
            <w:tcW w:w="14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部分</w:t>
            </w:r>
          </w:p>
        </w:tc>
        <w:tc>
          <w:tcPr>
            <w:tcW w:w="14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核心</w:t>
            </w:r>
          </w:p>
        </w:tc>
      </w:tr>
      <w:tr w:rsidR="0003266C">
        <w:tblPrEx>
          <w:tblCellMar>
            <w:top w:w="0" w:type="dxa"/>
            <w:bottom w:w="0" w:type="dxa"/>
          </w:tblCellMar>
        </w:tblPrEx>
        <w:tc>
          <w:tcPr>
            <w:tcW w:w="24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行政法</w:t>
            </w:r>
            <w:proofErr w:type="gramStart"/>
            <w:r>
              <w:rPr>
                <w:rFonts w:ascii="Noto Sans CJK TC" w:eastAsia="Noto Sans CJK TC" w:hAnsi="Noto Sans CJK TC" w:cs="Noto Sans CJK TC"/>
                <w:color w:val="1A202C"/>
                <w:sz w:val="18"/>
                <w:szCs w:val="18"/>
              </w:rPr>
              <w:t>（</w:t>
            </w:r>
            <w:proofErr w:type="gramEnd"/>
            <w:r>
              <w:rPr>
                <w:rFonts w:ascii="Noto Sans CJK TC" w:eastAsia="Noto Sans CJK TC" w:hAnsi="Noto Sans CJK TC" w:cs="Noto Sans CJK TC"/>
                <w:color w:val="1A202C"/>
                <w:sz w:val="18"/>
                <w:szCs w:val="18"/>
              </w:rPr>
              <w:t>Citron, 2008</w:t>
            </w:r>
            <w:r>
              <w:rPr>
                <w:rFonts w:ascii="Noto Sans CJK TC" w:eastAsia="Noto Sans CJK TC" w:hAnsi="Noto Sans CJK TC" w:cs="Noto Sans CJK TC"/>
                <w:color w:val="1A202C"/>
                <w:sz w:val="18"/>
                <w:szCs w:val="18"/>
              </w:rPr>
              <w:t>；</w:t>
            </w:r>
            <w:r>
              <w:rPr>
                <w:rFonts w:ascii="Noto Sans CJK TC" w:eastAsia="Noto Sans CJK TC" w:hAnsi="Noto Sans CJK TC" w:cs="Noto Sans CJK TC"/>
                <w:color w:val="1A202C"/>
                <w:sz w:val="18"/>
                <w:szCs w:val="18"/>
              </w:rPr>
              <w:t>Langer, 2024</w:t>
            </w:r>
            <w:proofErr w:type="gramStart"/>
            <w:r>
              <w:rPr>
                <w:rFonts w:ascii="Noto Sans CJK TC" w:eastAsia="Noto Sans CJK TC" w:hAnsi="Noto Sans CJK TC" w:cs="Noto Sans CJK TC"/>
                <w:color w:val="1A202C"/>
                <w:sz w:val="18"/>
                <w:szCs w:val="18"/>
              </w:rPr>
              <w:t>）</w:t>
            </w:r>
            <w:proofErr w:type="gramEnd"/>
          </w:p>
        </w:tc>
        <w:tc>
          <w:tcPr>
            <w:tcW w:w="22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正當程序／不得延伸委任</w:t>
            </w:r>
          </w:p>
        </w:tc>
        <w:tc>
          <w:tcPr>
            <w:tcW w:w="16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法律原則與程序</w:t>
            </w:r>
          </w:p>
        </w:tc>
        <w:tc>
          <w:tcPr>
            <w:tcW w:w="14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間接</w:t>
            </w:r>
          </w:p>
        </w:tc>
        <w:tc>
          <w:tcPr>
            <w:tcW w:w="14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核心</w:t>
            </w:r>
          </w:p>
        </w:tc>
      </w:tr>
      <w:tr w:rsidR="0003266C">
        <w:tblPrEx>
          <w:tblCellMar>
            <w:top w:w="0" w:type="dxa"/>
            <w:bottom w:w="0" w:type="dxa"/>
          </w:tblCellMar>
        </w:tblPrEx>
        <w:tc>
          <w:tcPr>
            <w:tcW w:w="24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Zhu</w:t>
            </w:r>
            <w:r>
              <w:rPr>
                <w:rFonts w:ascii="Noto Sans CJK TC" w:eastAsia="Noto Sans CJK TC" w:hAnsi="Noto Sans CJK TC" w:cs="Noto Sans CJK TC"/>
                <w:color w:val="1A202C"/>
                <w:sz w:val="18"/>
                <w:szCs w:val="18"/>
              </w:rPr>
              <w:t>（</w:t>
            </w:r>
            <w:r>
              <w:rPr>
                <w:rFonts w:ascii="Noto Sans CJK TC" w:eastAsia="Noto Sans CJK TC" w:hAnsi="Noto Sans CJK TC" w:cs="Noto Sans CJK TC"/>
                <w:color w:val="1A202C"/>
                <w:sz w:val="18"/>
                <w:szCs w:val="18"/>
              </w:rPr>
              <w:t>2026</w:t>
            </w:r>
            <w:r>
              <w:rPr>
                <w:rFonts w:ascii="Noto Sans CJK TC" w:eastAsia="Noto Sans CJK TC" w:hAnsi="Noto Sans CJK TC" w:cs="Noto Sans CJK TC"/>
                <w:color w:val="1A202C"/>
                <w:sz w:val="18"/>
                <w:szCs w:val="18"/>
              </w:rPr>
              <w:t>）</w:t>
            </w:r>
          </w:p>
        </w:tc>
        <w:tc>
          <w:tcPr>
            <w:tcW w:w="22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 xml:space="preserve">AI </w:t>
            </w:r>
            <w:r>
              <w:rPr>
                <w:rFonts w:ascii="Noto Sans CJK TC" w:eastAsia="Noto Sans CJK TC" w:hAnsi="Noto Sans CJK TC" w:cs="Noto Sans CJK TC"/>
                <w:color w:val="1A202C"/>
                <w:sz w:val="18"/>
                <w:szCs w:val="18"/>
              </w:rPr>
              <w:t>如何重塑公共行政的實務、</w:t>
            </w:r>
            <w:proofErr w:type="gramStart"/>
            <w:r>
              <w:rPr>
                <w:rFonts w:ascii="Noto Sans CJK TC" w:eastAsia="Noto Sans CJK TC" w:hAnsi="Noto Sans CJK TC" w:cs="Noto Sans CJK TC"/>
                <w:color w:val="1A202C"/>
                <w:sz w:val="18"/>
                <w:szCs w:val="18"/>
              </w:rPr>
              <w:t>規</w:t>
            </w:r>
            <w:proofErr w:type="gramEnd"/>
            <w:r>
              <w:rPr>
                <w:rFonts w:ascii="Noto Sans CJK TC" w:eastAsia="Noto Sans CJK TC" w:hAnsi="Noto Sans CJK TC" w:cs="Noto Sans CJK TC"/>
                <w:color w:val="1A202C"/>
                <w:sz w:val="18"/>
                <w:szCs w:val="18"/>
              </w:rPr>
              <w:t>制與研究範式</w:t>
            </w:r>
          </w:p>
        </w:tc>
        <w:tc>
          <w:tcPr>
            <w:tcW w:w="16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學科</w:t>
            </w:r>
            <w:proofErr w:type="gramStart"/>
            <w:r>
              <w:rPr>
                <w:rFonts w:ascii="Noto Sans CJK TC" w:eastAsia="Noto Sans CJK TC" w:hAnsi="Noto Sans CJK TC" w:cs="Noto Sans CJK TC"/>
                <w:color w:val="1A202C"/>
                <w:sz w:val="18"/>
                <w:szCs w:val="18"/>
              </w:rPr>
              <w:t>—</w:t>
            </w:r>
            <w:proofErr w:type="gramEnd"/>
            <w:r>
              <w:rPr>
                <w:rFonts w:ascii="Noto Sans CJK TC" w:eastAsia="Noto Sans CJK TC" w:hAnsi="Noto Sans CJK TC" w:cs="Noto Sans CJK TC"/>
                <w:color w:val="1A202C"/>
                <w:sz w:val="18"/>
                <w:szCs w:val="18"/>
              </w:rPr>
              <w:t>治理關係</w:t>
            </w:r>
          </w:p>
        </w:tc>
        <w:tc>
          <w:tcPr>
            <w:tcW w:w="14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間接</w:t>
            </w:r>
          </w:p>
        </w:tc>
        <w:tc>
          <w:tcPr>
            <w:tcW w:w="14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間接</w:t>
            </w:r>
          </w:p>
        </w:tc>
      </w:tr>
      <w:tr w:rsidR="0003266C">
        <w:tblPrEx>
          <w:tblCellMar>
            <w:top w:w="0" w:type="dxa"/>
            <w:bottom w:w="0" w:type="dxa"/>
          </w:tblCellMar>
        </w:tblPrEx>
        <w:tc>
          <w:tcPr>
            <w:tcW w:w="2400" w:type="dxa"/>
            <w:shd w:val="clear" w:color="auto" w:fill="F7FAFC"/>
            <w:tcMar>
              <w:top w:w="60" w:type="dxa"/>
              <w:left w:w="100" w:type="dxa"/>
              <w:bottom w:w="60" w:type="dxa"/>
              <w:right w:w="100" w:type="dxa"/>
            </w:tcMar>
            <w:vAlign w:val="center"/>
          </w:tcPr>
          <w:p w:rsidR="0003266C" w:rsidRDefault="009E53B5">
            <w:pPr>
              <w:spacing w:line="260" w:lineRule="auto"/>
            </w:pPr>
            <w:proofErr w:type="spellStart"/>
            <w:r>
              <w:rPr>
                <w:rFonts w:ascii="Noto Sans CJK TC" w:eastAsia="Noto Sans CJK TC" w:hAnsi="Noto Sans CJK TC" w:cs="Noto Sans CJK TC"/>
                <w:color w:val="1A202C"/>
                <w:sz w:val="18"/>
                <w:szCs w:val="18"/>
              </w:rPr>
              <w:t>Criado</w:t>
            </w:r>
            <w:proofErr w:type="spellEnd"/>
            <w:r>
              <w:rPr>
                <w:rFonts w:ascii="Noto Sans CJK TC" w:eastAsia="Noto Sans CJK TC" w:hAnsi="Noto Sans CJK TC" w:cs="Noto Sans CJK TC"/>
                <w:color w:val="1A202C"/>
                <w:sz w:val="18"/>
                <w:szCs w:val="18"/>
              </w:rPr>
              <w:t xml:space="preserve"> </w:t>
            </w:r>
            <w:r>
              <w:rPr>
                <w:rFonts w:ascii="Noto Sans CJK TC" w:eastAsia="Noto Sans CJK TC" w:hAnsi="Noto Sans CJK TC" w:cs="Noto Sans CJK TC"/>
                <w:color w:val="1A202C"/>
                <w:sz w:val="18"/>
                <w:szCs w:val="18"/>
              </w:rPr>
              <w:t>等人（</w:t>
            </w:r>
            <w:r>
              <w:rPr>
                <w:rFonts w:ascii="Noto Sans CJK TC" w:eastAsia="Noto Sans CJK TC" w:hAnsi="Noto Sans CJK TC" w:cs="Noto Sans CJK TC"/>
                <w:color w:val="1A202C"/>
                <w:sz w:val="18"/>
                <w:szCs w:val="18"/>
              </w:rPr>
              <w:t>2025</w:t>
            </w:r>
            <w:r>
              <w:rPr>
                <w:rFonts w:ascii="Noto Sans CJK TC" w:eastAsia="Noto Sans CJK TC" w:hAnsi="Noto Sans CJK TC" w:cs="Noto Sans CJK TC"/>
                <w:color w:val="1A202C"/>
                <w:sz w:val="18"/>
                <w:szCs w:val="18"/>
              </w:rPr>
              <w:t>）</w:t>
            </w:r>
          </w:p>
        </w:tc>
        <w:tc>
          <w:tcPr>
            <w:tcW w:w="22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 xml:space="preserve">AI </w:t>
            </w:r>
            <w:r>
              <w:rPr>
                <w:rFonts w:ascii="Noto Sans CJK TC" w:eastAsia="Noto Sans CJK TC" w:hAnsi="Noto Sans CJK TC" w:cs="Noto Sans CJK TC"/>
                <w:color w:val="1A202C"/>
                <w:sz w:val="18"/>
                <w:szCs w:val="18"/>
              </w:rPr>
              <w:t>多層次影響</w:t>
            </w:r>
          </w:p>
        </w:tc>
        <w:tc>
          <w:tcPr>
            <w:tcW w:w="16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Macro/Meso/Micro</w:t>
            </w:r>
          </w:p>
        </w:tc>
        <w:tc>
          <w:tcPr>
            <w:tcW w:w="14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部分</w:t>
            </w:r>
          </w:p>
        </w:tc>
        <w:tc>
          <w:tcPr>
            <w:tcW w:w="1400" w:type="dxa"/>
            <w:shd w:val="clear" w:color="auto" w:fill="F7FAFC"/>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部分</w:t>
            </w:r>
          </w:p>
        </w:tc>
      </w:tr>
      <w:tr w:rsidR="0003266C">
        <w:tblPrEx>
          <w:tblCellMar>
            <w:top w:w="0" w:type="dxa"/>
            <w:bottom w:w="0" w:type="dxa"/>
          </w:tblCellMar>
        </w:tblPrEx>
        <w:tc>
          <w:tcPr>
            <w:tcW w:w="24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GDA</w:t>
            </w:r>
            <w:r>
              <w:rPr>
                <w:rFonts w:ascii="Noto Sans CJK TC" w:eastAsia="Noto Sans CJK TC" w:hAnsi="Noto Sans CJK TC" w:cs="Noto Sans CJK TC"/>
                <w:color w:val="1A202C"/>
                <w:sz w:val="18"/>
                <w:szCs w:val="18"/>
              </w:rPr>
              <w:t>模型</w:t>
            </w:r>
          </w:p>
        </w:tc>
        <w:tc>
          <w:tcPr>
            <w:tcW w:w="22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結果如何生成、裁量如何分布、權威如何再介入</w:t>
            </w:r>
          </w:p>
        </w:tc>
        <w:tc>
          <w:tcPr>
            <w:tcW w:w="16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生成結構＋裁量節點＋權威能力</w:t>
            </w:r>
          </w:p>
        </w:tc>
        <w:tc>
          <w:tcPr>
            <w:tcW w:w="14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核心</w:t>
            </w:r>
          </w:p>
        </w:tc>
        <w:tc>
          <w:tcPr>
            <w:tcW w:w="1400" w:type="dxa"/>
            <w:shd w:val="clear" w:color="auto" w:fill="FFFFFF"/>
            <w:tcMar>
              <w:top w:w="60" w:type="dxa"/>
              <w:left w:w="100" w:type="dxa"/>
              <w:bottom w:w="60" w:type="dxa"/>
              <w:right w:w="100" w:type="dxa"/>
            </w:tcMar>
            <w:vAlign w:val="center"/>
          </w:tcPr>
          <w:p w:rsidR="0003266C" w:rsidRDefault="009E53B5">
            <w:pPr>
              <w:spacing w:line="260" w:lineRule="auto"/>
            </w:pPr>
            <w:r>
              <w:rPr>
                <w:rFonts w:ascii="Noto Sans CJK TC" w:eastAsia="Noto Sans CJK TC" w:hAnsi="Noto Sans CJK TC" w:cs="Noto Sans CJK TC"/>
                <w:color w:val="1A202C"/>
                <w:sz w:val="18"/>
                <w:szCs w:val="18"/>
              </w:rPr>
              <w:t>核心</w:t>
            </w:r>
          </w:p>
        </w:tc>
      </w:tr>
    </w:tbl>
    <w:p w:rsidR="0003266C" w:rsidRDefault="009E53B5">
      <w:pPr>
        <w:spacing w:after="180" w:line="340" w:lineRule="auto"/>
        <w:jc w:val="both"/>
      </w:pPr>
      <w:r>
        <w:rPr>
          <w:rFonts w:eastAsia="Noto Serif CJK TC"/>
          <w:color w:val="1A202C"/>
        </w:rPr>
        <w:t>這張矩陣呈現的重點不是「</w:t>
      </w:r>
      <w:r>
        <w:rPr>
          <w:rFonts w:eastAsia="Noto Serif CJK TC"/>
          <w:color w:val="1A202C"/>
        </w:rPr>
        <w:t xml:space="preserve">GDA </w:t>
      </w:r>
      <w:r>
        <w:rPr>
          <w:rFonts w:eastAsia="Noto Serif CJK TC"/>
          <w:color w:val="1A202C"/>
        </w:rPr>
        <w:t>模型在每一格都拿到核心」，而是：在本文選取的代表性文獻中，</w:t>
      </w:r>
      <w:r>
        <w:rPr>
          <w:rFonts w:eastAsia="Noto Serif CJK TC"/>
          <w:color w:val="1A202C"/>
        </w:rPr>
        <w:t xml:space="preserve">GDA </w:t>
      </w:r>
      <w:r>
        <w:rPr>
          <w:rFonts w:eastAsia="Noto Serif CJK TC"/>
          <w:color w:val="1A202C"/>
        </w:rPr>
        <w:t>模型是少數同時將裁量配置與公共權威維持置於分析核心的架構之</w:t>
      </w:r>
      <w:proofErr w:type="gramStart"/>
      <w:r>
        <w:rPr>
          <w:rFonts w:eastAsia="Noto Serif CJK TC"/>
          <w:color w:val="1A202C"/>
        </w:rPr>
        <w:t>一</w:t>
      </w:r>
      <w:proofErr w:type="gramEnd"/>
      <w:r>
        <w:rPr>
          <w:rFonts w:eastAsia="Noto Serif CJK TC"/>
          <w:color w:val="1A202C"/>
        </w:rPr>
        <w:t>——</w:t>
      </w:r>
      <w:r>
        <w:rPr>
          <w:rFonts w:eastAsia="Noto Serif CJK TC"/>
          <w:color w:val="1A202C"/>
        </w:rPr>
        <w:t>既有理論多半在其中一個面向表現突出，卻在另一個面向相對薄弱。這個定位同時也劃出了</w:t>
      </w:r>
      <w:r>
        <w:rPr>
          <w:rFonts w:eastAsia="Noto Serif CJK TC"/>
          <w:color w:val="1A202C"/>
        </w:rPr>
        <w:t xml:space="preserve"> GDA </w:t>
      </w:r>
      <w:r>
        <w:rPr>
          <w:rFonts w:eastAsia="Noto Serif CJK TC"/>
          <w:color w:val="1A202C"/>
        </w:rPr>
        <w:t>模型目前最需要正視的限制：</w:t>
      </w:r>
      <w:r>
        <w:rPr>
          <w:rFonts w:eastAsia="Noto Serif CJK TC"/>
          <w:color w:val="1A202C"/>
        </w:rPr>
        <w:t xml:space="preserve">GDA </w:t>
      </w:r>
      <w:r>
        <w:rPr>
          <w:rFonts w:eastAsia="Noto Serif CJK TC"/>
          <w:color w:val="1A202C"/>
        </w:rPr>
        <w:t>模型對「</w:t>
      </w:r>
      <w:proofErr w:type="gramStart"/>
      <w:r>
        <w:rPr>
          <w:rFonts w:eastAsia="Noto Serif CJK TC"/>
          <w:color w:val="1A202C"/>
        </w:rPr>
        <w:t>對裁量</w:t>
      </w:r>
      <w:proofErr w:type="gramEnd"/>
      <w:r>
        <w:rPr>
          <w:rFonts w:eastAsia="Noto Serif CJK TC"/>
          <w:color w:val="1A202C"/>
        </w:rPr>
        <w:t>處理」與「對權威處理」的整合，目前仍停留在概念層次的因果連動主張，尚未</w:t>
      </w:r>
      <w:proofErr w:type="gramStart"/>
      <w:r>
        <w:rPr>
          <w:rFonts w:eastAsia="Noto Serif CJK TC"/>
          <w:color w:val="1A202C"/>
        </w:rPr>
        <w:t>如數位裁</w:t>
      </w:r>
      <w:proofErr w:type="gramEnd"/>
      <w:r>
        <w:rPr>
          <w:rFonts w:eastAsia="Noto Serif CJK TC"/>
          <w:color w:val="1A202C"/>
        </w:rPr>
        <w:t>量或</w:t>
      </w:r>
      <w:r>
        <w:rPr>
          <w:rFonts w:eastAsia="Noto Serif CJK TC"/>
          <w:color w:val="1A202C"/>
        </w:rPr>
        <w:t xml:space="preserve"> AI </w:t>
      </w:r>
      <w:proofErr w:type="gramStart"/>
      <w:r>
        <w:rPr>
          <w:rFonts w:eastAsia="Noto Serif CJK TC"/>
          <w:color w:val="1A202C"/>
        </w:rPr>
        <w:t>問責研</w:t>
      </w:r>
      <w:proofErr w:type="gramEnd"/>
      <w:r>
        <w:rPr>
          <w:rFonts w:eastAsia="Noto Serif CJK TC"/>
          <w:color w:val="1A202C"/>
        </w:rPr>
        <w:t>究一般，累積跨案例、跨國別的系統性實證資料。</w:t>
      </w:r>
    </w:p>
    <w:p w:rsidR="0003266C" w:rsidRDefault="009E53B5">
      <w:pPr>
        <w:pStyle w:val="1"/>
        <w:spacing w:before="360" w:after="200" w:line="360" w:lineRule="auto"/>
      </w:pPr>
      <w:r>
        <w:rPr>
          <w:rFonts w:ascii="Noto Sans CJK TC" w:eastAsia="Noto Sans CJK TC" w:hAnsi="Noto Sans CJK TC" w:cs="Noto Sans CJK TC"/>
          <w:b/>
          <w:bCs/>
          <w:color w:val="1A365D"/>
        </w:rPr>
        <w:t>陸、理論貢獻與限制</w:t>
      </w:r>
    </w:p>
    <w:p w:rsidR="0003266C" w:rsidRDefault="009E53B5">
      <w:pPr>
        <w:pStyle w:val="3"/>
        <w:spacing w:before="200" w:after="100" w:line="320" w:lineRule="auto"/>
      </w:pPr>
      <w:r>
        <w:rPr>
          <w:rFonts w:ascii="Noto Sans CJK TC" w:eastAsia="Noto Sans CJK TC" w:hAnsi="Noto Sans CJK TC" w:cs="Noto Sans CJK TC"/>
          <w:b/>
          <w:bCs/>
          <w:color w:val="2C5282"/>
        </w:rPr>
        <w:t>第一項貢獻</w:t>
      </w:r>
    </w:p>
    <w:p w:rsidR="0003266C" w:rsidRDefault="009E53B5">
      <w:pPr>
        <w:spacing w:after="180" w:line="340" w:lineRule="auto"/>
        <w:jc w:val="both"/>
      </w:pPr>
      <w:r>
        <w:rPr>
          <w:rFonts w:eastAsia="Noto Serif CJK TC"/>
          <w:color w:val="1A202C"/>
        </w:rPr>
        <w:t>把「行政結果生成」納入</w:t>
      </w:r>
      <w:r>
        <w:rPr>
          <w:rFonts w:eastAsia="Noto Serif CJK TC"/>
          <w:color w:val="1A202C"/>
        </w:rPr>
        <w:t xml:space="preserve"> AI </w:t>
      </w:r>
      <w:r>
        <w:rPr>
          <w:rFonts w:eastAsia="Noto Serif CJK TC"/>
          <w:color w:val="1A202C"/>
        </w:rPr>
        <w:t>公共行政理論</w:t>
      </w:r>
      <w:proofErr w:type="gramStart"/>
      <w:r>
        <w:rPr>
          <w:rFonts w:eastAsia="Noto Serif CJK TC"/>
          <w:color w:val="1A202C"/>
        </w:rPr>
        <w:t>—</w:t>
      </w:r>
      <w:proofErr w:type="gramEnd"/>
      <w:r>
        <w:rPr>
          <w:rFonts w:eastAsia="Noto Serif CJK TC"/>
          <w:color w:val="1A202C"/>
        </w:rPr>
        <w:t>—</w:t>
      </w:r>
      <w:r>
        <w:rPr>
          <w:rFonts w:eastAsia="Noto Serif CJK TC"/>
          <w:color w:val="1A202C"/>
        </w:rPr>
        <w:t>既有文獻多半直接討論裁量、</w:t>
      </w:r>
      <w:proofErr w:type="gramStart"/>
      <w:r>
        <w:rPr>
          <w:rFonts w:eastAsia="Noto Serif CJK TC"/>
          <w:color w:val="1A202C"/>
        </w:rPr>
        <w:t>問責</w:t>
      </w:r>
      <w:proofErr w:type="gramEnd"/>
      <w:r>
        <w:rPr>
          <w:rFonts w:eastAsia="Noto Serif CJK TC"/>
          <w:color w:val="1A202C"/>
        </w:rPr>
        <w:t>或治理，較少停下來追問行政結果本身是「如何」形成的；</w:t>
      </w:r>
      <w:r>
        <w:rPr>
          <w:rFonts w:eastAsia="Noto Serif CJK TC"/>
          <w:color w:val="1A202C"/>
        </w:rPr>
        <w:t xml:space="preserve">DAA </w:t>
      </w:r>
      <w:r>
        <w:rPr>
          <w:rFonts w:eastAsia="Noto Serif CJK TC"/>
          <w:color w:val="1A202C"/>
        </w:rPr>
        <w:t>概念填補了這個前置問題的空白。</w:t>
      </w:r>
    </w:p>
    <w:p w:rsidR="0003266C" w:rsidRDefault="009E53B5">
      <w:pPr>
        <w:pStyle w:val="3"/>
        <w:spacing w:before="200" w:after="100" w:line="320" w:lineRule="auto"/>
      </w:pPr>
      <w:r>
        <w:rPr>
          <w:rFonts w:ascii="Noto Sans CJK TC" w:eastAsia="Noto Sans CJK TC" w:hAnsi="Noto Sans CJK TC" w:cs="Noto Sans CJK TC"/>
          <w:b/>
          <w:bCs/>
          <w:color w:val="2C5282"/>
        </w:rPr>
        <w:t>第二項貢獻</w:t>
      </w:r>
    </w:p>
    <w:p w:rsidR="0003266C" w:rsidRDefault="009E53B5">
      <w:pPr>
        <w:spacing w:after="180" w:line="340" w:lineRule="auto"/>
        <w:jc w:val="both"/>
      </w:pPr>
      <w:proofErr w:type="gramStart"/>
      <w:r>
        <w:rPr>
          <w:rFonts w:eastAsia="Noto Serif CJK TC"/>
          <w:color w:val="1A202C"/>
        </w:rPr>
        <w:t>把裁量</w:t>
      </w:r>
      <w:proofErr w:type="gramEnd"/>
      <w:r>
        <w:rPr>
          <w:rFonts w:eastAsia="Noto Serif CJK TC"/>
          <w:color w:val="1A202C"/>
        </w:rPr>
        <w:t>從「最後決策」重新定位為分布式結構</w:t>
      </w:r>
      <w:r>
        <w:rPr>
          <w:rFonts w:eastAsia="Noto Serif CJK TC"/>
          <w:color w:val="1A202C"/>
        </w:rPr>
        <w:t>——</w:t>
      </w:r>
      <w:r>
        <w:rPr>
          <w:rFonts w:eastAsia="Noto Serif CJK TC"/>
          <w:color w:val="1A202C"/>
        </w:rPr>
        <w:t>這個貢獻建立在</w:t>
      </w:r>
      <w:r>
        <w:rPr>
          <w:rFonts w:eastAsia="Noto Serif CJK TC"/>
          <w:color w:val="1A202C"/>
        </w:rPr>
        <w:t xml:space="preserve"> </w:t>
      </w:r>
      <w:proofErr w:type="spellStart"/>
      <w:r>
        <w:rPr>
          <w:rFonts w:eastAsia="Noto Serif CJK TC"/>
          <w:color w:val="1A202C"/>
        </w:rPr>
        <w:t>Bovens</w:t>
      </w:r>
      <w:proofErr w:type="spellEnd"/>
      <w:r>
        <w:rPr>
          <w:rFonts w:eastAsia="Noto Serif CJK TC"/>
          <w:color w:val="1A202C"/>
        </w:rPr>
        <w:t xml:space="preserve"> </w:t>
      </w:r>
      <w:r>
        <w:rPr>
          <w:rFonts w:eastAsia="Noto Serif CJK TC"/>
          <w:color w:val="1A202C"/>
        </w:rPr>
        <w:t>與</w:t>
      </w:r>
      <w:r>
        <w:rPr>
          <w:rFonts w:eastAsia="Noto Serif CJK TC"/>
          <w:color w:val="1A202C"/>
        </w:rPr>
        <w:t xml:space="preserve"> </w:t>
      </w:r>
      <w:proofErr w:type="spellStart"/>
      <w:r>
        <w:rPr>
          <w:rFonts w:eastAsia="Noto Serif CJK TC"/>
          <w:color w:val="1A202C"/>
        </w:rPr>
        <w:t>Zouridis</w:t>
      </w:r>
      <w:proofErr w:type="spellEnd"/>
      <w:r>
        <w:rPr>
          <w:rFonts w:eastAsia="Noto Serif CJK TC"/>
          <w:color w:val="1A202C"/>
        </w:rPr>
        <w:t>（</w:t>
      </w:r>
      <w:r>
        <w:rPr>
          <w:rFonts w:eastAsia="Noto Serif CJK TC"/>
          <w:color w:val="1A202C"/>
        </w:rPr>
        <w:t>2002</w:t>
      </w:r>
      <w:r>
        <w:rPr>
          <w:rFonts w:eastAsia="Noto Serif CJK TC"/>
          <w:color w:val="1A202C"/>
        </w:rPr>
        <w:t>）裁量前移命題之上，但透過</w:t>
      </w:r>
      <w:proofErr w:type="gramStart"/>
      <w:r>
        <w:rPr>
          <w:rFonts w:eastAsia="Noto Serif CJK TC"/>
          <w:color w:val="1A202C"/>
        </w:rPr>
        <w:t>裁量場</w:t>
      </w:r>
      <w:proofErr w:type="gramEnd"/>
      <w:r>
        <w:rPr>
          <w:rFonts w:eastAsia="Noto Serif CJK TC"/>
          <w:color w:val="1A202C"/>
        </w:rPr>
        <w:t>的四節點架構，提供了比原始命題更精細的動態分析工具。</w:t>
      </w:r>
    </w:p>
    <w:p w:rsidR="0003266C" w:rsidRDefault="009E53B5">
      <w:pPr>
        <w:pStyle w:val="3"/>
        <w:spacing w:before="200" w:after="100" w:line="320" w:lineRule="auto"/>
      </w:pPr>
      <w:r>
        <w:rPr>
          <w:rFonts w:ascii="Noto Sans CJK TC" w:eastAsia="Noto Sans CJK TC" w:hAnsi="Noto Sans CJK TC" w:cs="Noto Sans CJK TC"/>
          <w:b/>
          <w:bCs/>
          <w:color w:val="2C5282"/>
        </w:rPr>
        <w:t>第三項貢獻</w:t>
      </w:r>
    </w:p>
    <w:p w:rsidR="0003266C" w:rsidRDefault="009E53B5">
      <w:pPr>
        <w:spacing w:after="180" w:line="340" w:lineRule="auto"/>
        <w:jc w:val="both"/>
      </w:pPr>
      <w:r>
        <w:rPr>
          <w:rFonts w:eastAsia="Noto Serif CJK TC"/>
          <w:color w:val="1A202C"/>
        </w:rPr>
        <w:t>把</w:t>
      </w:r>
      <w:r>
        <w:rPr>
          <w:rFonts w:eastAsia="Noto Serif CJK TC"/>
          <w:color w:val="1A202C"/>
        </w:rPr>
        <w:t xml:space="preserve"> accountability </w:t>
      </w:r>
      <w:r>
        <w:rPr>
          <w:rFonts w:eastAsia="Noto Serif CJK TC"/>
          <w:color w:val="1A202C"/>
        </w:rPr>
        <w:t>從「責任追究」推向「再介入能力」</w:t>
      </w:r>
      <w:proofErr w:type="gramStart"/>
      <w:r>
        <w:rPr>
          <w:rFonts w:eastAsia="Noto Serif CJK TC"/>
          <w:color w:val="1A202C"/>
        </w:rPr>
        <w:t>—</w:t>
      </w:r>
      <w:proofErr w:type="gramEnd"/>
      <w:r>
        <w:rPr>
          <w:rFonts w:eastAsia="Noto Serif CJK TC"/>
          <w:color w:val="1A202C"/>
        </w:rPr>
        <w:t>—</w:t>
      </w:r>
      <w:r>
        <w:rPr>
          <w:rFonts w:eastAsia="Noto Serif CJK TC"/>
          <w:color w:val="1A202C"/>
        </w:rPr>
        <w:t>這個貢獻直接回應</w:t>
      </w:r>
      <w:r>
        <w:rPr>
          <w:rFonts w:eastAsia="Noto Serif CJK TC"/>
          <w:color w:val="1A202C"/>
        </w:rPr>
        <w:t xml:space="preserve"> </w:t>
      </w:r>
      <w:proofErr w:type="spellStart"/>
      <w:r>
        <w:rPr>
          <w:rFonts w:eastAsia="Noto Serif CJK TC"/>
          <w:color w:val="1A202C"/>
        </w:rPr>
        <w:t>Busuioc</w:t>
      </w:r>
      <w:proofErr w:type="spellEnd"/>
      <w:r>
        <w:rPr>
          <w:rFonts w:eastAsia="Noto Serif CJK TC"/>
          <w:color w:val="1A202C"/>
        </w:rPr>
        <w:t>（</w:t>
      </w:r>
      <w:r>
        <w:rPr>
          <w:rFonts w:eastAsia="Noto Serif CJK TC"/>
          <w:color w:val="1A202C"/>
        </w:rPr>
        <w:t>2021</w:t>
      </w:r>
      <w:r>
        <w:rPr>
          <w:rFonts w:eastAsia="Noto Serif CJK TC"/>
          <w:color w:val="1A202C"/>
        </w:rPr>
        <w:t>）</w:t>
      </w:r>
      <w:r>
        <w:rPr>
          <w:rFonts w:eastAsia="Noto Serif CJK TC"/>
          <w:color w:val="1A202C"/>
        </w:rPr>
        <w:lastRenderedPageBreak/>
        <w:t>指出</w:t>
      </w:r>
      <w:r>
        <w:rPr>
          <w:rFonts w:eastAsia="Noto Serif CJK TC"/>
          <w:color w:val="1A202C"/>
        </w:rPr>
        <w:t>的</w:t>
      </w:r>
      <w:proofErr w:type="gramStart"/>
      <w:r>
        <w:rPr>
          <w:rFonts w:eastAsia="Noto Serif CJK TC"/>
          <w:color w:val="1A202C"/>
        </w:rPr>
        <w:t>既有問責框</w:t>
      </w:r>
      <w:proofErr w:type="gramEnd"/>
      <w:r>
        <w:rPr>
          <w:rFonts w:eastAsia="Noto Serif CJK TC"/>
          <w:color w:val="1A202C"/>
        </w:rPr>
        <w:t>架適用性問題，</w:t>
      </w:r>
      <w:proofErr w:type="gramStart"/>
      <w:r>
        <w:rPr>
          <w:rFonts w:eastAsia="Noto Serif CJK TC"/>
          <w:color w:val="1A202C"/>
        </w:rPr>
        <w:t>將問</w:t>
      </w:r>
      <w:proofErr w:type="gramEnd"/>
      <w:r>
        <w:rPr>
          <w:rFonts w:eastAsia="Noto Serif CJK TC"/>
          <w:color w:val="1A202C"/>
        </w:rPr>
        <w:t>責的判準從機制名目是否存在，推進到能力是否實質可行使。</w:t>
      </w:r>
    </w:p>
    <w:p w:rsidR="0003266C" w:rsidRDefault="009E53B5">
      <w:pPr>
        <w:pStyle w:val="3"/>
        <w:spacing w:before="200" w:after="100" w:line="320" w:lineRule="auto"/>
      </w:pPr>
      <w:r>
        <w:rPr>
          <w:rFonts w:ascii="Noto Sans CJK TC" w:eastAsia="Noto Sans CJK TC" w:hAnsi="Noto Sans CJK TC" w:cs="Noto Sans CJK TC"/>
          <w:b/>
          <w:bCs/>
          <w:color w:val="2C5282"/>
        </w:rPr>
        <w:t>第四項貢獻</w:t>
      </w:r>
    </w:p>
    <w:p w:rsidR="0003266C" w:rsidRDefault="009E53B5">
      <w:pPr>
        <w:spacing w:after="180" w:line="340" w:lineRule="auto"/>
        <w:jc w:val="both"/>
      </w:pPr>
      <w:r>
        <w:rPr>
          <w:rFonts w:eastAsia="Noto Serif CJK TC"/>
          <w:color w:val="1A202C"/>
        </w:rPr>
        <w:t>把生成</w:t>
      </w:r>
      <w:proofErr w:type="gramStart"/>
      <w:r>
        <w:rPr>
          <w:rFonts w:eastAsia="Noto Serif CJK TC"/>
          <w:color w:val="1A202C"/>
        </w:rPr>
        <w:t>—</w:t>
      </w:r>
      <w:proofErr w:type="gramEnd"/>
      <w:r>
        <w:rPr>
          <w:rFonts w:eastAsia="Noto Serif CJK TC"/>
          <w:color w:val="1A202C"/>
        </w:rPr>
        <w:t>裁量</w:t>
      </w:r>
      <w:r>
        <w:rPr>
          <w:rFonts w:eastAsia="Noto Serif CJK TC"/>
          <w:color w:val="1A202C"/>
        </w:rPr>
        <w:t>—</w:t>
      </w:r>
      <w:r>
        <w:rPr>
          <w:rFonts w:eastAsia="Noto Serif CJK TC"/>
          <w:color w:val="1A202C"/>
        </w:rPr>
        <w:t>權威因果鏈，從一個整合性主張進一步轉化為可回答「如何驗證」的研究議程</w:t>
      </w:r>
      <w:r>
        <w:rPr>
          <w:rFonts w:eastAsia="Noto Serif CJK TC"/>
          <w:color w:val="1A202C"/>
        </w:rPr>
        <w:t>—</w:t>
      </w:r>
      <w:proofErr w:type="gramStart"/>
      <w:r>
        <w:rPr>
          <w:rFonts w:eastAsia="Noto Serif CJK TC"/>
          <w:color w:val="1A202C"/>
        </w:rPr>
        <w:t>—</w:t>
      </w:r>
      <w:r>
        <w:rPr>
          <w:rFonts w:eastAsia="Noto Serif CJK TC"/>
          <w:color w:val="1A202C"/>
        </w:rPr>
        <w:t>肆</w:t>
      </w:r>
      <w:proofErr w:type="gramEnd"/>
      <w:r>
        <w:rPr>
          <w:rFonts w:eastAsia="Noto Serif CJK TC"/>
          <w:color w:val="1A202C"/>
        </w:rPr>
        <w:t>章新增的六條理論命題（附可能反證與邊界條件）、生成構成與裁量節點的交叉矩陣，以及新增「判定問題」欄位的概念操作化表（分析單位、可觀察指標、判定問題、可能資料來源、失效型態），具體指出了跨案例比較與資料蒐集可以從哪些命題與指標切入。這是</w:t>
      </w:r>
      <w:r>
        <w:rPr>
          <w:rFonts w:eastAsia="Noto Serif CJK TC"/>
          <w:color w:val="1A202C"/>
        </w:rPr>
        <w:t xml:space="preserve"> GDA </w:t>
      </w:r>
      <w:r>
        <w:rPr>
          <w:rFonts w:eastAsia="Noto Serif CJK TC"/>
          <w:color w:val="1A202C"/>
        </w:rPr>
        <w:t>模型除了提出整合性主張之外，進一步標定後續驗證路徑的嘗試，也是本章與伍章的分工所在</w:t>
      </w:r>
      <w:r>
        <w:rPr>
          <w:rFonts w:eastAsia="Noto Serif CJK TC"/>
          <w:color w:val="1A202C"/>
        </w:rPr>
        <w:t>：伍章回答「</w:t>
      </w:r>
      <w:r>
        <w:rPr>
          <w:rFonts w:eastAsia="Noto Serif CJK TC"/>
          <w:color w:val="1A202C"/>
        </w:rPr>
        <w:t xml:space="preserve">GDA </w:t>
      </w:r>
      <w:r>
        <w:rPr>
          <w:rFonts w:eastAsia="Noto Serif CJK TC"/>
          <w:color w:val="1A202C"/>
        </w:rPr>
        <w:t>與既有理論有何不同」，本章要回答的是「這個不同之處，要如何被檢驗」；肆</w:t>
      </w:r>
      <w:r>
        <w:rPr>
          <w:rFonts w:eastAsia="Noto Serif CJK TC"/>
          <w:color w:val="1A202C"/>
        </w:rPr>
        <w:t>-</w:t>
      </w:r>
      <w:r>
        <w:rPr>
          <w:rFonts w:eastAsia="Noto Serif CJK TC"/>
          <w:color w:val="1A202C"/>
        </w:rPr>
        <w:t>九章進一步指出，這條驗證路徑的具體研究設計與方法配對，已由同系列</w:t>
      </w:r>
      <w:r>
        <w:rPr>
          <w:rFonts w:eastAsia="Noto Serif CJK TC"/>
          <w:color w:val="1A202C"/>
        </w:rPr>
        <w:t xml:space="preserve"> 033</w:t>
      </w:r>
      <w:r>
        <w:rPr>
          <w:rFonts w:eastAsia="Noto Serif CJK TC"/>
          <w:color w:val="1A202C"/>
        </w:rPr>
        <w:t>〈人工智慧時代公共行政研究議程〉展開為二十餘題可操作的後續研究題目。</w:t>
      </w:r>
    </w:p>
    <w:p w:rsidR="0003266C" w:rsidRDefault="009E53B5">
      <w:pPr>
        <w:pStyle w:val="3"/>
        <w:spacing w:before="200" w:after="100" w:line="320" w:lineRule="auto"/>
      </w:pPr>
      <w:r>
        <w:rPr>
          <w:rFonts w:ascii="Noto Sans CJK TC" w:eastAsia="Noto Sans CJK TC" w:hAnsi="Noto Sans CJK TC" w:cs="Noto Sans CJK TC"/>
          <w:b/>
          <w:bCs/>
          <w:color w:val="2C5282"/>
        </w:rPr>
        <w:t>限制</w:t>
      </w:r>
    </w:p>
    <w:p w:rsidR="0003266C" w:rsidRDefault="009E53B5">
      <w:pPr>
        <w:spacing w:after="180" w:line="340" w:lineRule="auto"/>
        <w:jc w:val="both"/>
      </w:pPr>
      <w:r>
        <w:rPr>
          <w:rFonts w:eastAsia="Noto Serif CJK TC"/>
          <w:color w:val="1A202C"/>
        </w:rPr>
        <w:t>本文的比較分析本身也有明確限制，須誠實交代：</w:t>
      </w:r>
      <w:proofErr w:type="gramStart"/>
      <w:r>
        <w:rPr>
          <w:rFonts w:eastAsia="Noto Serif CJK TC"/>
          <w:color w:val="1A202C"/>
        </w:rPr>
        <w:t>其一，</w:t>
      </w:r>
      <w:proofErr w:type="gramEnd"/>
      <w:r>
        <w:rPr>
          <w:rFonts w:eastAsia="Noto Serif CJK TC"/>
          <w:color w:val="1A202C"/>
        </w:rPr>
        <w:t>尚需更多跨國案例驗證</w:t>
      </w:r>
      <w:r>
        <w:rPr>
          <w:rFonts w:eastAsia="Noto Serif CJK TC"/>
          <w:color w:val="1A202C"/>
        </w:rPr>
        <w:t xml:space="preserve"> GDA </w:t>
      </w:r>
      <w:r>
        <w:rPr>
          <w:rFonts w:eastAsia="Noto Serif CJK TC"/>
          <w:color w:val="1A202C"/>
        </w:rPr>
        <w:t>模型在不同制度脈絡下的適用性；</w:t>
      </w:r>
      <w:proofErr w:type="gramStart"/>
      <w:r>
        <w:rPr>
          <w:rFonts w:eastAsia="Noto Serif CJK TC"/>
          <w:color w:val="1A202C"/>
        </w:rPr>
        <w:t>其二，「對裁</w:t>
      </w:r>
      <w:proofErr w:type="gramEnd"/>
      <w:r>
        <w:rPr>
          <w:rFonts w:eastAsia="Noto Serif CJK TC"/>
          <w:color w:val="1A202C"/>
        </w:rPr>
        <w:t>量處理」與「對權威處理」目前主要是概念層次的因果連動主張，</w:t>
      </w:r>
      <w:proofErr w:type="gramStart"/>
      <w:r>
        <w:rPr>
          <w:rFonts w:eastAsia="Noto Serif CJK TC"/>
          <w:color w:val="1A202C"/>
        </w:rPr>
        <w:t>肆章</w:t>
      </w:r>
      <w:proofErr w:type="gramEnd"/>
      <w:r>
        <w:rPr>
          <w:rFonts w:eastAsia="Noto Serif CJK TC"/>
          <w:color w:val="1A202C"/>
        </w:rPr>
        <w:t>的操作化表僅是初步嘗試，尚未實際蒐集資料檢驗；其</w:t>
      </w:r>
      <w:proofErr w:type="gramStart"/>
      <w:r>
        <w:rPr>
          <w:rFonts w:eastAsia="Noto Serif CJK TC"/>
          <w:color w:val="1A202C"/>
        </w:rPr>
        <w:t>三</w:t>
      </w:r>
      <w:proofErr w:type="gramEnd"/>
      <w:r>
        <w:rPr>
          <w:rFonts w:eastAsia="Noto Serif CJK TC"/>
          <w:color w:val="1A202C"/>
        </w:rPr>
        <w:t>，</w:t>
      </w:r>
      <w:r>
        <w:rPr>
          <w:rFonts w:eastAsia="Noto Serif CJK TC"/>
          <w:color w:val="1A202C"/>
        </w:rPr>
        <w:t xml:space="preserve">031 </w:t>
      </w:r>
      <w:r>
        <w:rPr>
          <w:rFonts w:eastAsia="Noto Serif CJK TC"/>
          <w:color w:val="1A202C"/>
        </w:rPr>
        <w:t>才是本系列第一篇實證個案檢視，本文的比較分析本身並不構成獨立的實證檢驗；其四，</w:t>
      </w:r>
      <w:r>
        <w:rPr>
          <w:rFonts w:eastAsia="Noto Serif CJK TC"/>
          <w:color w:val="1A202C"/>
        </w:rPr>
        <w:t xml:space="preserve">034 </w:t>
      </w:r>
      <w:r>
        <w:rPr>
          <w:rFonts w:eastAsia="Noto Serif CJK TC"/>
          <w:color w:val="1A202C"/>
        </w:rPr>
        <w:t>才會把</w:t>
      </w:r>
      <w:r>
        <w:rPr>
          <w:rFonts w:eastAsia="Noto Serif CJK TC"/>
          <w:color w:val="1A202C"/>
        </w:rPr>
        <w:t xml:space="preserve"> UCPR </w:t>
      </w:r>
      <w:r>
        <w:rPr>
          <w:rFonts w:eastAsia="Noto Serif CJK TC"/>
          <w:color w:val="1A202C"/>
        </w:rPr>
        <w:t>概念實際應用於法律制度文本審計，本文對行政法理論的比較仍停留在概念層次；其五，本文對</w:t>
      </w:r>
      <w:r>
        <w:rPr>
          <w:rFonts w:eastAsia="Noto Serif CJK TC"/>
          <w:color w:val="1A202C"/>
        </w:rPr>
        <w:t xml:space="preserve"> Zhu</w:t>
      </w:r>
      <w:r>
        <w:rPr>
          <w:rFonts w:eastAsia="Noto Serif CJK TC"/>
          <w:color w:val="1A202C"/>
        </w:rPr>
        <w:t>（</w:t>
      </w:r>
      <w:r>
        <w:rPr>
          <w:rFonts w:eastAsia="Noto Serif CJK TC"/>
          <w:color w:val="1A202C"/>
        </w:rPr>
        <w:t>2026</w:t>
      </w:r>
      <w:r>
        <w:rPr>
          <w:rFonts w:eastAsia="Noto Serif CJK TC"/>
          <w:color w:val="1A202C"/>
        </w:rPr>
        <w:t>）的討論已依可查證之摘要與相關來源，更正先前對「</w:t>
      </w:r>
      <w:r>
        <w:rPr>
          <w:rFonts w:eastAsia="Noto Serif CJK TC"/>
          <w:color w:val="1A202C"/>
        </w:rPr>
        <w:t>through</w:t>
      </w:r>
      <w:r>
        <w:rPr>
          <w:rFonts w:eastAsia="Noto Serif CJK TC"/>
          <w:color w:val="1A202C"/>
        </w:rPr>
        <w:t xml:space="preserve"> AI</w:t>
      </w:r>
      <w:r>
        <w:rPr>
          <w:rFonts w:eastAsia="Noto Serif CJK TC"/>
          <w:color w:val="1A202C"/>
        </w:rPr>
        <w:t>」的誤讀，將其限縮為學科方法維度，不再把</w:t>
      </w:r>
      <w:r>
        <w:rPr>
          <w:rFonts w:eastAsia="Noto Serif CJK TC"/>
          <w:color w:val="1A202C"/>
        </w:rPr>
        <w:t xml:space="preserve"> GDA </w:t>
      </w:r>
      <w:r>
        <w:rPr>
          <w:rFonts w:eastAsia="Noto Serif CJK TC"/>
          <w:color w:val="1A202C"/>
        </w:rPr>
        <w:t>整組概念放入</w:t>
      </w:r>
      <w:r>
        <w:rPr>
          <w:rFonts w:eastAsia="Noto Serif CJK TC"/>
          <w:color w:val="1A202C"/>
        </w:rPr>
        <w:t xml:space="preserve"> through AI </w:t>
      </w:r>
      <w:proofErr w:type="gramStart"/>
      <w:r>
        <w:rPr>
          <w:rFonts w:eastAsia="Noto Serif CJK TC"/>
          <w:color w:val="1A202C"/>
        </w:rPr>
        <w:t>內部，</w:t>
      </w:r>
      <w:proofErr w:type="gramEnd"/>
      <w:r>
        <w:rPr>
          <w:rFonts w:eastAsia="Noto Serif CJK TC"/>
          <w:color w:val="1A202C"/>
        </w:rPr>
        <w:t>但仍未能逐段核對全文論證細節；對</w:t>
      </w:r>
      <w:r>
        <w:rPr>
          <w:rFonts w:eastAsia="Noto Serif CJK TC"/>
          <w:color w:val="1A202C"/>
        </w:rPr>
        <w:t xml:space="preserve"> Afzal </w:t>
      </w:r>
      <w:r>
        <w:rPr>
          <w:rFonts w:eastAsia="Noto Serif CJK TC"/>
          <w:color w:val="1A202C"/>
        </w:rPr>
        <w:t>與</w:t>
      </w:r>
      <w:r>
        <w:rPr>
          <w:rFonts w:eastAsia="Noto Serif CJK TC"/>
          <w:color w:val="1A202C"/>
        </w:rPr>
        <w:t xml:space="preserve"> </w:t>
      </w:r>
      <w:proofErr w:type="spellStart"/>
      <w:r>
        <w:rPr>
          <w:rFonts w:eastAsia="Noto Serif CJK TC"/>
          <w:color w:val="1A202C"/>
        </w:rPr>
        <w:t>Panagiotopoulos</w:t>
      </w:r>
      <w:proofErr w:type="spellEnd"/>
      <w:r>
        <w:rPr>
          <w:rFonts w:eastAsia="Noto Serif CJK TC"/>
          <w:color w:val="1A202C"/>
        </w:rPr>
        <w:t>（</w:t>
      </w:r>
      <w:r>
        <w:rPr>
          <w:rFonts w:eastAsia="Noto Serif CJK TC"/>
          <w:color w:val="1A202C"/>
        </w:rPr>
        <w:t>2025</w:t>
      </w:r>
      <w:r>
        <w:rPr>
          <w:rFonts w:eastAsia="Noto Serif CJK TC"/>
          <w:color w:val="1A202C"/>
        </w:rPr>
        <w:t>）則已改依《</w:t>
      </w:r>
      <w:r>
        <w:rPr>
          <w:rFonts w:eastAsia="Noto Serif CJK TC"/>
          <w:color w:val="1A202C"/>
        </w:rPr>
        <w:t>Public Administration Review</w:t>
      </w:r>
      <w:r>
        <w:rPr>
          <w:rFonts w:eastAsia="Noto Serif CJK TC"/>
          <w:color w:val="1A202C"/>
        </w:rPr>
        <w:t>》</w:t>
      </w:r>
      <w:r>
        <w:rPr>
          <w:rFonts w:eastAsia="Noto Serif CJK TC"/>
          <w:color w:val="1A202C"/>
        </w:rPr>
        <w:t>85</w:t>
      </w:r>
      <w:r>
        <w:rPr>
          <w:rFonts w:eastAsia="Noto Serif CJK TC"/>
          <w:color w:val="1A202C"/>
        </w:rPr>
        <w:t>卷</w:t>
      </w:r>
      <w:r>
        <w:rPr>
          <w:rFonts w:eastAsia="Noto Serif CJK TC"/>
          <w:color w:val="1A202C"/>
        </w:rPr>
        <w:t>5</w:t>
      </w:r>
      <w:r>
        <w:rPr>
          <w:rFonts w:eastAsia="Noto Serif CJK TC"/>
          <w:color w:val="1A202C"/>
        </w:rPr>
        <w:t>期正式文本，將</w:t>
      </w:r>
      <w:proofErr w:type="gramStart"/>
      <w:r>
        <w:rPr>
          <w:rFonts w:eastAsia="Noto Serif CJK TC"/>
          <w:color w:val="1A202C"/>
        </w:rPr>
        <w:t>現狀偏誤理解</w:t>
      </w:r>
      <w:proofErr w:type="gramEnd"/>
      <w:r>
        <w:rPr>
          <w:rFonts w:eastAsia="Noto Serif CJK TC"/>
          <w:color w:val="1A202C"/>
        </w:rPr>
        <w:t>為對演算法委託的抗拒，而非對系統建議的接受，並</w:t>
      </w:r>
      <w:proofErr w:type="gramStart"/>
      <w:r>
        <w:rPr>
          <w:rFonts w:eastAsia="Noto Serif CJK TC"/>
          <w:color w:val="1A202C"/>
        </w:rPr>
        <w:t>已於</w:t>
      </w:r>
      <w:proofErr w:type="gramEnd"/>
      <w:r>
        <w:rPr>
          <w:rFonts w:eastAsia="Noto Serif CJK TC"/>
          <w:color w:val="1A202C"/>
        </w:rPr>
        <w:t>肆</w:t>
      </w:r>
      <w:r>
        <w:rPr>
          <w:rFonts w:eastAsia="Noto Serif CJK TC"/>
          <w:color w:val="1A202C"/>
        </w:rPr>
        <w:t>-</w:t>
      </w:r>
      <w:r>
        <w:rPr>
          <w:rFonts w:eastAsia="Noto Serif CJK TC"/>
          <w:color w:val="1A202C"/>
        </w:rPr>
        <w:t>一納入</w:t>
      </w:r>
      <w:r>
        <w:rPr>
          <w:rFonts w:eastAsia="Noto Serif CJK TC"/>
          <w:color w:val="1A202C"/>
        </w:rPr>
        <w:t xml:space="preserve"> Alon-Barkat </w:t>
      </w:r>
      <w:r>
        <w:rPr>
          <w:rFonts w:eastAsia="Noto Serif CJK TC"/>
          <w:color w:val="1A202C"/>
        </w:rPr>
        <w:t>與</w:t>
      </w:r>
      <w:r>
        <w:rPr>
          <w:rFonts w:eastAsia="Noto Serif CJK TC"/>
          <w:color w:val="1A202C"/>
        </w:rPr>
        <w:t xml:space="preserve"> </w:t>
      </w:r>
      <w:proofErr w:type="spellStart"/>
      <w:r>
        <w:rPr>
          <w:rFonts w:eastAsia="Noto Serif CJK TC"/>
          <w:color w:val="1A202C"/>
        </w:rPr>
        <w:t>Busuioc</w:t>
      </w:r>
      <w:proofErr w:type="spellEnd"/>
      <w:r>
        <w:rPr>
          <w:rFonts w:eastAsia="Noto Serif CJK TC"/>
          <w:color w:val="1A202C"/>
        </w:rPr>
        <w:t>（</w:t>
      </w:r>
      <w:r>
        <w:rPr>
          <w:rFonts w:eastAsia="Noto Serif CJK TC"/>
          <w:color w:val="1A202C"/>
        </w:rPr>
        <w:t>2023</w:t>
      </w:r>
      <w:r>
        <w:rPr>
          <w:rFonts w:eastAsia="Noto Serif CJK TC"/>
          <w:color w:val="1A202C"/>
        </w:rPr>
        <w:t>）「選擇性遵從」的發現，指出官員是否遵從建議可能取決於建議內容是否契合既有判斷傾向，而非建議來源本身；權威</w:t>
      </w:r>
      <w:proofErr w:type="gramStart"/>
      <w:r>
        <w:rPr>
          <w:rFonts w:eastAsia="Noto Serif CJK TC"/>
          <w:color w:val="1A202C"/>
        </w:rPr>
        <w:t>外部化</w:t>
      </w:r>
      <w:proofErr w:type="gramEnd"/>
      <w:r>
        <w:rPr>
          <w:rFonts w:eastAsia="Noto Serif CJK TC"/>
          <w:color w:val="1A202C"/>
        </w:rPr>
        <w:t>命題（</w:t>
      </w:r>
      <w:r>
        <w:rPr>
          <w:rFonts w:eastAsia="Noto Serif CJK TC"/>
          <w:color w:val="1A202C"/>
        </w:rPr>
        <w:t>P6</w:t>
      </w:r>
      <w:r>
        <w:rPr>
          <w:rFonts w:eastAsia="Noto Serif CJK TC"/>
          <w:color w:val="1A202C"/>
        </w:rPr>
        <w:t>）雖已參照</w:t>
      </w:r>
      <w:r>
        <w:rPr>
          <w:rFonts w:eastAsia="Noto Serif CJK TC"/>
          <w:color w:val="1A202C"/>
        </w:rPr>
        <w:t xml:space="preserve"> Cho</w:t>
      </w:r>
      <w:r>
        <w:rPr>
          <w:rFonts w:eastAsia="Noto Serif CJK TC"/>
          <w:color w:val="1A202C"/>
        </w:rPr>
        <w:t>、</w:t>
      </w:r>
      <w:r>
        <w:rPr>
          <w:rFonts w:eastAsia="Noto Serif CJK TC"/>
          <w:color w:val="1A202C"/>
        </w:rPr>
        <w:t xml:space="preserve">Fan </w:t>
      </w:r>
      <w:r>
        <w:rPr>
          <w:rFonts w:eastAsia="Noto Serif CJK TC"/>
          <w:color w:val="1A202C"/>
        </w:rPr>
        <w:t>與</w:t>
      </w:r>
      <w:r>
        <w:rPr>
          <w:rFonts w:eastAsia="Noto Serif CJK TC"/>
          <w:color w:val="1A202C"/>
        </w:rPr>
        <w:t xml:space="preserve"> Zheng</w:t>
      </w:r>
      <w:r>
        <w:rPr>
          <w:rFonts w:eastAsia="Noto Serif CJK TC"/>
          <w:color w:val="1A202C"/>
        </w:rPr>
        <w:t>（</w:t>
      </w:r>
      <w:r>
        <w:rPr>
          <w:rFonts w:eastAsia="Noto Serif CJK TC"/>
          <w:color w:val="1A202C"/>
        </w:rPr>
        <w:t>2026</w:t>
      </w:r>
      <w:r>
        <w:rPr>
          <w:rFonts w:eastAsia="Noto Serif CJK TC"/>
          <w:color w:val="1A202C"/>
        </w:rPr>
        <w:t>）對</w:t>
      </w:r>
      <w:r>
        <w:rPr>
          <w:rFonts w:eastAsia="Noto Serif CJK TC"/>
          <w:color w:val="1A202C"/>
        </w:rPr>
        <w:t xml:space="preserve"> AI </w:t>
      </w:r>
      <w:r>
        <w:rPr>
          <w:rFonts w:eastAsia="Noto Serif CJK TC"/>
          <w:color w:val="1A202C"/>
        </w:rPr>
        <w:t>行政意義取決於戰略控制、制度設計與第一線裁量交互作用之系統性論述，以及聯合國</w:t>
      </w:r>
      <w:r>
        <w:rPr>
          <w:rFonts w:eastAsia="Noto Serif CJK TC"/>
          <w:color w:val="1A202C"/>
        </w:rPr>
        <w:t xml:space="preserve"> CEPA </w:t>
      </w:r>
      <w:r>
        <w:rPr>
          <w:rFonts w:eastAsia="Noto Serif CJK TC"/>
          <w:color w:val="1A202C"/>
        </w:rPr>
        <w:t>就最高審計機關監督</w:t>
      </w:r>
      <w:r>
        <w:rPr>
          <w:rFonts w:eastAsia="Noto Serif CJK TC"/>
          <w:color w:val="1A202C"/>
        </w:rPr>
        <w:t xml:space="preserve"> AI </w:t>
      </w:r>
      <w:r>
        <w:rPr>
          <w:rFonts w:eastAsia="Noto Serif CJK TC"/>
          <w:color w:val="1A202C"/>
        </w:rPr>
        <w:t>系統之</w:t>
      </w:r>
      <w:r>
        <w:rPr>
          <w:rFonts w:eastAsia="Noto Serif CJK TC"/>
          <w:color w:val="1A202C"/>
        </w:rPr>
        <w:t xml:space="preserve"> human-in-the-loop</w:t>
      </w:r>
      <w:r>
        <w:rPr>
          <w:rFonts w:eastAsia="Noto Serif CJK TC"/>
          <w:color w:val="1A202C"/>
        </w:rPr>
        <w:t>／</w:t>
      </w:r>
      <w:r>
        <w:rPr>
          <w:rFonts w:eastAsia="Noto Serif CJK TC"/>
          <w:color w:val="1A202C"/>
        </w:rPr>
        <w:t xml:space="preserve">on-the-loop </w:t>
      </w:r>
      <w:r>
        <w:rPr>
          <w:rFonts w:eastAsia="Noto Serif CJK TC"/>
          <w:color w:val="1A202C"/>
        </w:rPr>
        <w:t>三分法，取得初步的國際理論對應，但這兩項來源本身分別是一篇</w:t>
      </w:r>
      <w:r>
        <w:rPr>
          <w:rFonts w:eastAsia="Noto Serif CJK TC"/>
          <w:color w:val="1A202C"/>
        </w:rPr>
        <w:t xml:space="preserve"> 2026 </w:t>
      </w:r>
      <w:r>
        <w:rPr>
          <w:rFonts w:eastAsia="Noto Serif CJK TC"/>
          <w:color w:val="1A202C"/>
        </w:rPr>
        <w:t>年新出版之期刊論文與一份聯合國專家意見文件，</w:t>
      </w:r>
      <w:proofErr w:type="gramStart"/>
      <w:r>
        <w:rPr>
          <w:rFonts w:eastAsia="Noto Serif CJK TC"/>
          <w:color w:val="1A202C"/>
        </w:rPr>
        <w:t>均非針</w:t>
      </w:r>
      <w:proofErr w:type="gramEnd"/>
      <w:r>
        <w:rPr>
          <w:rFonts w:eastAsia="Noto Serif CJK TC"/>
          <w:color w:val="1A202C"/>
        </w:rPr>
        <w:t>對</w:t>
      </w:r>
      <w:r>
        <w:rPr>
          <w:rFonts w:eastAsia="Noto Serif CJK TC"/>
          <w:color w:val="1A202C"/>
        </w:rPr>
        <w:t xml:space="preserve"> P6 </w:t>
      </w:r>
      <w:r>
        <w:rPr>
          <w:rFonts w:eastAsia="Noto Serif CJK TC"/>
          <w:color w:val="1A202C"/>
        </w:rPr>
        <w:t>命題設計之實證研究，本文對其之引用僅止於概念性的理論支持，尚不構成對</w:t>
      </w:r>
      <w:r>
        <w:rPr>
          <w:rFonts w:eastAsia="Noto Serif CJK TC"/>
          <w:color w:val="1A202C"/>
        </w:rPr>
        <w:t xml:space="preserve"> P6 </w:t>
      </w:r>
      <w:r>
        <w:rPr>
          <w:rFonts w:eastAsia="Noto Serif CJK TC"/>
          <w:color w:val="1A202C"/>
        </w:rPr>
        <w:t>之經驗檢證。</w:t>
      </w:r>
    </w:p>
    <w:p w:rsidR="0003266C" w:rsidRDefault="009E53B5">
      <w:pPr>
        <w:pStyle w:val="1"/>
        <w:spacing w:before="360" w:after="200" w:line="360" w:lineRule="auto"/>
      </w:pPr>
      <w:proofErr w:type="gramStart"/>
      <w:r>
        <w:rPr>
          <w:rFonts w:ascii="Noto Sans CJK TC" w:eastAsia="Noto Sans CJK TC" w:hAnsi="Noto Sans CJK TC" w:cs="Noto Sans CJK TC"/>
          <w:b/>
          <w:bCs/>
          <w:color w:val="1A365D"/>
        </w:rPr>
        <w:t>柒</w:t>
      </w:r>
      <w:proofErr w:type="gramEnd"/>
      <w:r>
        <w:rPr>
          <w:rFonts w:ascii="Noto Sans CJK TC" w:eastAsia="Noto Sans CJK TC" w:hAnsi="Noto Sans CJK TC" w:cs="Noto Sans CJK TC"/>
          <w:b/>
          <w:bCs/>
          <w:color w:val="1A365D"/>
        </w:rPr>
        <w:t>、結論</w:t>
      </w:r>
    </w:p>
    <w:p w:rsidR="0003266C" w:rsidRDefault="009E53B5">
      <w:pPr>
        <w:spacing w:after="180" w:line="340" w:lineRule="auto"/>
        <w:jc w:val="both"/>
      </w:pPr>
      <w:r>
        <w:rPr>
          <w:rFonts w:eastAsia="Noto Serif CJK TC"/>
          <w:color w:val="1A202C"/>
        </w:rPr>
        <w:t>回到本文開頭的提問：如果把</w:t>
      </w:r>
      <w:r>
        <w:rPr>
          <w:rFonts w:eastAsia="Noto Serif CJK TC"/>
          <w:color w:val="1A202C"/>
        </w:rPr>
        <w:t xml:space="preserve"> GDA </w:t>
      </w:r>
      <w:r>
        <w:rPr>
          <w:rFonts w:eastAsia="Noto Serif CJK TC"/>
          <w:color w:val="1A202C"/>
        </w:rPr>
        <w:t>模型放進目前國際</w:t>
      </w:r>
      <w:r>
        <w:rPr>
          <w:rFonts w:eastAsia="Noto Serif CJK TC"/>
          <w:color w:val="1A202C"/>
        </w:rPr>
        <w:t xml:space="preserve"> AI </w:t>
      </w:r>
      <w:r>
        <w:rPr>
          <w:rFonts w:eastAsia="Noto Serif CJK TC"/>
          <w:color w:val="1A202C"/>
        </w:rPr>
        <w:t>與公共行政理論的學術地圖，它究竟站在什麼位置？本文的分析顯示，</w:t>
      </w:r>
      <w:r>
        <w:rPr>
          <w:rFonts w:eastAsia="Noto Serif CJK TC"/>
          <w:color w:val="1A202C"/>
        </w:rPr>
        <w:t xml:space="preserve">GDA </w:t>
      </w:r>
      <w:r>
        <w:rPr>
          <w:rFonts w:eastAsia="Noto Serif CJK TC"/>
          <w:color w:val="1A202C"/>
        </w:rPr>
        <w:t>模型既不是既有六條研究路徑的重複，也不是憑空提</w:t>
      </w:r>
      <w:r>
        <w:rPr>
          <w:rFonts w:eastAsia="Noto Serif CJK TC"/>
          <w:color w:val="1A202C"/>
        </w:rPr>
        <w:lastRenderedPageBreak/>
        <w:t>出一套與既有文獻無關的新理論，而是嘗試把</w:t>
      </w:r>
      <w:r>
        <w:rPr>
          <w:rFonts w:eastAsia="Noto Serif CJK TC"/>
          <w:color w:val="1A202C"/>
        </w:rPr>
        <w:t xml:space="preserve"> Zhu</w:t>
      </w:r>
      <w:r>
        <w:rPr>
          <w:rFonts w:eastAsia="Noto Serif CJK TC"/>
          <w:color w:val="1A202C"/>
        </w:rPr>
        <w:t>（</w:t>
      </w:r>
      <w:r>
        <w:rPr>
          <w:rFonts w:eastAsia="Noto Serif CJK TC"/>
          <w:color w:val="1A202C"/>
        </w:rPr>
        <w:t>2026</w:t>
      </w:r>
      <w:r>
        <w:rPr>
          <w:rFonts w:eastAsia="Noto Serif CJK TC"/>
          <w:color w:val="1A202C"/>
        </w:rPr>
        <w:t>）</w:t>
      </w:r>
      <w:r>
        <w:rPr>
          <w:rFonts w:eastAsia="Noto Serif CJK TC"/>
          <w:color w:val="1A202C"/>
        </w:rPr>
        <w:t>with</w:t>
      </w:r>
      <w:r>
        <w:rPr>
          <w:rFonts w:eastAsia="Noto Serif CJK TC"/>
          <w:color w:val="1A202C"/>
        </w:rPr>
        <w:t>／</w:t>
      </w:r>
      <w:r>
        <w:rPr>
          <w:rFonts w:eastAsia="Noto Serif CJK TC"/>
          <w:color w:val="1A202C"/>
        </w:rPr>
        <w:t xml:space="preserve">of AI </w:t>
      </w:r>
      <w:r>
        <w:rPr>
          <w:rFonts w:eastAsia="Noto Serif CJK TC"/>
          <w:color w:val="1A202C"/>
        </w:rPr>
        <w:t>兩個實踐與</w:t>
      </w:r>
      <w:proofErr w:type="gramStart"/>
      <w:r>
        <w:rPr>
          <w:rFonts w:eastAsia="Noto Serif CJK TC"/>
          <w:color w:val="1A202C"/>
        </w:rPr>
        <w:t>規制維</w:t>
      </w:r>
      <w:proofErr w:type="gramEnd"/>
      <w:r>
        <w:rPr>
          <w:rFonts w:eastAsia="Noto Serif CJK TC"/>
          <w:color w:val="1A202C"/>
        </w:rPr>
        <w:t>度，以及宏觀</w:t>
      </w:r>
      <w:r>
        <w:rPr>
          <w:rFonts w:eastAsia="Noto Serif CJK TC"/>
          <w:color w:val="1A202C"/>
        </w:rPr>
        <w:t>—</w:t>
      </w:r>
      <w:r>
        <w:rPr>
          <w:rFonts w:eastAsia="Noto Serif CJK TC"/>
          <w:color w:val="1A202C"/>
        </w:rPr>
        <w:t>中觀</w:t>
      </w:r>
      <w:r>
        <w:rPr>
          <w:rFonts w:eastAsia="Noto Serif CJK TC"/>
          <w:color w:val="1A202C"/>
        </w:rPr>
        <w:t>—</w:t>
      </w:r>
      <w:r>
        <w:rPr>
          <w:rFonts w:eastAsia="Noto Serif CJK TC"/>
          <w:color w:val="1A202C"/>
        </w:rPr>
        <w:t>微觀架構中三層次「如何共同生成單一行政結果」的連動機制，透過</w:t>
      </w:r>
      <w:r>
        <w:rPr>
          <w:rFonts w:eastAsia="Noto Serif CJK TC"/>
          <w:color w:val="1A202C"/>
        </w:rPr>
        <w:t xml:space="preserve"> DAA</w:t>
      </w:r>
      <w:r>
        <w:rPr>
          <w:rFonts w:eastAsia="Noto Serif CJK TC"/>
          <w:color w:val="1A202C"/>
        </w:rPr>
        <w:t>、</w:t>
      </w:r>
      <w:proofErr w:type="gramStart"/>
      <w:r>
        <w:rPr>
          <w:rFonts w:eastAsia="Noto Serif CJK TC"/>
          <w:color w:val="1A202C"/>
        </w:rPr>
        <w:t>裁量</w:t>
      </w:r>
      <w:proofErr w:type="gramEnd"/>
      <w:r>
        <w:rPr>
          <w:rFonts w:eastAsia="Noto Serif CJK TC"/>
          <w:color w:val="1A202C"/>
        </w:rPr>
        <w:t>場、</w:t>
      </w:r>
      <w:r>
        <w:rPr>
          <w:rFonts w:eastAsia="Noto Serif CJK TC"/>
          <w:color w:val="1A202C"/>
        </w:rPr>
        <w:t xml:space="preserve">UCPR </w:t>
      </w:r>
      <w:proofErr w:type="gramStart"/>
      <w:r>
        <w:rPr>
          <w:rFonts w:eastAsia="Noto Serif CJK TC"/>
          <w:color w:val="1A202C"/>
        </w:rPr>
        <w:t>三個構</w:t>
      </w:r>
      <w:proofErr w:type="gramEnd"/>
      <w:r>
        <w:rPr>
          <w:rFonts w:eastAsia="Noto Serif CJK TC"/>
          <w:color w:val="1A202C"/>
        </w:rPr>
        <w:t>念具體操作化；</w:t>
      </w:r>
      <w:r>
        <w:rPr>
          <w:rFonts w:eastAsia="Noto Serif CJK TC"/>
          <w:color w:val="1A202C"/>
        </w:rPr>
        <w:t xml:space="preserve">through AI </w:t>
      </w:r>
      <w:r>
        <w:rPr>
          <w:rFonts w:eastAsia="Noto Serif CJK TC"/>
          <w:color w:val="1A202C"/>
        </w:rPr>
        <w:t>作為學科方法革新，則不是</w:t>
      </w:r>
      <w:r>
        <w:rPr>
          <w:rFonts w:eastAsia="Noto Serif CJK TC"/>
          <w:color w:val="1A202C"/>
        </w:rPr>
        <w:t xml:space="preserve"> GDA </w:t>
      </w:r>
      <w:r>
        <w:rPr>
          <w:rFonts w:eastAsia="Noto Serif CJK TC"/>
          <w:color w:val="1A202C"/>
        </w:rPr>
        <w:t>的分析對象。</w:t>
      </w:r>
    </w:p>
    <w:p w:rsidR="0003266C" w:rsidRDefault="009E53B5">
      <w:pPr>
        <w:spacing w:after="180" w:line="340" w:lineRule="auto"/>
        <w:jc w:val="both"/>
      </w:pPr>
      <w:r>
        <w:rPr>
          <w:rFonts w:eastAsia="Noto Serif CJK TC"/>
          <w:color w:val="1A202C"/>
        </w:rPr>
        <w:t>本文的主張應被理解為一項具有可檢驗性的理</w:t>
      </w:r>
      <w:r>
        <w:rPr>
          <w:rFonts w:eastAsia="Noto Serif CJK TC"/>
          <w:color w:val="1A202C"/>
        </w:rPr>
        <w:t>論定位，而非已完成的實證結論。若要把本文的論點收攏成最保守、也最容易被文獻支持的一句話：本文不主張</w:t>
      </w:r>
      <w:r>
        <w:rPr>
          <w:rFonts w:eastAsia="Noto Serif CJK TC"/>
          <w:color w:val="1A202C"/>
        </w:rPr>
        <w:t xml:space="preserve"> GDA </w:t>
      </w:r>
      <w:r>
        <w:rPr>
          <w:rFonts w:eastAsia="Noto Serif CJK TC"/>
          <w:color w:val="1A202C"/>
        </w:rPr>
        <w:t>模型已取代數位裁量、演算法治理、</w:t>
      </w:r>
      <w:r>
        <w:rPr>
          <w:rFonts w:eastAsia="Noto Serif CJK TC"/>
          <w:color w:val="1A202C"/>
        </w:rPr>
        <w:t xml:space="preserve">AI </w:t>
      </w:r>
      <w:proofErr w:type="gramStart"/>
      <w:r>
        <w:rPr>
          <w:rFonts w:eastAsia="Noto Serif CJK TC"/>
          <w:color w:val="1A202C"/>
        </w:rPr>
        <w:t>問責或</w:t>
      </w:r>
      <w:proofErr w:type="gramEnd"/>
      <w:r>
        <w:rPr>
          <w:rFonts w:eastAsia="Noto Serif CJK TC"/>
          <w:color w:val="1A202C"/>
        </w:rPr>
        <w:t>行政法等既有理論，也不主張生成、裁量與權威是此前未被討論的問題</w:t>
      </w:r>
      <w:r>
        <w:rPr>
          <w:rFonts w:eastAsia="Noto Serif CJK TC"/>
          <w:color w:val="1A202C"/>
        </w:rPr>
        <w:t>——</w:t>
      </w:r>
      <w:r>
        <w:rPr>
          <w:rFonts w:eastAsia="Noto Serif CJK TC"/>
          <w:color w:val="1A202C"/>
        </w:rPr>
        <w:t>這些既有研究已分別處理行政結果的技術中介、裁量移轉、責任配置與程序保障問題。本文較有限、但也更可檢驗的主張是：這些問題往往以不同的分析單位、不同的時間點與不同的規範語言被分別處理，而缺乏一套能夠重建行政結果形成過程的共同分析語言。</w:t>
      </w:r>
      <w:r>
        <w:rPr>
          <w:rFonts w:eastAsia="Noto Serif CJK TC"/>
          <w:color w:val="1A202C"/>
        </w:rPr>
        <w:t xml:space="preserve">DAA </w:t>
      </w:r>
      <w:r>
        <w:rPr>
          <w:rFonts w:eastAsia="Noto Serif CJK TC"/>
          <w:color w:val="1A202C"/>
        </w:rPr>
        <w:t>用以辨識行政結果的多重生成位置，</w:t>
      </w:r>
      <w:proofErr w:type="gramStart"/>
      <w:r>
        <w:rPr>
          <w:rFonts w:eastAsia="Noto Serif CJK TC"/>
          <w:color w:val="1A202C"/>
        </w:rPr>
        <w:t>裁量場用以</w:t>
      </w:r>
      <w:proofErr w:type="gramEnd"/>
      <w:r>
        <w:rPr>
          <w:rFonts w:eastAsia="Noto Serif CJK TC"/>
          <w:color w:val="1A202C"/>
        </w:rPr>
        <w:t>追蹤裁量在前置</w:t>
      </w:r>
      <w:r>
        <w:rPr>
          <w:rFonts w:eastAsia="Noto Serif CJK TC"/>
          <w:color w:val="1A202C"/>
        </w:rPr>
        <w:t>配置、模型轉譯、介面引導與人類覆核之間的重新配置，</w:t>
      </w:r>
      <w:r>
        <w:rPr>
          <w:rFonts w:eastAsia="Noto Serif CJK TC"/>
          <w:color w:val="1A202C"/>
        </w:rPr>
        <w:t xml:space="preserve">UCPR </w:t>
      </w:r>
      <w:r>
        <w:rPr>
          <w:rFonts w:eastAsia="Noto Serif CJK TC"/>
          <w:color w:val="1A202C"/>
        </w:rPr>
        <w:t>則用以判斷公共機關是否仍具備認知、決策修正</w:t>
      </w:r>
      <w:proofErr w:type="gramStart"/>
      <w:r>
        <w:rPr>
          <w:rFonts w:eastAsia="Noto Serif CJK TC"/>
          <w:color w:val="1A202C"/>
        </w:rPr>
        <w:t>與課</w:t>
      </w:r>
      <w:proofErr w:type="gramEnd"/>
      <w:r>
        <w:rPr>
          <w:rFonts w:eastAsia="Noto Serif CJK TC"/>
          <w:color w:val="1A202C"/>
        </w:rPr>
        <w:t>責承擔的實質能力。因此，</w:t>
      </w:r>
      <w:r>
        <w:rPr>
          <w:rFonts w:eastAsia="Noto Serif CJK TC"/>
          <w:color w:val="1A202C"/>
        </w:rPr>
        <w:t xml:space="preserve">GDA </w:t>
      </w:r>
      <w:r>
        <w:rPr>
          <w:rFonts w:eastAsia="Noto Serif CJK TC"/>
          <w:color w:val="1A202C"/>
        </w:rPr>
        <w:t>的理論貢獻不在於重新命名既有概念，而在於提出一條可被經驗研究檢驗的過程鏈：生成結構可能影響</w:t>
      </w:r>
      <w:proofErr w:type="gramStart"/>
      <w:r>
        <w:rPr>
          <w:rFonts w:eastAsia="Noto Serif CJK TC"/>
          <w:color w:val="1A202C"/>
        </w:rPr>
        <w:t>裁量場的</w:t>
      </w:r>
      <w:proofErr w:type="gramEnd"/>
      <w:r>
        <w:rPr>
          <w:rFonts w:eastAsia="Noto Serif CJK TC"/>
          <w:color w:val="1A202C"/>
        </w:rPr>
        <w:t>配置，</w:t>
      </w:r>
      <w:proofErr w:type="gramStart"/>
      <w:r>
        <w:rPr>
          <w:rFonts w:eastAsia="Noto Serif CJK TC"/>
          <w:color w:val="1A202C"/>
        </w:rPr>
        <w:t>裁量場</w:t>
      </w:r>
      <w:proofErr w:type="gramEnd"/>
      <w:r>
        <w:rPr>
          <w:rFonts w:eastAsia="Noto Serif CJK TC"/>
          <w:color w:val="1A202C"/>
        </w:rPr>
        <w:t>的配置可能進一步影響公共機關能否行使</w:t>
      </w:r>
      <w:r>
        <w:rPr>
          <w:rFonts w:eastAsia="Noto Serif CJK TC"/>
          <w:color w:val="1A202C"/>
        </w:rPr>
        <w:t xml:space="preserve"> UCPR</w:t>
      </w:r>
      <w:r>
        <w:rPr>
          <w:rFonts w:eastAsia="Noto Serif CJK TC"/>
          <w:color w:val="1A202C"/>
        </w:rPr>
        <w:t>。這</w:t>
      </w:r>
      <w:proofErr w:type="gramStart"/>
      <w:r>
        <w:rPr>
          <w:rFonts w:eastAsia="Noto Serif CJK TC"/>
          <w:color w:val="1A202C"/>
        </w:rPr>
        <w:t>條鏈目前</w:t>
      </w:r>
      <w:proofErr w:type="gramEnd"/>
      <w:r>
        <w:rPr>
          <w:rFonts w:eastAsia="Noto Serif CJK TC"/>
          <w:color w:val="1A202C"/>
        </w:rPr>
        <w:t>仍是肆</w:t>
      </w:r>
      <w:r>
        <w:rPr>
          <w:rFonts w:eastAsia="Noto Serif CJK TC"/>
          <w:color w:val="1A202C"/>
        </w:rPr>
        <w:t>-</w:t>
      </w:r>
      <w:r>
        <w:rPr>
          <w:rFonts w:eastAsia="Noto Serif CJK TC"/>
          <w:color w:val="1A202C"/>
        </w:rPr>
        <w:t>六</w:t>
      </w:r>
      <w:proofErr w:type="gramStart"/>
      <w:r>
        <w:rPr>
          <w:rFonts w:eastAsia="Noto Serif CJK TC"/>
          <w:color w:val="1A202C"/>
        </w:rPr>
        <w:t>至</w:t>
      </w:r>
      <w:proofErr w:type="gramEnd"/>
      <w:r>
        <w:rPr>
          <w:rFonts w:eastAsia="Noto Serif CJK TC"/>
          <w:color w:val="1A202C"/>
        </w:rPr>
        <w:t>肆</w:t>
      </w:r>
      <w:r>
        <w:rPr>
          <w:rFonts w:eastAsia="Noto Serif CJK TC"/>
          <w:color w:val="1A202C"/>
        </w:rPr>
        <w:t>-</w:t>
      </w:r>
      <w:r>
        <w:rPr>
          <w:rFonts w:eastAsia="Noto Serif CJK TC"/>
          <w:color w:val="1A202C"/>
        </w:rPr>
        <w:t>八所列的六條理論命題（</w:t>
      </w:r>
      <w:r>
        <w:rPr>
          <w:rFonts w:eastAsia="Noto Serif CJK TC"/>
          <w:color w:val="1A202C"/>
        </w:rPr>
        <w:t>P1–P6</w:t>
      </w:r>
      <w:r>
        <w:rPr>
          <w:rFonts w:eastAsia="Noto Serif CJK TC"/>
          <w:color w:val="1A202C"/>
        </w:rPr>
        <w:t>），而非已獲得跨案例驗證的普遍因果關係；其獨立解釋力，須由後續個案研究、跨制度比較與法律文本審計加以確認。</w:t>
      </w:r>
    </w:p>
    <w:p w:rsidR="0003266C" w:rsidRDefault="009E53B5">
      <w:pPr>
        <w:pBdr>
          <w:left w:val="single" w:sz="12" w:space="8" w:color="2C5282"/>
        </w:pBdr>
        <w:spacing w:before="100" w:after="180" w:line="340" w:lineRule="auto"/>
        <w:ind w:left="400"/>
      </w:pPr>
      <w:r>
        <w:rPr>
          <w:rFonts w:eastAsia="Noto Serif CJK TC"/>
          <w:i/>
          <w:iCs/>
          <w:color w:val="2C5282"/>
        </w:rPr>
        <w:t xml:space="preserve">GDA </w:t>
      </w:r>
      <w:r>
        <w:rPr>
          <w:rFonts w:eastAsia="Noto Serif CJK TC"/>
          <w:i/>
          <w:iCs/>
          <w:color w:val="2C5282"/>
        </w:rPr>
        <w:t>模型並不是另一個</w:t>
      </w:r>
      <w:r>
        <w:rPr>
          <w:rFonts w:eastAsia="Noto Serif CJK TC"/>
          <w:i/>
          <w:iCs/>
          <w:color w:val="2C5282"/>
        </w:rPr>
        <w:t xml:space="preserve"> AI governanc</w:t>
      </w:r>
      <w:r>
        <w:rPr>
          <w:rFonts w:eastAsia="Noto Serif CJK TC"/>
          <w:i/>
          <w:iCs/>
          <w:color w:val="2C5282"/>
        </w:rPr>
        <w:t>e framework</w:t>
      </w:r>
      <w:r>
        <w:rPr>
          <w:rFonts w:eastAsia="Noto Serif CJK TC"/>
          <w:i/>
          <w:iCs/>
          <w:color w:val="2C5282"/>
        </w:rPr>
        <w:t>，而是一個試圖連結「行政結果如何生成」、「裁量如何配置」與「公共權威如何維持」的中層理論架構。</w:t>
      </w:r>
    </w:p>
    <w:p w:rsidR="0003266C" w:rsidRDefault="009E53B5">
      <w:pPr>
        <w:spacing w:after="180" w:line="340" w:lineRule="auto"/>
        <w:jc w:val="both"/>
      </w:pPr>
      <w:r>
        <w:rPr>
          <w:rFonts w:eastAsia="Noto Serif CJK TC"/>
          <w:color w:val="1A202C"/>
        </w:rPr>
        <w:t>這個定位同時也劃出了本系列後續研究的優先順序：既然</w:t>
      </w:r>
      <w:r>
        <w:rPr>
          <w:rFonts w:eastAsia="Noto Serif CJK TC"/>
          <w:color w:val="1A202C"/>
        </w:rPr>
        <w:t xml:space="preserve"> GDA </w:t>
      </w:r>
      <w:r>
        <w:rPr>
          <w:rFonts w:eastAsia="Noto Serif CJK TC"/>
          <w:color w:val="1A202C"/>
        </w:rPr>
        <w:t>模型相對於既有文獻的比較優勢在於「生成</w:t>
      </w:r>
      <w:proofErr w:type="gramStart"/>
      <w:r>
        <w:rPr>
          <w:rFonts w:eastAsia="Noto Serif CJK TC"/>
          <w:color w:val="1A202C"/>
        </w:rPr>
        <w:t>—</w:t>
      </w:r>
      <w:proofErr w:type="gramEnd"/>
      <w:r>
        <w:rPr>
          <w:rFonts w:eastAsia="Noto Serif CJK TC"/>
          <w:color w:val="1A202C"/>
        </w:rPr>
        <w:t>裁量</w:t>
      </w:r>
      <w:r>
        <w:rPr>
          <w:rFonts w:eastAsia="Noto Serif CJK TC"/>
          <w:color w:val="1A202C"/>
        </w:rPr>
        <w:t>—</w:t>
      </w:r>
      <w:r>
        <w:rPr>
          <w:rFonts w:eastAsia="Noto Serif CJK TC"/>
          <w:color w:val="1A202C"/>
        </w:rPr>
        <w:t>權威」的因果連動，而其相對弱點在於缺乏實證檢驗與制度文本審計，那麼</w:t>
      </w:r>
      <w:r>
        <w:rPr>
          <w:rFonts w:eastAsia="Noto Serif CJK TC"/>
          <w:color w:val="1A202C"/>
        </w:rPr>
        <w:t xml:space="preserve"> 031 </w:t>
      </w:r>
      <w:r>
        <w:rPr>
          <w:rFonts w:eastAsia="Noto Serif CJK TC"/>
          <w:color w:val="1A202C"/>
        </w:rPr>
        <w:t>的個案檢視應優先</w:t>
      </w:r>
      <w:proofErr w:type="gramStart"/>
      <w:r>
        <w:rPr>
          <w:rFonts w:eastAsia="Noto Serif CJK TC"/>
          <w:color w:val="1A202C"/>
        </w:rPr>
        <w:t>驗證肆章提</w:t>
      </w:r>
      <w:proofErr w:type="gramEnd"/>
      <w:r>
        <w:rPr>
          <w:rFonts w:eastAsia="Noto Serif CJK TC"/>
          <w:color w:val="1A202C"/>
        </w:rPr>
        <w:t>出的</w:t>
      </w:r>
      <w:r>
        <w:rPr>
          <w:rFonts w:eastAsia="Noto Serif CJK TC"/>
          <w:color w:val="1A202C"/>
        </w:rPr>
        <w:t xml:space="preserve"> P1</w:t>
      </w:r>
      <w:r>
        <w:rPr>
          <w:rFonts w:eastAsia="Noto Serif CJK TC"/>
          <w:color w:val="1A202C"/>
        </w:rPr>
        <w:t>、</w:t>
      </w:r>
      <w:r>
        <w:rPr>
          <w:rFonts w:eastAsia="Noto Serif CJK TC"/>
          <w:color w:val="1A202C"/>
        </w:rPr>
        <w:t>P2</w:t>
      </w:r>
      <w:r>
        <w:rPr>
          <w:rFonts w:eastAsia="Noto Serif CJK TC"/>
          <w:color w:val="1A202C"/>
        </w:rPr>
        <w:t>、</w:t>
      </w:r>
      <w:r>
        <w:rPr>
          <w:rFonts w:eastAsia="Noto Serif CJK TC"/>
          <w:color w:val="1A202C"/>
        </w:rPr>
        <w:t xml:space="preserve">P5 </w:t>
      </w:r>
      <w:r>
        <w:rPr>
          <w:rFonts w:eastAsia="Noto Serif CJK TC"/>
          <w:color w:val="1A202C"/>
        </w:rPr>
        <w:t>命題，並實際套用生成構成與裁量節點的交叉矩陣，觀察人類覆核節點究竟是抗拒委託、選擇性遵從，還是自動化</w:t>
      </w:r>
      <w:proofErr w:type="gramStart"/>
      <w:r>
        <w:rPr>
          <w:rFonts w:eastAsia="Noto Serif CJK TC"/>
          <w:color w:val="1A202C"/>
        </w:rPr>
        <w:t>偏誤</w:t>
      </w:r>
      <w:proofErr w:type="gramEnd"/>
      <w:r>
        <w:rPr>
          <w:rFonts w:eastAsia="Noto Serif CJK TC"/>
          <w:color w:val="1A202C"/>
        </w:rPr>
        <w:t>式順服，或三者在同一流程前後段並存；</w:t>
      </w:r>
      <w:r>
        <w:rPr>
          <w:rFonts w:eastAsia="Noto Serif CJK TC"/>
          <w:color w:val="1A202C"/>
        </w:rPr>
        <w:t xml:space="preserve">034 </w:t>
      </w:r>
      <w:r>
        <w:rPr>
          <w:rFonts w:eastAsia="Noto Serif CJK TC"/>
          <w:color w:val="1A202C"/>
        </w:rPr>
        <w:t>的法律文本審計</w:t>
      </w:r>
      <w:r>
        <w:rPr>
          <w:rFonts w:eastAsia="Noto Serif CJK TC"/>
          <w:color w:val="1A202C"/>
        </w:rPr>
        <w:t>應優先驗證</w:t>
      </w:r>
      <w:r>
        <w:rPr>
          <w:rFonts w:eastAsia="Noto Serif CJK TC"/>
          <w:color w:val="1A202C"/>
        </w:rPr>
        <w:t xml:space="preserve"> P3</w:t>
      </w:r>
      <w:r>
        <w:rPr>
          <w:rFonts w:eastAsia="Noto Serif CJK TC"/>
          <w:color w:val="1A202C"/>
        </w:rPr>
        <w:t>、</w:t>
      </w:r>
      <w:r>
        <w:rPr>
          <w:rFonts w:eastAsia="Noto Serif CJK TC"/>
          <w:color w:val="1A202C"/>
        </w:rPr>
        <w:t xml:space="preserve">P4 </w:t>
      </w:r>
      <w:r>
        <w:rPr>
          <w:rFonts w:eastAsia="Noto Serif CJK TC"/>
          <w:color w:val="1A202C"/>
        </w:rPr>
        <w:t>命題，不宜再從「戰略關鍵性」類比出發，而應詢問法條是否分別規定認知、決策、</w:t>
      </w:r>
      <w:proofErr w:type="gramStart"/>
      <w:r>
        <w:rPr>
          <w:rFonts w:eastAsia="Noto Serif CJK TC"/>
          <w:color w:val="1A202C"/>
        </w:rPr>
        <w:t>課責三種</w:t>
      </w:r>
      <w:proofErr w:type="gramEnd"/>
      <w:r>
        <w:rPr>
          <w:rFonts w:eastAsia="Noto Serif CJK TC"/>
          <w:color w:val="1A202C"/>
        </w:rPr>
        <w:t>事中能力；</w:t>
      </w:r>
      <w:r>
        <w:rPr>
          <w:rFonts w:eastAsia="Noto Serif CJK TC"/>
          <w:color w:val="1A202C"/>
        </w:rPr>
        <w:t xml:space="preserve">035 </w:t>
      </w:r>
      <w:r>
        <w:rPr>
          <w:rFonts w:eastAsia="Noto Serif CJK TC"/>
          <w:color w:val="1A202C"/>
        </w:rPr>
        <w:t>對規範轉換判</w:t>
      </w:r>
      <w:proofErr w:type="gramStart"/>
      <w:r>
        <w:rPr>
          <w:rFonts w:eastAsia="Noto Serif CJK TC"/>
          <w:color w:val="1A202C"/>
        </w:rPr>
        <w:t>準</w:t>
      </w:r>
      <w:proofErr w:type="gramEnd"/>
      <w:r>
        <w:rPr>
          <w:rFonts w:eastAsia="Noto Serif CJK TC"/>
          <w:color w:val="1A202C"/>
        </w:rPr>
        <w:t>的操作化，則須把「名目事中機制與實質事中能力可能脫鉤」寫成可觀察指標，並可直接沿用肆</w:t>
      </w:r>
      <w:r>
        <w:rPr>
          <w:rFonts w:eastAsia="Noto Serif CJK TC"/>
          <w:color w:val="1A202C"/>
        </w:rPr>
        <w:t>-</w:t>
      </w:r>
      <w:r>
        <w:rPr>
          <w:rFonts w:eastAsia="Noto Serif CJK TC"/>
          <w:color w:val="1A202C"/>
        </w:rPr>
        <w:t>八的操作化表作為起點。</w:t>
      </w:r>
      <w:r>
        <w:rPr>
          <w:rFonts w:eastAsia="Noto Serif CJK TC"/>
          <w:color w:val="1A202C"/>
        </w:rPr>
        <w:t xml:space="preserve">P6 </w:t>
      </w:r>
      <w:r>
        <w:rPr>
          <w:rFonts w:eastAsia="Noto Serif CJK TC"/>
          <w:color w:val="1A202C"/>
        </w:rPr>
        <w:t>權威</w:t>
      </w:r>
      <w:proofErr w:type="gramStart"/>
      <w:r>
        <w:rPr>
          <w:rFonts w:eastAsia="Noto Serif CJK TC"/>
          <w:color w:val="1A202C"/>
        </w:rPr>
        <w:t>外部化</w:t>
      </w:r>
      <w:proofErr w:type="gramEnd"/>
      <w:r>
        <w:rPr>
          <w:rFonts w:eastAsia="Noto Serif CJK TC"/>
          <w:color w:val="1A202C"/>
        </w:rPr>
        <w:t>命題則是一條整合性命題，其驗證有賴</w:t>
      </w:r>
      <w:r>
        <w:rPr>
          <w:rFonts w:eastAsia="Noto Serif CJK TC"/>
          <w:color w:val="1A202C"/>
        </w:rPr>
        <w:t xml:space="preserve"> 031</w:t>
      </w:r>
      <w:r>
        <w:rPr>
          <w:rFonts w:eastAsia="Noto Serif CJK TC"/>
          <w:color w:val="1A202C"/>
        </w:rPr>
        <w:t>、</w:t>
      </w:r>
      <w:r>
        <w:rPr>
          <w:rFonts w:eastAsia="Noto Serif CJK TC"/>
          <w:color w:val="1A202C"/>
        </w:rPr>
        <w:t>034</w:t>
      </w:r>
      <w:r>
        <w:rPr>
          <w:rFonts w:eastAsia="Noto Serif CJK TC"/>
          <w:color w:val="1A202C"/>
        </w:rPr>
        <w:t>、</w:t>
      </w:r>
      <w:r>
        <w:rPr>
          <w:rFonts w:eastAsia="Noto Serif CJK TC"/>
          <w:color w:val="1A202C"/>
        </w:rPr>
        <w:t xml:space="preserve">035 </w:t>
      </w:r>
      <w:r>
        <w:rPr>
          <w:rFonts w:eastAsia="Noto Serif CJK TC"/>
          <w:color w:val="1A202C"/>
        </w:rPr>
        <w:t>三篇的發現彼此參照，而非任一篇單獨完成</w:t>
      </w:r>
      <w:r>
        <w:rPr>
          <w:rFonts w:eastAsia="Noto Serif CJK TC"/>
          <w:color w:val="1A202C"/>
        </w:rPr>
        <w:t>——</w:t>
      </w:r>
      <w:r>
        <w:rPr>
          <w:rFonts w:eastAsia="Noto Serif CJK TC"/>
          <w:color w:val="1A202C"/>
        </w:rPr>
        <w:t>這正是同系列</w:t>
      </w:r>
      <w:r>
        <w:rPr>
          <w:rFonts w:eastAsia="Noto Serif CJK TC"/>
          <w:color w:val="1A202C"/>
        </w:rPr>
        <w:t xml:space="preserve"> 033</w:t>
      </w:r>
      <w:r>
        <w:rPr>
          <w:rFonts w:eastAsia="Noto Serif CJK TC"/>
          <w:color w:val="1A202C"/>
        </w:rPr>
        <w:t>〈人工智慧時代公共行政研究議程〉將本文六條</w:t>
      </w:r>
      <w:proofErr w:type="gramStart"/>
      <w:r>
        <w:rPr>
          <w:rFonts w:eastAsia="Noto Serif CJK TC"/>
          <w:color w:val="1A202C"/>
        </w:rPr>
        <w:t>命題與</w:t>
      </w:r>
      <w:proofErr w:type="gramEnd"/>
      <w:r>
        <w:rPr>
          <w:rFonts w:eastAsia="Noto Serif CJK TC"/>
          <w:color w:val="1A202C"/>
        </w:rPr>
        <w:t>肆</w:t>
      </w:r>
      <w:r>
        <w:rPr>
          <w:rFonts w:eastAsia="Noto Serif CJK TC"/>
          <w:color w:val="1A202C"/>
        </w:rPr>
        <w:t>-</w:t>
      </w:r>
      <w:r>
        <w:rPr>
          <w:rFonts w:eastAsia="Noto Serif CJK TC"/>
          <w:color w:val="1A202C"/>
        </w:rPr>
        <w:t>九之五個研究問題轉化為問題</w:t>
      </w:r>
      <w:r>
        <w:rPr>
          <w:rFonts w:eastAsia="Noto Serif CJK TC"/>
          <w:color w:val="1A202C"/>
        </w:rPr>
        <w:t>—</w:t>
      </w:r>
      <w:r>
        <w:rPr>
          <w:rFonts w:eastAsia="Noto Serif CJK TC"/>
          <w:color w:val="1A202C"/>
        </w:rPr>
        <w:t>方法配對地圖時，所要處理的整合工作。四者都是驗證</w:t>
      </w:r>
      <w:r>
        <w:rPr>
          <w:rFonts w:eastAsia="Noto Serif CJK TC"/>
          <w:color w:val="1A202C"/>
        </w:rPr>
        <w:t>與強化這個理論定位、而非重複本文論證的必要後續步驟。</w:t>
      </w:r>
    </w:p>
    <w:p w:rsidR="0003266C" w:rsidRDefault="009E53B5">
      <w:pPr>
        <w:pStyle w:val="1"/>
        <w:spacing w:before="360" w:after="200" w:line="360" w:lineRule="auto"/>
      </w:pPr>
      <w:r>
        <w:rPr>
          <w:rFonts w:ascii="Noto Sans CJK TC" w:eastAsia="Noto Sans CJK TC" w:hAnsi="Noto Sans CJK TC" w:cs="Noto Sans CJK TC"/>
          <w:b/>
          <w:bCs/>
          <w:color w:val="1A365D"/>
        </w:rPr>
        <w:t>參考文獻</w:t>
      </w:r>
    </w:p>
    <w:p w:rsidR="0003266C" w:rsidRDefault="009E53B5">
      <w:pPr>
        <w:spacing w:after="180" w:line="340" w:lineRule="auto"/>
        <w:jc w:val="both"/>
      </w:pPr>
      <w:r>
        <w:rPr>
          <w:rFonts w:eastAsia="Noto Serif CJK TC"/>
          <w:color w:val="1A202C"/>
          <w:sz w:val="20"/>
          <w:szCs w:val="20"/>
        </w:rPr>
        <w:t xml:space="preserve">Afzal, M., &amp; </w:t>
      </w:r>
      <w:proofErr w:type="spellStart"/>
      <w:r>
        <w:rPr>
          <w:rFonts w:eastAsia="Noto Serif CJK TC"/>
          <w:color w:val="1A202C"/>
          <w:sz w:val="20"/>
          <w:szCs w:val="20"/>
        </w:rPr>
        <w:t>Panagiotopoulos</w:t>
      </w:r>
      <w:proofErr w:type="spellEnd"/>
      <w:r>
        <w:rPr>
          <w:rFonts w:eastAsia="Noto Serif CJK TC"/>
          <w:color w:val="1A202C"/>
          <w:sz w:val="20"/>
          <w:szCs w:val="20"/>
        </w:rPr>
        <w:t xml:space="preserve">, P. (2025). How public officials perceive algorithmic discretion: A study of </w:t>
      </w:r>
      <w:r>
        <w:rPr>
          <w:rFonts w:eastAsia="Noto Serif CJK TC"/>
          <w:color w:val="1A202C"/>
          <w:sz w:val="20"/>
          <w:szCs w:val="20"/>
        </w:rPr>
        <w:lastRenderedPageBreak/>
        <w:t>status quo bias in policing. Public Administration Review, 85(5), 1385</w:t>
      </w:r>
      <w:proofErr w:type="gramStart"/>
      <w:r>
        <w:rPr>
          <w:rFonts w:eastAsia="Noto Serif CJK TC"/>
          <w:color w:val="1A202C"/>
          <w:sz w:val="20"/>
          <w:szCs w:val="20"/>
        </w:rPr>
        <w:t>–</w:t>
      </w:r>
      <w:proofErr w:type="gramEnd"/>
      <w:r>
        <w:rPr>
          <w:rFonts w:eastAsia="Noto Serif CJK TC"/>
          <w:color w:val="1A202C"/>
          <w:sz w:val="20"/>
          <w:szCs w:val="20"/>
        </w:rPr>
        <w:t>1397. https://doi.org/10.1111/puar.13957</w:t>
      </w:r>
      <w:proofErr w:type="gramStart"/>
      <w:r>
        <w:rPr>
          <w:rFonts w:eastAsia="Noto Serif CJK TC"/>
          <w:color w:val="1A202C"/>
          <w:sz w:val="20"/>
          <w:szCs w:val="20"/>
        </w:rPr>
        <w:t>〔</w:t>
      </w:r>
      <w:proofErr w:type="gramEnd"/>
      <w:r>
        <w:rPr>
          <w:rFonts w:eastAsia="Noto Serif CJK TC"/>
          <w:color w:val="1A202C"/>
          <w:sz w:val="20"/>
          <w:szCs w:val="20"/>
        </w:rPr>
        <w:t>原為早期線上</w:t>
      </w:r>
      <w:r>
        <w:rPr>
          <w:rFonts w:eastAsia="Noto Serif CJK TC"/>
          <w:color w:val="1A202C"/>
          <w:sz w:val="20"/>
          <w:szCs w:val="20"/>
        </w:rPr>
        <w:t>版，現已更新為正式卷期頁碼；發現方向為抗拒委託</w:t>
      </w:r>
      <w:proofErr w:type="gramStart"/>
      <w:r>
        <w:rPr>
          <w:rFonts w:eastAsia="Noto Serif CJK TC"/>
          <w:color w:val="1A202C"/>
          <w:sz w:val="20"/>
          <w:szCs w:val="20"/>
        </w:rPr>
        <w:t>裁量予演算法</w:t>
      </w:r>
      <w:proofErr w:type="gramEnd"/>
      <w:r>
        <w:rPr>
          <w:rFonts w:eastAsia="Noto Serif CJK TC"/>
          <w:color w:val="1A202C"/>
          <w:sz w:val="20"/>
          <w:szCs w:val="20"/>
        </w:rPr>
        <w:t>，而非接受系統預設建議，本文已據此修正先前引用。〕</w:t>
      </w:r>
    </w:p>
    <w:p w:rsidR="0003266C" w:rsidRDefault="009E53B5">
      <w:pPr>
        <w:spacing w:after="180" w:line="340" w:lineRule="auto"/>
        <w:jc w:val="both"/>
      </w:pPr>
      <w:r>
        <w:rPr>
          <w:rFonts w:eastAsia="Noto Serif CJK TC"/>
          <w:color w:val="1A202C"/>
          <w:sz w:val="20"/>
          <w:szCs w:val="20"/>
        </w:rPr>
        <w:t xml:space="preserve">Alon-Barkat, S., &amp; </w:t>
      </w:r>
      <w:proofErr w:type="spellStart"/>
      <w:r>
        <w:rPr>
          <w:rFonts w:eastAsia="Noto Serif CJK TC"/>
          <w:color w:val="1A202C"/>
          <w:sz w:val="20"/>
          <w:szCs w:val="20"/>
        </w:rPr>
        <w:t>Busuioc</w:t>
      </w:r>
      <w:proofErr w:type="spellEnd"/>
      <w:r>
        <w:rPr>
          <w:rFonts w:eastAsia="Noto Serif CJK TC"/>
          <w:color w:val="1A202C"/>
          <w:sz w:val="20"/>
          <w:szCs w:val="20"/>
        </w:rPr>
        <w:t>, M. (2023). Human–AI interactions in public sector decision making: "Automation bias" and "selective adherence" to algorithmic advice. Journal of Public Administration Resear</w:t>
      </w:r>
      <w:r>
        <w:rPr>
          <w:rFonts w:eastAsia="Noto Serif CJK TC"/>
          <w:color w:val="1A202C"/>
          <w:sz w:val="20"/>
          <w:szCs w:val="20"/>
        </w:rPr>
        <w:t>ch and Theory, 33(1), 153–169.</w:t>
      </w:r>
    </w:p>
    <w:p w:rsidR="0003266C" w:rsidRDefault="009E53B5">
      <w:pPr>
        <w:spacing w:after="180" w:line="340" w:lineRule="auto"/>
        <w:jc w:val="both"/>
      </w:pPr>
      <w:proofErr w:type="spellStart"/>
      <w:r>
        <w:rPr>
          <w:rFonts w:eastAsia="Noto Serif CJK TC"/>
          <w:color w:val="1A202C"/>
          <w:sz w:val="20"/>
          <w:szCs w:val="20"/>
        </w:rPr>
        <w:t>Bovens</w:t>
      </w:r>
      <w:proofErr w:type="spellEnd"/>
      <w:r>
        <w:rPr>
          <w:rFonts w:eastAsia="Noto Serif CJK TC"/>
          <w:color w:val="1A202C"/>
          <w:sz w:val="20"/>
          <w:szCs w:val="20"/>
        </w:rPr>
        <w:t xml:space="preserve">, M., &amp; </w:t>
      </w:r>
      <w:proofErr w:type="spellStart"/>
      <w:r>
        <w:rPr>
          <w:rFonts w:eastAsia="Noto Serif CJK TC"/>
          <w:color w:val="1A202C"/>
          <w:sz w:val="20"/>
          <w:szCs w:val="20"/>
        </w:rPr>
        <w:t>Zouridis</w:t>
      </w:r>
      <w:proofErr w:type="spellEnd"/>
      <w:r>
        <w:rPr>
          <w:rFonts w:eastAsia="Noto Serif CJK TC"/>
          <w:color w:val="1A202C"/>
          <w:sz w:val="20"/>
          <w:szCs w:val="20"/>
        </w:rPr>
        <w:t>, S. (2002). From street-level to system-level bureaucracies: How information and communication technology is transforming administrative discretion and constitutional control. Public Administration Revi</w:t>
      </w:r>
      <w:r>
        <w:rPr>
          <w:rFonts w:eastAsia="Noto Serif CJK TC"/>
          <w:color w:val="1A202C"/>
          <w:sz w:val="20"/>
          <w:szCs w:val="20"/>
        </w:rPr>
        <w:t>ew, 62(2), 174–184.</w:t>
      </w:r>
    </w:p>
    <w:p w:rsidR="0003266C" w:rsidRDefault="009E53B5">
      <w:pPr>
        <w:spacing w:after="180" w:line="340" w:lineRule="auto"/>
        <w:jc w:val="both"/>
      </w:pPr>
      <w:proofErr w:type="spellStart"/>
      <w:r>
        <w:rPr>
          <w:rFonts w:eastAsia="Noto Serif CJK TC"/>
          <w:color w:val="1A202C"/>
          <w:sz w:val="20"/>
          <w:szCs w:val="20"/>
        </w:rPr>
        <w:t>Busuioc</w:t>
      </w:r>
      <w:proofErr w:type="spellEnd"/>
      <w:r>
        <w:rPr>
          <w:rFonts w:eastAsia="Noto Serif CJK TC"/>
          <w:color w:val="1A202C"/>
          <w:sz w:val="20"/>
          <w:szCs w:val="20"/>
        </w:rPr>
        <w:t>, M. (2021). Accountable artificial intelligence: Holding algorithms to account. Public Administration Review, 81(5), 825–836.</w:t>
      </w:r>
    </w:p>
    <w:p w:rsidR="0003266C" w:rsidRDefault="009E53B5">
      <w:pPr>
        <w:spacing w:after="180" w:line="340" w:lineRule="auto"/>
        <w:jc w:val="both"/>
      </w:pPr>
      <w:r>
        <w:rPr>
          <w:rFonts w:eastAsia="Noto Serif CJK TC"/>
          <w:color w:val="1A202C"/>
          <w:sz w:val="20"/>
          <w:szCs w:val="20"/>
        </w:rPr>
        <w:t>Cho, W., Fan, Z., &amp; Zheng, Y. (2026). Artificial intelligence across the public administration system:</w:t>
      </w:r>
      <w:r>
        <w:rPr>
          <w:rFonts w:eastAsia="Noto Serif CJK TC"/>
          <w:color w:val="1A202C"/>
          <w:sz w:val="20"/>
          <w:szCs w:val="20"/>
        </w:rPr>
        <w:t xml:space="preserve"> Public values, institutions, and bureaucrats in the algorithmic age. Global Public Policy and Governance, 6(2), 103</w:t>
      </w:r>
      <w:proofErr w:type="gramStart"/>
      <w:r>
        <w:rPr>
          <w:rFonts w:eastAsia="Noto Serif CJK TC"/>
          <w:color w:val="1A202C"/>
          <w:sz w:val="20"/>
          <w:szCs w:val="20"/>
        </w:rPr>
        <w:t>–</w:t>
      </w:r>
      <w:proofErr w:type="gramEnd"/>
      <w:r>
        <w:rPr>
          <w:rFonts w:eastAsia="Noto Serif CJK TC"/>
          <w:color w:val="1A202C"/>
          <w:sz w:val="20"/>
          <w:szCs w:val="20"/>
        </w:rPr>
        <w:t>123. https://doi.org/10.1007/s43508-026-00151-1</w:t>
      </w:r>
      <w:proofErr w:type="gramStart"/>
      <w:r>
        <w:rPr>
          <w:rFonts w:eastAsia="Noto Serif CJK TC"/>
          <w:color w:val="1A202C"/>
          <w:sz w:val="20"/>
          <w:szCs w:val="20"/>
        </w:rPr>
        <w:t>〔</w:t>
      </w:r>
      <w:proofErr w:type="gramEnd"/>
      <w:r>
        <w:rPr>
          <w:rFonts w:eastAsia="Noto Serif CJK TC"/>
          <w:color w:val="1A202C"/>
          <w:sz w:val="20"/>
          <w:szCs w:val="20"/>
        </w:rPr>
        <w:t>本文僅引用其「</w:t>
      </w:r>
      <w:r>
        <w:rPr>
          <w:rFonts w:eastAsia="Noto Serif CJK TC"/>
          <w:color w:val="1A202C"/>
          <w:sz w:val="20"/>
          <w:szCs w:val="20"/>
        </w:rPr>
        <w:t xml:space="preserve">AI </w:t>
      </w:r>
      <w:r>
        <w:rPr>
          <w:rFonts w:eastAsia="Noto Serif CJK TC"/>
          <w:color w:val="1A202C"/>
          <w:sz w:val="20"/>
          <w:szCs w:val="20"/>
        </w:rPr>
        <w:t>的行政意義取決於戰略控制、公共目的、制度設計、官僚接受度、組織執行與第一線裁量之交互作用」之系統性論述，作為</w:t>
      </w:r>
      <w:r>
        <w:rPr>
          <w:rFonts w:eastAsia="Noto Serif CJK TC"/>
          <w:color w:val="1A202C"/>
          <w:sz w:val="20"/>
          <w:szCs w:val="20"/>
        </w:rPr>
        <w:t xml:space="preserve"> P6 </w:t>
      </w:r>
      <w:r>
        <w:rPr>
          <w:rFonts w:eastAsia="Noto Serif CJK TC"/>
          <w:color w:val="1A202C"/>
          <w:sz w:val="20"/>
          <w:szCs w:val="20"/>
        </w:rPr>
        <w:t>權威外部化命題的概念性理論支持，非對</w:t>
      </w:r>
      <w:r>
        <w:rPr>
          <w:rFonts w:eastAsia="Noto Serif CJK TC"/>
          <w:color w:val="1A202C"/>
          <w:sz w:val="20"/>
          <w:szCs w:val="20"/>
        </w:rPr>
        <w:t xml:space="preserve"> P6 </w:t>
      </w:r>
      <w:r>
        <w:rPr>
          <w:rFonts w:eastAsia="Noto Serif CJK TC"/>
          <w:color w:val="1A202C"/>
          <w:sz w:val="20"/>
          <w:szCs w:val="20"/>
        </w:rPr>
        <w:t>之</w:t>
      </w:r>
      <w:r>
        <w:rPr>
          <w:rFonts w:eastAsia="Noto Serif CJK TC"/>
          <w:color w:val="1A202C"/>
          <w:sz w:val="20"/>
          <w:szCs w:val="20"/>
        </w:rPr>
        <w:t>經驗檢證。〕</w:t>
      </w:r>
    </w:p>
    <w:p w:rsidR="0003266C" w:rsidRDefault="009E53B5">
      <w:pPr>
        <w:spacing w:after="180" w:line="340" w:lineRule="auto"/>
        <w:jc w:val="both"/>
      </w:pPr>
      <w:r>
        <w:rPr>
          <w:rFonts w:eastAsia="Noto Serif CJK TC"/>
          <w:color w:val="1A202C"/>
          <w:sz w:val="20"/>
          <w:szCs w:val="20"/>
        </w:rPr>
        <w:t>Citron, D. K. (2008). Technological due process. Washington University Law Review, 85(6), 1249–1313.</w:t>
      </w:r>
    </w:p>
    <w:p w:rsidR="0003266C" w:rsidRDefault="009E53B5">
      <w:pPr>
        <w:spacing w:after="180" w:line="340" w:lineRule="auto"/>
        <w:jc w:val="both"/>
      </w:pPr>
      <w:proofErr w:type="spellStart"/>
      <w:r>
        <w:rPr>
          <w:rFonts w:eastAsia="Noto Serif CJK TC"/>
          <w:color w:val="1A202C"/>
          <w:sz w:val="20"/>
          <w:szCs w:val="20"/>
        </w:rPr>
        <w:t>Criado</w:t>
      </w:r>
      <w:proofErr w:type="spellEnd"/>
      <w:r>
        <w:rPr>
          <w:rFonts w:eastAsia="Noto Serif CJK TC"/>
          <w:color w:val="1A202C"/>
          <w:sz w:val="20"/>
          <w:szCs w:val="20"/>
        </w:rPr>
        <w:t>, J. I., Sandoval-</w:t>
      </w:r>
      <w:proofErr w:type="spellStart"/>
      <w:r>
        <w:rPr>
          <w:rFonts w:eastAsia="Noto Serif CJK TC"/>
          <w:color w:val="1A202C"/>
          <w:sz w:val="20"/>
          <w:szCs w:val="20"/>
        </w:rPr>
        <w:t>Almazán</w:t>
      </w:r>
      <w:proofErr w:type="spellEnd"/>
      <w:r>
        <w:rPr>
          <w:rFonts w:eastAsia="Noto Serif CJK TC"/>
          <w:color w:val="1A202C"/>
          <w:sz w:val="20"/>
          <w:szCs w:val="20"/>
        </w:rPr>
        <w:t>, R., &amp; Gil-Garcia, J. R. (2025). Artificial intelligence and public administration: Understanding actors, governance</w:t>
      </w:r>
      <w:r>
        <w:rPr>
          <w:rFonts w:eastAsia="Noto Serif CJK TC"/>
          <w:color w:val="1A202C"/>
          <w:sz w:val="20"/>
          <w:szCs w:val="20"/>
        </w:rPr>
        <w:t>, and policy from micro, meso, and macro perspectives. Public Policy and Administration, 40(2), 173–184. https://doi.org/10.1177/09520767241272921</w:t>
      </w:r>
    </w:p>
    <w:p w:rsidR="0003266C" w:rsidRDefault="009E53B5">
      <w:pPr>
        <w:spacing w:after="180" w:line="340" w:lineRule="auto"/>
        <w:jc w:val="both"/>
      </w:pPr>
      <w:r>
        <w:rPr>
          <w:rFonts w:eastAsia="Noto Serif CJK TC"/>
          <w:color w:val="1A202C"/>
          <w:sz w:val="20"/>
          <w:szCs w:val="20"/>
        </w:rPr>
        <w:t xml:space="preserve">Danaher, J. (2016). The threat of </w:t>
      </w:r>
      <w:proofErr w:type="spellStart"/>
      <w:r>
        <w:rPr>
          <w:rFonts w:eastAsia="Noto Serif CJK TC"/>
          <w:color w:val="1A202C"/>
          <w:sz w:val="20"/>
          <w:szCs w:val="20"/>
        </w:rPr>
        <w:t>algocracy</w:t>
      </w:r>
      <w:proofErr w:type="spellEnd"/>
      <w:r>
        <w:rPr>
          <w:rFonts w:eastAsia="Noto Serif CJK TC"/>
          <w:color w:val="1A202C"/>
          <w:sz w:val="20"/>
          <w:szCs w:val="20"/>
        </w:rPr>
        <w:t xml:space="preserve">: Reality, resistance and accommodation. Philosophy &amp; Technology, </w:t>
      </w:r>
      <w:r>
        <w:rPr>
          <w:rFonts w:eastAsia="Noto Serif CJK TC"/>
          <w:color w:val="1A202C"/>
          <w:sz w:val="20"/>
          <w:szCs w:val="20"/>
        </w:rPr>
        <w:t>29(3), 245–268.</w:t>
      </w:r>
    </w:p>
    <w:p w:rsidR="0003266C" w:rsidRDefault="009E53B5">
      <w:pPr>
        <w:spacing w:after="180" w:line="340" w:lineRule="auto"/>
        <w:jc w:val="both"/>
      </w:pPr>
      <w:r>
        <w:rPr>
          <w:rFonts w:eastAsia="Noto Serif CJK TC"/>
          <w:color w:val="1A202C"/>
          <w:sz w:val="20"/>
          <w:szCs w:val="20"/>
        </w:rPr>
        <w:t>Langer, C. (2024). Decision-making power and responsibility in an automated administration. Discover Artificial Intelligence, 4, Article 59.</w:t>
      </w:r>
    </w:p>
    <w:p w:rsidR="0003266C" w:rsidRDefault="009E53B5">
      <w:pPr>
        <w:spacing w:after="180" w:line="340" w:lineRule="auto"/>
        <w:jc w:val="both"/>
      </w:pPr>
      <w:proofErr w:type="spellStart"/>
      <w:r>
        <w:rPr>
          <w:rFonts w:eastAsia="Noto Serif CJK TC"/>
          <w:color w:val="1A202C"/>
          <w:sz w:val="20"/>
          <w:szCs w:val="20"/>
        </w:rPr>
        <w:t>Rekunenko</w:t>
      </w:r>
      <w:proofErr w:type="spellEnd"/>
      <w:r>
        <w:rPr>
          <w:rFonts w:eastAsia="Noto Serif CJK TC"/>
          <w:color w:val="1A202C"/>
          <w:sz w:val="20"/>
          <w:szCs w:val="20"/>
        </w:rPr>
        <w:t xml:space="preserve">, I., </w:t>
      </w:r>
      <w:proofErr w:type="spellStart"/>
      <w:r>
        <w:rPr>
          <w:rFonts w:eastAsia="Noto Serif CJK TC"/>
          <w:color w:val="1A202C"/>
          <w:sz w:val="20"/>
          <w:szCs w:val="20"/>
        </w:rPr>
        <w:t>Kobushko</w:t>
      </w:r>
      <w:proofErr w:type="spellEnd"/>
      <w:r>
        <w:rPr>
          <w:rFonts w:eastAsia="Noto Serif CJK TC"/>
          <w:color w:val="1A202C"/>
          <w:sz w:val="20"/>
          <w:szCs w:val="20"/>
        </w:rPr>
        <w:t xml:space="preserve">, I., </w:t>
      </w:r>
      <w:proofErr w:type="spellStart"/>
      <w:r>
        <w:rPr>
          <w:rFonts w:eastAsia="Noto Serif CJK TC"/>
          <w:color w:val="1A202C"/>
          <w:sz w:val="20"/>
          <w:szCs w:val="20"/>
        </w:rPr>
        <w:t>Dzydzyguri</w:t>
      </w:r>
      <w:proofErr w:type="spellEnd"/>
      <w:r>
        <w:rPr>
          <w:rFonts w:eastAsia="Noto Serif CJK TC"/>
          <w:color w:val="1A202C"/>
          <w:sz w:val="20"/>
          <w:szCs w:val="20"/>
        </w:rPr>
        <w:t xml:space="preserve">, O., </w:t>
      </w:r>
      <w:proofErr w:type="spellStart"/>
      <w:r>
        <w:rPr>
          <w:rFonts w:eastAsia="Noto Serif CJK TC"/>
          <w:color w:val="1A202C"/>
          <w:sz w:val="20"/>
          <w:szCs w:val="20"/>
        </w:rPr>
        <w:t>Balahurovska</w:t>
      </w:r>
      <w:proofErr w:type="spellEnd"/>
      <w:r>
        <w:rPr>
          <w:rFonts w:eastAsia="Noto Serif CJK TC"/>
          <w:color w:val="1A202C"/>
          <w:sz w:val="20"/>
          <w:szCs w:val="20"/>
        </w:rPr>
        <w:t xml:space="preserve">, I., </w:t>
      </w:r>
      <w:proofErr w:type="spellStart"/>
      <w:r>
        <w:rPr>
          <w:rFonts w:eastAsia="Noto Serif CJK TC"/>
          <w:color w:val="1A202C"/>
          <w:sz w:val="20"/>
          <w:szCs w:val="20"/>
        </w:rPr>
        <w:t>Yurynets</w:t>
      </w:r>
      <w:proofErr w:type="spellEnd"/>
      <w:r>
        <w:rPr>
          <w:rFonts w:eastAsia="Noto Serif CJK TC"/>
          <w:color w:val="1A202C"/>
          <w:sz w:val="20"/>
          <w:szCs w:val="20"/>
        </w:rPr>
        <w:t xml:space="preserve">, O., &amp; </w:t>
      </w:r>
      <w:proofErr w:type="spellStart"/>
      <w:r>
        <w:rPr>
          <w:rFonts w:eastAsia="Noto Serif CJK TC"/>
          <w:color w:val="1A202C"/>
          <w:sz w:val="20"/>
          <w:szCs w:val="20"/>
        </w:rPr>
        <w:t>Zhuk</w:t>
      </w:r>
      <w:proofErr w:type="spellEnd"/>
      <w:r>
        <w:rPr>
          <w:rFonts w:eastAsia="Noto Serif CJK TC"/>
          <w:color w:val="1A202C"/>
          <w:sz w:val="20"/>
          <w:szCs w:val="20"/>
        </w:rPr>
        <w:t>, O. (2025). The</w:t>
      </w:r>
      <w:r>
        <w:rPr>
          <w:rFonts w:eastAsia="Noto Serif CJK TC"/>
          <w:color w:val="1A202C"/>
          <w:sz w:val="20"/>
          <w:szCs w:val="20"/>
        </w:rPr>
        <w:t xml:space="preserve"> use of artificial intelligence in public administration: Bibliometric analysis. Problems and Perspectives in Management, 23(1), 209–224.</w:t>
      </w:r>
    </w:p>
    <w:p w:rsidR="0003266C" w:rsidRDefault="009E53B5">
      <w:pPr>
        <w:spacing w:after="180" w:line="340" w:lineRule="auto"/>
        <w:jc w:val="both"/>
      </w:pPr>
      <w:r>
        <w:rPr>
          <w:rFonts w:eastAsia="Noto Serif CJK TC"/>
          <w:color w:val="1A202C"/>
          <w:sz w:val="20"/>
          <w:szCs w:val="20"/>
        </w:rPr>
        <w:t>United Nations, Economic and Social Council, Committee of Experts on Public Administration. (2025). Ensuring transpare</w:t>
      </w:r>
      <w:r>
        <w:rPr>
          <w:rFonts w:eastAsia="Noto Serif CJK TC"/>
          <w:color w:val="1A202C"/>
          <w:sz w:val="20"/>
          <w:szCs w:val="20"/>
        </w:rPr>
        <w:t xml:space="preserve">ncy and accountability of artificial intelligence systems in public administration (E/C.16/2025/4). Paper prepared by P. </w:t>
      </w:r>
      <w:proofErr w:type="spellStart"/>
      <w:r>
        <w:rPr>
          <w:rFonts w:eastAsia="Noto Serif CJK TC"/>
          <w:color w:val="1A202C"/>
          <w:sz w:val="20"/>
          <w:szCs w:val="20"/>
        </w:rPr>
        <w:t>Arriagada</w:t>
      </w:r>
      <w:proofErr w:type="spellEnd"/>
      <w:r>
        <w:rPr>
          <w:rFonts w:eastAsia="Noto Serif CJK TC"/>
          <w:color w:val="1A202C"/>
          <w:sz w:val="20"/>
          <w:szCs w:val="20"/>
        </w:rPr>
        <w:t xml:space="preserve"> </w:t>
      </w:r>
      <w:proofErr w:type="spellStart"/>
      <w:r>
        <w:rPr>
          <w:rFonts w:eastAsia="Noto Serif CJK TC"/>
          <w:color w:val="1A202C"/>
          <w:sz w:val="20"/>
          <w:szCs w:val="20"/>
        </w:rPr>
        <w:t>Villouta</w:t>
      </w:r>
      <w:proofErr w:type="spellEnd"/>
      <w:r>
        <w:rPr>
          <w:rFonts w:eastAsia="Noto Serif CJK TC"/>
          <w:color w:val="1A202C"/>
          <w:sz w:val="20"/>
          <w:szCs w:val="20"/>
        </w:rPr>
        <w:t xml:space="preserve">, C. </w:t>
      </w:r>
      <w:proofErr w:type="spellStart"/>
      <w:r>
        <w:rPr>
          <w:rFonts w:eastAsia="Noto Serif CJK TC"/>
          <w:color w:val="1A202C"/>
          <w:sz w:val="20"/>
          <w:szCs w:val="20"/>
        </w:rPr>
        <w:t>Santiso</w:t>
      </w:r>
      <w:proofErr w:type="spellEnd"/>
      <w:r>
        <w:rPr>
          <w:rFonts w:eastAsia="Noto Serif CJK TC"/>
          <w:color w:val="1A202C"/>
          <w:sz w:val="20"/>
          <w:szCs w:val="20"/>
        </w:rPr>
        <w:t xml:space="preserve">, A. </w:t>
      </w:r>
      <w:proofErr w:type="spellStart"/>
      <w:r>
        <w:rPr>
          <w:rFonts w:eastAsia="Noto Serif CJK TC"/>
          <w:color w:val="1A202C"/>
          <w:sz w:val="20"/>
          <w:szCs w:val="20"/>
        </w:rPr>
        <w:t>Kosherbayeva</w:t>
      </w:r>
      <w:proofErr w:type="spellEnd"/>
      <w:r>
        <w:rPr>
          <w:rFonts w:eastAsia="Noto Serif CJK TC"/>
          <w:color w:val="1A202C"/>
          <w:sz w:val="20"/>
          <w:szCs w:val="20"/>
        </w:rPr>
        <w:t xml:space="preserve">, S. </w:t>
      </w:r>
      <w:proofErr w:type="spellStart"/>
      <w:r>
        <w:rPr>
          <w:rFonts w:eastAsia="Noto Serif CJK TC"/>
          <w:color w:val="1A202C"/>
          <w:sz w:val="20"/>
          <w:szCs w:val="20"/>
        </w:rPr>
        <w:t>Sherif</w:t>
      </w:r>
      <w:proofErr w:type="spellEnd"/>
      <w:r>
        <w:rPr>
          <w:rFonts w:eastAsia="Noto Serif CJK TC"/>
          <w:color w:val="1A202C"/>
          <w:sz w:val="20"/>
          <w:szCs w:val="20"/>
        </w:rPr>
        <w:t xml:space="preserve">, &amp; N. </w:t>
      </w:r>
      <w:proofErr w:type="spellStart"/>
      <w:r>
        <w:rPr>
          <w:rFonts w:eastAsia="Noto Serif CJK TC"/>
          <w:color w:val="1A202C"/>
          <w:sz w:val="20"/>
          <w:szCs w:val="20"/>
        </w:rPr>
        <w:t>Zarrouk</w:t>
      </w:r>
      <w:proofErr w:type="spellEnd"/>
      <w:r>
        <w:rPr>
          <w:rFonts w:eastAsia="Noto Serif CJK TC"/>
          <w:color w:val="1A202C"/>
          <w:sz w:val="20"/>
          <w:szCs w:val="20"/>
        </w:rPr>
        <w:t xml:space="preserve"> for the Committee’s twenty-fourth session, 7–11 April 2025. ht</w:t>
      </w:r>
      <w:r>
        <w:rPr>
          <w:rFonts w:eastAsia="Noto Serif CJK TC"/>
          <w:color w:val="1A202C"/>
          <w:sz w:val="20"/>
          <w:szCs w:val="20"/>
        </w:rPr>
        <w:t>tps://publicadministration.desa.un.org/sites/default/files/cepa-sessions/25-00114%20ATT%20CEPA%20expert%20paper%20digital%20govt_final_15Jan2025-REV_clean.pdf</w:t>
      </w:r>
      <w:proofErr w:type="gramStart"/>
      <w:r>
        <w:rPr>
          <w:rFonts w:eastAsia="Noto Serif CJK TC"/>
          <w:color w:val="1A202C"/>
          <w:sz w:val="20"/>
          <w:szCs w:val="20"/>
        </w:rPr>
        <w:t>〔</w:t>
      </w:r>
      <w:proofErr w:type="gramEnd"/>
      <w:r>
        <w:rPr>
          <w:rFonts w:eastAsia="Noto Serif CJK TC"/>
          <w:color w:val="1A202C"/>
          <w:sz w:val="20"/>
          <w:szCs w:val="20"/>
        </w:rPr>
        <w:t>本文僅引用第</w:t>
      </w:r>
      <w:r>
        <w:rPr>
          <w:rFonts w:eastAsia="Noto Serif CJK TC"/>
          <w:color w:val="1A202C"/>
          <w:sz w:val="20"/>
          <w:szCs w:val="20"/>
        </w:rPr>
        <w:t>63</w:t>
      </w:r>
      <w:r>
        <w:rPr>
          <w:rFonts w:eastAsia="Noto Serif CJK TC"/>
          <w:color w:val="1A202C"/>
          <w:sz w:val="20"/>
          <w:szCs w:val="20"/>
        </w:rPr>
        <w:t>段關於最高審計機關（</w:t>
      </w:r>
      <w:r>
        <w:rPr>
          <w:rFonts w:eastAsia="Noto Serif CJK TC"/>
          <w:color w:val="1A202C"/>
          <w:sz w:val="20"/>
          <w:szCs w:val="20"/>
        </w:rPr>
        <w:t>Supreme Audit Institutions</w:t>
      </w:r>
      <w:r>
        <w:rPr>
          <w:rFonts w:eastAsia="Noto Serif CJK TC"/>
          <w:color w:val="1A202C"/>
          <w:sz w:val="20"/>
          <w:szCs w:val="20"/>
        </w:rPr>
        <w:t>）監督</w:t>
      </w:r>
      <w:r>
        <w:rPr>
          <w:rFonts w:eastAsia="Noto Serif CJK TC"/>
          <w:color w:val="1A202C"/>
          <w:sz w:val="20"/>
          <w:szCs w:val="20"/>
        </w:rPr>
        <w:t xml:space="preserve"> AI </w:t>
      </w:r>
      <w:r>
        <w:rPr>
          <w:rFonts w:eastAsia="Noto Serif CJK TC"/>
          <w:color w:val="1A202C"/>
          <w:sz w:val="20"/>
          <w:szCs w:val="20"/>
        </w:rPr>
        <w:t>系統之</w:t>
      </w:r>
      <w:r>
        <w:rPr>
          <w:rFonts w:eastAsia="Noto Serif CJK TC"/>
          <w:color w:val="1A202C"/>
          <w:sz w:val="20"/>
          <w:szCs w:val="20"/>
        </w:rPr>
        <w:t xml:space="preserve"> human-in-the-loop</w:t>
      </w:r>
      <w:r>
        <w:rPr>
          <w:rFonts w:eastAsia="Noto Serif CJK TC"/>
          <w:color w:val="1A202C"/>
          <w:sz w:val="20"/>
          <w:szCs w:val="20"/>
        </w:rPr>
        <w:t>／</w:t>
      </w:r>
      <w:r>
        <w:rPr>
          <w:rFonts w:eastAsia="Noto Serif CJK TC"/>
          <w:color w:val="1A202C"/>
          <w:sz w:val="20"/>
          <w:szCs w:val="20"/>
        </w:rPr>
        <w:t>on-the-loop</w:t>
      </w:r>
      <w:r>
        <w:rPr>
          <w:rFonts w:eastAsia="Noto Serif CJK TC"/>
          <w:color w:val="1A202C"/>
          <w:sz w:val="20"/>
          <w:szCs w:val="20"/>
        </w:rPr>
        <w:t>／</w:t>
      </w:r>
      <w:r>
        <w:rPr>
          <w:rFonts w:eastAsia="Noto Serif CJK TC"/>
          <w:color w:val="1A202C"/>
          <w:sz w:val="20"/>
          <w:szCs w:val="20"/>
        </w:rPr>
        <w:t>out-of-the-l</w:t>
      </w:r>
      <w:r>
        <w:rPr>
          <w:rFonts w:eastAsia="Noto Serif CJK TC"/>
          <w:color w:val="1A202C"/>
          <w:sz w:val="20"/>
          <w:szCs w:val="20"/>
        </w:rPr>
        <w:t xml:space="preserve">oop </w:t>
      </w:r>
      <w:r>
        <w:rPr>
          <w:rFonts w:eastAsia="Noto Serif CJK TC"/>
          <w:color w:val="1A202C"/>
          <w:sz w:val="20"/>
          <w:szCs w:val="20"/>
        </w:rPr>
        <w:t>三分法討論，作為</w:t>
      </w:r>
      <w:r>
        <w:rPr>
          <w:rFonts w:eastAsia="Noto Serif CJK TC"/>
          <w:color w:val="1A202C"/>
          <w:sz w:val="20"/>
          <w:szCs w:val="20"/>
        </w:rPr>
        <w:t xml:space="preserve"> P5</w:t>
      </w:r>
      <w:r>
        <w:rPr>
          <w:rFonts w:eastAsia="Noto Serif CJK TC"/>
          <w:color w:val="1A202C"/>
          <w:sz w:val="20"/>
          <w:szCs w:val="20"/>
        </w:rPr>
        <w:t>、</w:t>
      </w:r>
      <w:r>
        <w:rPr>
          <w:rFonts w:eastAsia="Noto Serif CJK TC"/>
          <w:color w:val="1A202C"/>
          <w:sz w:val="20"/>
          <w:szCs w:val="20"/>
        </w:rPr>
        <w:t xml:space="preserve">P6 </w:t>
      </w:r>
      <w:r>
        <w:rPr>
          <w:rFonts w:eastAsia="Noto Serif CJK TC"/>
          <w:color w:val="1A202C"/>
          <w:sz w:val="20"/>
          <w:szCs w:val="20"/>
        </w:rPr>
        <w:t>命題之概念性參照，非引用全文對數位政府治</w:t>
      </w:r>
      <w:r>
        <w:rPr>
          <w:rFonts w:eastAsia="Noto Serif CJK TC"/>
          <w:color w:val="1A202C"/>
          <w:sz w:val="20"/>
          <w:szCs w:val="20"/>
        </w:rPr>
        <w:lastRenderedPageBreak/>
        <w:t>理之整體建議。〕</w:t>
      </w:r>
    </w:p>
    <w:p w:rsidR="0003266C" w:rsidRDefault="009E53B5">
      <w:pPr>
        <w:spacing w:after="180" w:line="340" w:lineRule="auto"/>
        <w:jc w:val="both"/>
      </w:pPr>
      <w:r>
        <w:rPr>
          <w:rFonts w:eastAsia="Noto Serif CJK TC"/>
          <w:color w:val="1A202C"/>
          <w:sz w:val="20"/>
          <w:szCs w:val="20"/>
        </w:rPr>
        <w:t>盧建旭（作者前作，未出版工作稿，未公開發表）。</w:t>
      </w:r>
      <w:r>
        <w:rPr>
          <w:rFonts w:eastAsia="Noto Serif CJK TC"/>
          <w:color w:val="1A202C"/>
          <w:sz w:val="20"/>
          <w:szCs w:val="20"/>
        </w:rPr>
        <w:t>027</w:t>
      </w:r>
      <w:r>
        <w:rPr>
          <w:rFonts w:eastAsia="Noto Serif CJK TC"/>
          <w:color w:val="1A202C"/>
          <w:sz w:val="20"/>
          <w:szCs w:val="20"/>
        </w:rPr>
        <w:t>〈誰在行政行動〉、</w:t>
      </w:r>
      <w:r>
        <w:rPr>
          <w:rFonts w:eastAsia="Noto Serif CJK TC"/>
          <w:color w:val="1A202C"/>
          <w:sz w:val="20"/>
          <w:szCs w:val="20"/>
        </w:rPr>
        <w:t>028</w:t>
      </w:r>
      <w:r>
        <w:rPr>
          <w:rFonts w:eastAsia="Noto Serif CJK TC"/>
          <w:color w:val="1A202C"/>
          <w:sz w:val="20"/>
          <w:szCs w:val="20"/>
        </w:rPr>
        <w:t>〈裁量何在〉、</w:t>
      </w:r>
      <w:r>
        <w:rPr>
          <w:rFonts w:eastAsia="Noto Serif CJK TC"/>
          <w:color w:val="1A202C"/>
          <w:sz w:val="20"/>
          <w:szCs w:val="20"/>
        </w:rPr>
        <w:t>029</w:t>
      </w:r>
      <w:r>
        <w:rPr>
          <w:rFonts w:eastAsia="Noto Serif CJK TC"/>
          <w:color w:val="1A202C"/>
          <w:sz w:val="20"/>
          <w:szCs w:val="20"/>
        </w:rPr>
        <w:t>〈不可外包的行政〉、</w:t>
      </w:r>
      <w:r>
        <w:rPr>
          <w:rFonts w:eastAsia="Noto Serif CJK TC"/>
          <w:color w:val="1A202C"/>
          <w:sz w:val="20"/>
          <w:szCs w:val="20"/>
        </w:rPr>
        <w:t>030</w:t>
      </w:r>
      <w:r>
        <w:rPr>
          <w:rFonts w:eastAsia="Noto Serif CJK TC"/>
          <w:color w:val="1A202C"/>
          <w:sz w:val="20"/>
          <w:szCs w:val="20"/>
        </w:rPr>
        <w:t>〈人工智慧時代公共行政之「生成</w:t>
      </w:r>
      <w:r>
        <w:rPr>
          <w:rFonts w:eastAsia="Noto Serif CJK TC"/>
          <w:color w:val="1A202C"/>
          <w:sz w:val="20"/>
          <w:szCs w:val="20"/>
        </w:rPr>
        <w:t>—</w:t>
      </w:r>
      <w:r>
        <w:rPr>
          <w:rFonts w:eastAsia="Noto Serif CJK TC"/>
          <w:color w:val="1A202C"/>
          <w:sz w:val="20"/>
          <w:szCs w:val="20"/>
        </w:rPr>
        <w:t>裁量</w:t>
      </w:r>
      <w:r>
        <w:rPr>
          <w:rFonts w:eastAsia="Noto Serif CJK TC"/>
          <w:color w:val="1A202C"/>
          <w:sz w:val="20"/>
          <w:szCs w:val="20"/>
        </w:rPr>
        <w:t>—</w:t>
      </w:r>
      <w:r>
        <w:rPr>
          <w:rFonts w:eastAsia="Noto Serif CJK TC"/>
          <w:color w:val="1A202C"/>
          <w:sz w:val="20"/>
          <w:szCs w:val="20"/>
        </w:rPr>
        <w:t>權威」理論架構〉。</w:t>
      </w:r>
    </w:p>
    <w:p w:rsidR="0003266C" w:rsidRDefault="009E53B5">
      <w:pPr>
        <w:spacing w:after="180" w:line="340" w:lineRule="auto"/>
        <w:jc w:val="both"/>
      </w:pPr>
      <w:r>
        <w:rPr>
          <w:rFonts w:eastAsia="Noto Serif CJK TC"/>
          <w:color w:val="1A202C"/>
          <w:sz w:val="20"/>
          <w:szCs w:val="20"/>
        </w:rPr>
        <w:t>Zhu, X. (2026). Public administration with, of, and through AI: Toward a new paradigm in the era of intelligence. Jour</w:t>
      </w:r>
      <w:r>
        <w:rPr>
          <w:rFonts w:eastAsia="Noto Serif CJK TC"/>
          <w:color w:val="1A202C"/>
          <w:sz w:val="20"/>
          <w:szCs w:val="20"/>
        </w:rPr>
        <w:t>nal of Chinese Governance, 11(1), 30</w:t>
      </w:r>
      <w:proofErr w:type="gramStart"/>
      <w:r>
        <w:rPr>
          <w:rFonts w:eastAsia="Noto Serif CJK TC"/>
          <w:color w:val="1A202C"/>
          <w:sz w:val="20"/>
          <w:szCs w:val="20"/>
        </w:rPr>
        <w:t>–</w:t>
      </w:r>
      <w:proofErr w:type="gramEnd"/>
      <w:r>
        <w:rPr>
          <w:rFonts w:eastAsia="Noto Serif CJK TC"/>
          <w:color w:val="1A202C"/>
          <w:sz w:val="20"/>
          <w:szCs w:val="20"/>
        </w:rPr>
        <w:t>57. https://doi.org/10.1080/23812346.2025.2578589</w:t>
      </w:r>
      <w:proofErr w:type="gramStart"/>
      <w:r>
        <w:rPr>
          <w:rFonts w:eastAsia="Noto Serif CJK TC"/>
          <w:color w:val="1A202C"/>
          <w:sz w:val="20"/>
          <w:szCs w:val="20"/>
        </w:rPr>
        <w:t>〔</w:t>
      </w:r>
      <w:proofErr w:type="gramEnd"/>
      <w:r>
        <w:rPr>
          <w:rFonts w:eastAsia="Noto Serif CJK TC"/>
          <w:color w:val="1A202C"/>
          <w:sz w:val="20"/>
          <w:szCs w:val="20"/>
        </w:rPr>
        <w:t>2025</w:t>
      </w:r>
      <w:r>
        <w:rPr>
          <w:rFonts w:eastAsia="Noto Serif CJK TC"/>
          <w:color w:val="1A202C"/>
          <w:sz w:val="20"/>
          <w:szCs w:val="20"/>
        </w:rPr>
        <w:t>年線上優先出版；</w:t>
      </w:r>
      <w:r>
        <w:rPr>
          <w:rFonts w:eastAsia="Noto Serif CJK TC"/>
          <w:color w:val="1A202C"/>
          <w:sz w:val="20"/>
          <w:szCs w:val="20"/>
        </w:rPr>
        <w:t>Open Access</w:t>
      </w:r>
      <w:r>
        <w:rPr>
          <w:rFonts w:eastAsia="Noto Serif CJK TC"/>
          <w:color w:val="1A202C"/>
          <w:sz w:val="20"/>
          <w:szCs w:val="20"/>
        </w:rPr>
        <w:t>。本文先前版本因平台存取限制僅能依標題與摘要進行推論，現已依可查證之摘要與相關二手來源，更正先前對「</w:t>
      </w:r>
      <w:r>
        <w:rPr>
          <w:rFonts w:eastAsia="Noto Serif CJK TC"/>
          <w:color w:val="1A202C"/>
          <w:sz w:val="20"/>
          <w:szCs w:val="20"/>
        </w:rPr>
        <w:t>through AI</w:t>
      </w:r>
      <w:r>
        <w:rPr>
          <w:rFonts w:eastAsia="Noto Serif CJK TC"/>
          <w:color w:val="1A202C"/>
          <w:sz w:val="20"/>
          <w:szCs w:val="20"/>
        </w:rPr>
        <w:t>」的誤讀，但仍未能逐段核對全文論證細節，見貳</w:t>
      </w:r>
      <w:r>
        <w:rPr>
          <w:rFonts w:eastAsia="Noto Serif CJK TC"/>
          <w:color w:val="1A202C"/>
          <w:sz w:val="20"/>
          <w:szCs w:val="20"/>
        </w:rPr>
        <w:t>-</w:t>
      </w:r>
      <w:proofErr w:type="gramStart"/>
      <w:r>
        <w:rPr>
          <w:rFonts w:eastAsia="Noto Serif CJK TC"/>
          <w:color w:val="1A202C"/>
          <w:sz w:val="20"/>
          <w:szCs w:val="20"/>
        </w:rPr>
        <w:t>一</w:t>
      </w:r>
      <w:proofErr w:type="gramEnd"/>
      <w:r>
        <w:rPr>
          <w:rFonts w:eastAsia="Noto Serif CJK TC"/>
          <w:color w:val="1A202C"/>
          <w:sz w:val="20"/>
          <w:szCs w:val="20"/>
        </w:rPr>
        <w:t>之說明。〕</w:t>
      </w:r>
    </w:p>
    <w:sectPr w:rsidR="0003266C">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53B5" w:rsidRDefault="009E53B5" w:rsidP="00E760AE">
      <w:pPr>
        <w:rPr>
          <w:rFonts w:hint="eastAsia"/>
        </w:rPr>
      </w:pPr>
      <w:r>
        <w:separator/>
      </w:r>
    </w:p>
  </w:endnote>
  <w:endnote w:type="continuationSeparator" w:id="0">
    <w:p w:rsidR="009E53B5" w:rsidRDefault="009E53B5" w:rsidP="00E760A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erif CJK TC">
    <w:altName w:val="Cambria"/>
    <w:panose1 w:val="00000000000000000000"/>
    <w:charset w:val="00"/>
    <w:family w:val="roman"/>
    <w:notTrueType/>
    <w:pitch w:val="default"/>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Noto Sans CJK TC">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53B5" w:rsidRDefault="009E53B5" w:rsidP="00E760AE">
      <w:pPr>
        <w:rPr>
          <w:rFonts w:hint="eastAsia"/>
        </w:rPr>
      </w:pPr>
      <w:r>
        <w:separator/>
      </w:r>
    </w:p>
  </w:footnote>
  <w:footnote w:type="continuationSeparator" w:id="0">
    <w:p w:rsidR="009E53B5" w:rsidRDefault="009E53B5" w:rsidP="00E760A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996A0D"/>
    <w:multiLevelType w:val="hybridMultilevel"/>
    <w:tmpl w:val="72EA0154"/>
    <w:lvl w:ilvl="0" w:tplc="60421F92">
      <w:start w:val="1"/>
      <w:numFmt w:val="bullet"/>
      <w:lvlText w:val="●"/>
      <w:lvlJc w:val="left"/>
      <w:pPr>
        <w:ind w:left="720" w:hanging="360"/>
      </w:pPr>
    </w:lvl>
    <w:lvl w:ilvl="1" w:tplc="9FCE446C">
      <w:start w:val="1"/>
      <w:numFmt w:val="bullet"/>
      <w:lvlText w:val="○"/>
      <w:lvlJc w:val="left"/>
      <w:pPr>
        <w:ind w:left="1440" w:hanging="360"/>
      </w:pPr>
    </w:lvl>
    <w:lvl w:ilvl="2" w:tplc="2F2C3862">
      <w:start w:val="1"/>
      <w:numFmt w:val="bullet"/>
      <w:lvlText w:val="■"/>
      <w:lvlJc w:val="left"/>
      <w:pPr>
        <w:ind w:left="2160" w:hanging="360"/>
      </w:pPr>
    </w:lvl>
    <w:lvl w:ilvl="3" w:tplc="93663F68">
      <w:start w:val="1"/>
      <w:numFmt w:val="bullet"/>
      <w:lvlText w:val="●"/>
      <w:lvlJc w:val="left"/>
      <w:pPr>
        <w:ind w:left="2880" w:hanging="360"/>
      </w:pPr>
    </w:lvl>
    <w:lvl w:ilvl="4" w:tplc="D81C4CD0">
      <w:start w:val="1"/>
      <w:numFmt w:val="bullet"/>
      <w:lvlText w:val="○"/>
      <w:lvlJc w:val="left"/>
      <w:pPr>
        <w:ind w:left="3600" w:hanging="360"/>
      </w:pPr>
    </w:lvl>
    <w:lvl w:ilvl="5" w:tplc="5B2C03F6">
      <w:start w:val="1"/>
      <w:numFmt w:val="bullet"/>
      <w:lvlText w:val="■"/>
      <w:lvlJc w:val="left"/>
      <w:pPr>
        <w:ind w:left="4320" w:hanging="360"/>
      </w:pPr>
    </w:lvl>
    <w:lvl w:ilvl="6" w:tplc="2E56EA0C">
      <w:start w:val="1"/>
      <w:numFmt w:val="bullet"/>
      <w:lvlText w:val="●"/>
      <w:lvlJc w:val="left"/>
      <w:pPr>
        <w:ind w:left="5040" w:hanging="360"/>
      </w:pPr>
    </w:lvl>
    <w:lvl w:ilvl="7" w:tplc="5C42A4D0">
      <w:start w:val="1"/>
      <w:numFmt w:val="bullet"/>
      <w:lvlText w:val="●"/>
      <w:lvlJc w:val="left"/>
      <w:pPr>
        <w:ind w:left="5760" w:hanging="360"/>
      </w:pPr>
    </w:lvl>
    <w:lvl w:ilvl="8" w:tplc="47109DD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66C"/>
    <w:rsid w:val="0003266C"/>
    <w:rsid w:val="009E53B5"/>
    <w:rsid w:val="00E760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745A5F"/>
  <w15:docId w15:val="{30212F2E-5D8D-470E-B8E8-2AAA194AC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oto Serif CJK TC" w:eastAsiaTheme="minorEastAsia" w:hAnsi="Noto Serif CJK TC" w:cs="Noto Serif CJK TC"/>
        <w:sz w:val="22"/>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粗體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註腳文字 字元"/>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章節附註文字 字元"/>
    <w:link w:val="aa"/>
    <w:uiPriority w:val="99"/>
    <w:semiHidden/>
    <w:unhideWhenUsed/>
    <w:rPr>
      <w:sz w:val="20"/>
      <w:szCs w:val="20"/>
    </w:rPr>
  </w:style>
  <w:style w:type="paragraph" w:styleId="ac">
    <w:name w:val="header"/>
    <w:basedOn w:val="a"/>
    <w:link w:val="ad"/>
    <w:uiPriority w:val="99"/>
    <w:unhideWhenUsed/>
    <w:rsid w:val="00E760AE"/>
    <w:pPr>
      <w:tabs>
        <w:tab w:val="center" w:pos="4153"/>
        <w:tab w:val="right" w:pos="8306"/>
      </w:tabs>
      <w:snapToGrid w:val="0"/>
    </w:pPr>
    <w:rPr>
      <w:sz w:val="20"/>
      <w:szCs w:val="20"/>
    </w:rPr>
  </w:style>
  <w:style w:type="character" w:customStyle="1" w:styleId="ad">
    <w:name w:val="頁首 字元"/>
    <w:basedOn w:val="a0"/>
    <w:link w:val="ac"/>
    <w:uiPriority w:val="99"/>
    <w:rsid w:val="00E760AE"/>
    <w:rPr>
      <w:sz w:val="20"/>
      <w:szCs w:val="20"/>
    </w:rPr>
  </w:style>
  <w:style w:type="paragraph" w:styleId="ae">
    <w:name w:val="footer"/>
    <w:basedOn w:val="a"/>
    <w:link w:val="af"/>
    <w:uiPriority w:val="99"/>
    <w:unhideWhenUsed/>
    <w:rsid w:val="00E760AE"/>
    <w:pPr>
      <w:tabs>
        <w:tab w:val="center" w:pos="4153"/>
        <w:tab w:val="right" w:pos="8306"/>
      </w:tabs>
      <w:snapToGrid w:val="0"/>
    </w:pPr>
    <w:rPr>
      <w:sz w:val="20"/>
      <w:szCs w:val="20"/>
    </w:rPr>
  </w:style>
  <w:style w:type="character" w:customStyle="1" w:styleId="af">
    <w:name w:val="頁尾 字元"/>
    <w:basedOn w:val="a0"/>
    <w:link w:val="ae"/>
    <w:uiPriority w:val="99"/>
    <w:rsid w:val="00E760A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3622</Words>
  <Characters>20646</Characters>
  <Application>Microsoft Office Word</Application>
  <DocSecurity>0</DocSecurity>
  <Lines>172</Lines>
  <Paragraphs>48</Paragraphs>
  <ScaleCrop>false</ScaleCrop>
  <Company/>
  <LinksUpToDate>false</LinksUpToDate>
  <CharactersWithSpaces>24220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2</cp:revision>
  <dcterms:created xsi:type="dcterms:W3CDTF">2026-08-29T09:02:00Z</dcterms:created>
  <dcterms:modified xsi:type="dcterms:W3CDTF">2026-08-30T04:16:00Z</dcterms:modified>
</cp:coreProperties>
</file>