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line="360"/>
        <w:jc w:val="center"/>
      </w:pPr>
      <w:r>
        <w:rPr>
          <w:rFonts w:ascii="微軟正黑體" w:cs="微軟正黑體" w:eastAsia="微軟正黑體" w:hAnsi="微軟正黑體"/>
          <w:b/>
          <w:bCs/>
          <w:i w:val="false"/>
          <w:iCs w:val="false"/>
          <w:sz w:val="30"/>
          <w:szCs w:val="30"/>
        </w:rPr>
        <w:t xml:space="preserve">電子圍籬作為分散式行政行動：以030模型初步檢視台灣COVID-19智慧監控系統之文件個案研究</w:t>
      </w:r>
    </w:p>
    <w:p>
      <w:pPr>
        <w:spacing w:after="160" w:line="360"/>
        <w:jc w:val="center"/>
      </w:pPr>
      <w:r>
        <w:rPr>
          <w:rFonts w:ascii="微軟正黑體" w:cs="微軟正黑體" w:eastAsia="微軟正黑體" w:hAnsi="微軟正黑體"/>
          <w:b w:val="false"/>
          <w:bCs w:val="false"/>
          <w:i w:val="false"/>
          <w:iCs w:val="false"/>
          <w:sz w:val="21"/>
          <w:szCs w:val="21"/>
        </w:rPr>
        <w:t xml:space="preserve">盧建旭（Lancelot Lu）</w:t>
      </w:r>
    </w:p>
    <w:p>
      <w:pPr>
        <w:spacing w:after="160" w:line="360"/>
        <w:jc w:val="center"/>
      </w:pPr>
      <w:r>
        <w:rPr>
          <w:rFonts w:ascii="微軟正黑體" w:cs="微軟正黑體" w:eastAsia="微軟正黑體" w:hAnsi="微軟正黑體"/>
          <w:b w:val="false"/>
          <w:bCs w:val="false"/>
          <w:i w:val="false"/>
          <w:iCs w:val="false"/>
          <w:sz w:val="19"/>
          <w:szCs w:val="19"/>
        </w:rPr>
        <w:t xml:space="preserve">獨立研究者．工作草稿　031（v6）</w:t>
      </w:r>
    </w:p>
    <w:p>
      <w:pPr>
        <w:spacing w:after="160" w:line="360"/>
      </w:pPr>
      <w:r>
        <w:rPr>
          <w:rFonts w:ascii="微軟正黑體" w:cs="微軟正黑體" w:eastAsia="微軟正黑體" w:hAnsi="微軟正黑體"/>
          <w:b w:val="false"/>
          <w:bCs w:val="false"/>
          <w:i w:val="false"/>
          <w:iCs w:val="false"/>
          <w:sz w:val="22"/>
          <w:szCs w:val="22"/>
        </w:rPr>
        <w:t xml:space="preserve"/>
      </w:r>
    </w:p>
    <w:p>
      <w:pPr>
        <w:pStyle w:val="Heading2"/>
        <w:spacing w:after="160" w:line="360"/>
      </w:pPr>
      <w:r>
        <w:rPr>
          <w:rFonts w:ascii="微軟正黑體" w:cs="微軟正黑體" w:eastAsia="微軟正黑體" w:hAnsi="微軟正黑體"/>
          <w:b/>
          <w:bCs/>
          <w:i w:val="false"/>
          <w:iCs w:val="false"/>
          <w:sz w:val="26"/>
          <w:szCs w:val="26"/>
        </w:rPr>
        <w:t xml:space="preserve">摘要</w:t>
      </w:r>
    </w:p>
    <w:p>
      <w:pPr>
        <w:spacing w:after="120" w:line="360"/>
      </w:pPr>
      <w:r>
        <w:rPr>
          <w:rFonts w:ascii="微軟正黑體" w:cs="微軟正黑體" w:eastAsia="微軟正黑體" w:hAnsi="微軟正黑體"/>
          <w:b w:val="false"/>
          <w:bCs w:val="false"/>
          <w:i w:val="false"/>
          <w:iCs w:val="false"/>
          <w:sz w:val="22"/>
          <w:szCs w:val="22"/>
        </w:rPr>
        <w:t xml:space="preserve">研究目的：本文以臺灣COVID-19電子圍籬智慧監控系統（及其查證輔助工具雲龍系統）為個案，初步檢視作者提出之「030模型」（本體論—結構論—風險層—規範論四個分析構面，整合自027、028、029三篇理論演繹）在描述分散式行政行動與前置裁量配置上之概念適配性與分析可操作性。研究問題收斂為三：電子圍籬是否可描述為分散式行政行動？其裁量是否在正式行政處分作成前，已配置於資料範圍、技術參數與警示流程之中？現有行政監督與司法救濟，是否具備UCPR所要求之最終再介入能力？</w:t>
      </w:r>
    </w:p>
    <w:p>
      <w:pPr>
        <w:spacing w:after="120" w:line="360"/>
      </w:pPr>
      <w:r>
        <w:rPr>
          <w:rFonts w:ascii="微軟正黑體" w:cs="微軟正黑體" w:eastAsia="微軟正黑體" w:hAnsi="微軟正黑體"/>
          <w:b w:val="false"/>
          <w:bCs w:val="false"/>
          <w:i w:val="false"/>
          <w:iCs w:val="false"/>
          <w:sz w:val="22"/>
          <w:szCs w:val="22"/>
        </w:rPr>
        <w:t xml:space="preserve">方法與資料：本文採取文件個案研究策略，以監察院111社調0006號調查報告為主要官方資料，輔以林于婷（2022，國立政治大學法律學系碩士論文）之整理分析與張德威、黃雙翊（2022/2023）之獨立提審裁定統計，並以【E】文件明示、【E＋I】文件明示並可作合理推論、【N】本文之規範性評價、【U】資料不足或尚未確認四種標記區分證據強度。</w:t>
      </w:r>
    </w:p>
    <w:p>
      <w:pPr>
        <w:spacing w:after="120" w:line="360"/>
      </w:pPr>
      <w:r>
        <w:rPr>
          <w:rFonts w:ascii="微軟正黑體" w:cs="微軟正黑體" w:eastAsia="微軟正黑體" w:hAnsi="微軟正黑體"/>
          <w:b w:val="false"/>
          <w:bCs w:val="false"/>
          <w:i w:val="false"/>
          <w:iCs w:val="false"/>
          <w:sz w:val="22"/>
          <w:szCs w:val="22"/>
        </w:rPr>
        <w:t xml:space="preserve">主要發現：電子圍籬之行政行動可定位於法定機關、第一線人員、定位系統與資料基礎設施四個層次；系統之資料範圍、定位門檻與警示流程，在正式查證前已對後續判斷產生篩選與排序效果，此等技術參數目前可確認具有行政效果，惟尚不足以確認其設定者及法律裁量性質；行政監督與司法救濟雖具制度外觀，但於資訊揭露、基礎處分審查範圍與課責銜接上，存在初步可辨識之落差。</w:t>
      </w:r>
    </w:p>
    <w:p>
      <w:pPr>
        <w:spacing w:after="160" w:line="360"/>
      </w:pPr>
      <w:r>
        <w:rPr>
          <w:rFonts w:ascii="微軟正黑體" w:cs="微軟正黑體" w:eastAsia="微軟正黑體" w:hAnsi="微軟正黑體"/>
          <w:b w:val="false"/>
          <w:bCs w:val="false"/>
          <w:i w:val="false"/>
          <w:iCs w:val="false"/>
          <w:sz w:val="22"/>
          <w:szCs w:val="22"/>
        </w:rPr>
        <w:t xml:space="preserve">研究限制與貢獻：本文為單一個案之文件研究，部分資料僅透過學術文獻整理轉引，編碼亦未經第二位研究者獨立比對，結論性質為「030模型概念適配性之初步文件檢視」，不宜解讀為對該模型之經驗驗證，亦不代表電子圍籬制度已被證明違法或違憲。</w:t>
      </w:r>
    </w:p>
    <w:p>
      <w:pPr>
        <w:spacing w:after="200" w:line="360"/>
      </w:pPr>
      <w:r>
        <w:rPr>
          <w:rFonts w:ascii="微軟正黑體" w:cs="微軟正黑體" w:eastAsia="微軟正黑體" w:hAnsi="微軟正黑體"/>
          <w:b w:val="false"/>
          <w:bCs w:val="false"/>
          <w:i/>
          <w:iCs/>
          <w:sz w:val="22"/>
          <w:szCs w:val="22"/>
        </w:rPr>
        <w:t xml:space="preserve">本文核心論旨可壓縮為三句：其一，電子圍籬並非單一機關直接完成之行政措施，而是由法律授權、行政機關、人員、定位系統與資料基礎設施共同構成的分散式行政行動；其二，文件可以確認資料納管、技術參數與警示流程在人工查證前已產生篩選與排序效果，但尚不能確認參數設定者、決策責任及其法律性質；其三，監察與司法救濟形式上存在，惟資訊取得、基礎處分審查及改善責任之間出現初步落差，此一結果支持UCPR作為風險辨識工具的概念適配性，但不足以證明UCPR在本案中已完全失效。</w:t>
      </w:r>
    </w:p>
    <w:p>
      <w:pPr>
        <w:spacing w:after="160" w:line="360"/>
      </w:pPr>
      <w:r>
        <w:rPr>
          <w:rFonts w:ascii="微軟正黑體" w:cs="微軟正黑體" w:eastAsia="微軟正黑體" w:hAnsi="微軟正黑體"/>
          <w:b w:val="false"/>
          <w:bCs w:val="false"/>
          <w:i/>
          <w:iCs/>
          <w:sz w:val="22"/>
          <w:szCs w:val="22"/>
        </w:rPr>
        <w:t xml:space="preserve">關鍵詞：分散式行政行動、行政裁量、演算法治理、電子圍籬、行政監督、司法救濟、COVID-19</w:t>
      </w:r>
    </w:p>
    <w:p>
      <w:pPr>
        <w:pStyle w:val="Heading2"/>
        <w:spacing w:after="160" w:line="360"/>
      </w:pPr>
      <w:r>
        <w:rPr>
          <w:rFonts w:ascii="微軟正黑體" w:cs="微軟正黑體" w:eastAsia="微軟正黑體" w:hAnsi="微軟正黑體"/>
          <w:b/>
          <w:bCs/>
          <w:i w:val="false"/>
          <w:iCs w:val="false"/>
          <w:sz w:val="26"/>
          <w:szCs w:val="26"/>
        </w:rPr>
        <w:t xml:space="preserve">一、問題意識與研究問題</w:t>
      </w:r>
    </w:p>
    <w:p>
      <w:pPr>
        <w:spacing w:after="160" w:line="360"/>
      </w:pPr>
      <w:r>
        <w:rPr>
          <w:rFonts w:ascii="微軟正黑體" w:cs="微軟正黑體" w:eastAsia="微軟正黑體" w:hAnsi="微軟正黑體"/>
          <w:b/>
          <w:bCs/>
          <w:i w:val="false"/>
          <w:iCs w:val="false"/>
          <w:sz w:val="22"/>
          <w:szCs w:val="22"/>
        </w:rPr>
        <w:t xml:space="preserve">（一）電子圍籬的法律與行政意義</w:t>
      </w:r>
    </w:p>
    <w:p>
      <w:pPr>
        <w:spacing w:after="160" w:line="360"/>
      </w:pPr>
      <w:r>
        <w:rPr>
          <w:rFonts w:ascii="微軟正黑體" w:cs="微軟正黑體" w:eastAsia="微軟正黑體" w:hAnsi="微軟正黑體"/>
          <w:b w:val="false"/>
          <w:bCs w:val="false"/>
          <w:i w:val="false"/>
          <w:iCs w:val="false"/>
          <w:sz w:val="22"/>
          <w:szCs w:val="22"/>
        </w:rPr>
        <w:t xml:space="preserve">2020年COVID-19疫情期間，中央流行疫情指揮中心建置之「電子圍籬智慧監控系統」，是台灣少數同時涉及公權力概括授權、演算法輔助判斷、人身自由限制與資料基礎設施的行政措施，監察院並就此案自動調查並公告正式調查報告（案號111社調0006）。這使電子圍籬個案成為檢視「行政判斷如何可能在系統設計與資料處理階段即被部分配置」此一問題之合適素材。</w:t>
      </w:r>
    </w:p>
    <w:p>
      <w:pPr>
        <w:spacing w:after="160" w:line="360"/>
      </w:pPr>
      <w:r>
        <w:rPr>
          <w:rFonts w:ascii="微軟正黑體" w:cs="微軟正黑體" w:eastAsia="微軟正黑體" w:hAnsi="微軟正黑體"/>
          <w:b/>
          <w:bCs/>
          <w:i w:val="false"/>
          <w:iCs w:val="false"/>
          <w:sz w:val="22"/>
          <w:szCs w:val="22"/>
        </w:rPr>
        <w:t xml:space="preserve">（二）030模型的研究缺口</w:t>
      </w:r>
    </w:p>
    <w:p>
      <w:pPr>
        <w:spacing w:after="160" w:line="360"/>
      </w:pPr>
      <w:r>
        <w:rPr>
          <w:rFonts w:ascii="微軟正黑體" w:cs="微軟正黑體" w:eastAsia="微軟正黑體" w:hAnsi="微軟正黑體"/>
          <w:b w:val="false"/>
          <w:bCs w:val="false"/>
          <w:i w:val="false"/>
          <w:iCs w:val="false"/>
          <w:sz w:val="22"/>
          <w:szCs w:val="22"/>
        </w:rPr>
        <w:t xml:space="preserve">030模型是作者在027〈誰在行政行動〉、028〈裁量何在〉、029〈不可外包的行政〉三篇理論演繹完成後，將其整合為單一封閉理論成品的產物：027提出分散式行政行動（Distributed Administrative Action, DAA）之四層構成，並區分規範裁量、設計裁量、運算選擇三層裁量性質；028在此基礎上提出「裁量場」概念，指出行政裁量在前置配置、模型轉譯、介面引導、人類覆核四個節點上逐步展開；029則提出規範轉換之四項判準與最終再介入能力（UCPR）之三面向。030即是將四個階段整合為單一封閉分析架構之產物，但尚未經過任何真實個案的檢視。本文之研究動機，即在於以單一個案為030模型提供初步的文件個案檢視。</w:t>
      </w:r>
    </w:p>
    <w:p>
      <w:pPr>
        <w:spacing w:after="160" w:line="360"/>
      </w:pPr>
      <w:r>
        <w:rPr>
          <w:rFonts w:ascii="微軟正黑體" w:cs="微軟正黑體" w:eastAsia="微軟正黑體" w:hAnsi="微軟正黑體"/>
          <w:b/>
          <w:bCs/>
          <w:i w:val="false"/>
          <w:iCs w:val="false"/>
          <w:sz w:val="22"/>
          <w:szCs w:val="22"/>
        </w:rPr>
        <w:t xml:space="preserve">（三）三個研究問題</w:t>
      </w:r>
    </w:p>
    <w:p>
      <w:pPr>
        <w:spacing w:after="160" w:line="360"/>
      </w:pPr>
      <w:r>
        <w:rPr>
          <w:rFonts w:ascii="微軟正黑體" w:cs="微軟正黑體" w:eastAsia="微軟正黑體" w:hAnsi="微軟正黑體"/>
          <w:b w:val="false"/>
          <w:bCs w:val="false"/>
          <w:i w:val="false"/>
          <w:iCs w:val="false"/>
          <w:sz w:val="22"/>
          <w:szCs w:val="22"/>
        </w:rPr>
        <w:t xml:space="preserve">本文將研究問題收斂為以下三項，全文之分析與結論均以此三項問題為主軸：（1）電子圍籬是否可依030模型描述為分散式行政行動？（2）電子圍籬之裁量是否在正式行政處分作成前，已配置於資料範圍、技術參數與警示流程之中？（3）現有之行政監督與司法救濟，是否具備足以支撐UCPR最終再介入能力之條件？</w:t>
      </w:r>
    </w:p>
    <w:p>
      <w:pPr>
        <w:spacing w:after="160" w:line="360"/>
      </w:pPr>
      <w:r>
        <w:rPr>
          <w:rFonts w:ascii="微軟正黑體" w:cs="微軟正黑體" w:eastAsia="微軟正黑體" w:hAnsi="微軟正黑體"/>
          <w:b/>
          <w:bCs/>
          <w:i w:val="false"/>
          <w:iCs w:val="false"/>
          <w:sz w:val="22"/>
          <w:szCs w:val="22"/>
        </w:rPr>
        <w:t xml:space="preserve">（四）本文不處理或僅附帶處理之問題</w:t>
      </w:r>
    </w:p>
    <w:p>
      <w:pPr>
        <w:spacing w:after="160" w:line="360"/>
      </w:pPr>
      <w:r>
        <w:rPr>
          <w:rFonts w:ascii="微軟正黑體" w:cs="微軟正黑體" w:eastAsia="微軟正黑體" w:hAnsi="微軟正黑體"/>
          <w:b w:val="false"/>
          <w:bCs w:val="false"/>
          <w:i w:val="false"/>
          <w:iCs w:val="false"/>
          <w:sz w:val="22"/>
          <w:szCs w:val="22"/>
        </w:rPr>
        <w:t xml:space="preserve">本文在文件研讀過程中，亦注意到若干與030模型相關、但現有資料尚不足以支持作為本案主要結論之延伸議題，包括：技術參數設定是否涉及公私協同治理與委外責任、第一線人員是否存在自動化偏誤、電子圍籬監控之心理強制效果、監控技術之城鄉地理不平等、以及機組員聲請提審裁定理由之演變是否反映裁量空間壓縮延伸至司法審查階段。此類議題具有理論延伸價值，但現有證據強度多屬【I】（推論）、【N】（本文評價）或【U】（資料不足），本文將其集中置於第七節，作為「待驗證假說」呈現，不與前述三項研究問題之核心發現並列，以免使論文主線分散。</w:t>
      </w:r>
    </w:p>
    <w:p>
      <w:pPr>
        <w:spacing w:after="160" w:line="360"/>
      </w:pPr>
      <w:r>
        <w:rPr>
          <w:rFonts w:ascii="微軟正黑體" w:cs="微軟正黑體" w:eastAsia="微軟正黑體" w:hAnsi="微軟正黑體"/>
          <w:b/>
          <w:bCs/>
          <w:i w:val="false"/>
          <w:iCs w:val="false"/>
          <w:sz w:val="22"/>
          <w:szCs w:val="22"/>
        </w:rPr>
        <w:t xml:space="preserve">（五）方法論之現實限制</w:t>
      </w:r>
    </w:p>
    <w:p>
      <w:pPr>
        <w:spacing w:after="160" w:line="360"/>
      </w:pPr>
      <w:r>
        <w:rPr>
          <w:rFonts w:ascii="微軟正黑體" w:cs="微軟正黑體" w:eastAsia="微軟正黑體" w:hAnsi="微軟正黑體"/>
          <w:b w:val="false"/>
          <w:bCs w:val="false"/>
          <w:i w:val="false"/>
          <w:iCs w:val="false"/>
          <w:sz w:val="22"/>
          <w:szCs w:val="22"/>
        </w:rPr>
        <w:t xml:space="preserve">本文作者為退休教授、獨立研究者，並無任何機關合作協議或田野訪談的管道可資運用。本文因此採取「文件個案研究＋既有臺灣文獻二次分析」的研究策略，以單一深度個案為主線，透過既已公開之官方調查報告與具有實證研究性質的法學碩士論文作為主要資料，輔以既有臺灣法學期刊之二次文獻交叉驗證，研究設計與資料層級之詳細說明見第三節。</w:t>
      </w:r>
    </w:p>
    <w:p>
      <w:pPr>
        <w:pStyle w:val="Heading2"/>
        <w:spacing w:after="160" w:line="360"/>
      </w:pPr>
      <w:r>
        <w:rPr>
          <w:rFonts w:ascii="微軟正黑體" w:cs="微軟正黑體" w:eastAsia="微軟正黑體" w:hAnsi="微軟正黑體"/>
          <w:b/>
          <w:bCs/>
          <w:i w:val="false"/>
          <w:iCs w:val="false"/>
          <w:sz w:val="26"/>
          <w:szCs w:val="26"/>
        </w:rPr>
        <w:t xml:space="preserve">二、030模型的四個分析構面</w:t>
      </w:r>
    </w:p>
    <w:p>
      <w:pPr>
        <w:spacing w:after="160" w:line="360"/>
      </w:pPr>
      <w:r>
        <w:rPr>
          <w:rFonts w:ascii="微軟正黑體" w:cs="微軟正黑體" w:eastAsia="微軟正黑體" w:hAnsi="微軟正黑體"/>
          <w:b w:val="false"/>
          <w:bCs w:val="false"/>
          <w:i w:val="false"/>
          <w:iCs w:val="false"/>
          <w:sz w:val="22"/>
          <w:szCs w:val="22"/>
        </w:rPr>
        <w:t xml:space="preserve">030模型並非時間先後排列之「四階段」，而是分析同一行政行動時所採取之四種不同觀察角度：DAA四層構成屬構成層次（描述行政行動由哪些行動者構成）；裁量場四節點屬結構節點（描述裁量如何在既定流程節點中展開）；規範轉換四條件屬風險條件（描述何種情形下有理由懷疑公共權威已實質外部化）；UCPR三面向屬規範評估面向（描述公共權威應保有何種最終再介入能力）。四者觀察角度不同，不代表時間先後，亦非彼此互斥，全文於各節標題均將一併標明其所屬構面性質，以避免與「階段」一詞混用。</w:t>
      </w:r>
    </w:p>
    <w:p>
      <w:pPr>
        <w:spacing w:after="160" w:line="360"/>
      </w:pPr>
      <w:r>
        <w:rPr>
          <w:rFonts w:ascii="微軟正黑體" w:cs="微軟正黑體" w:eastAsia="微軟正黑體" w:hAnsi="微軟正黑體"/>
          <w:b/>
          <w:bCs/>
          <w:i w:val="false"/>
          <w:iCs w:val="false"/>
          <w:sz w:val="22"/>
          <w:szCs w:val="22"/>
        </w:rPr>
        <w:t xml:space="preserve">（一）本體論：DAA四層構成（構成層次）</w:t>
      </w:r>
    </w:p>
    <w:p>
      <w:pPr>
        <w:spacing w:after="160" w:before="100" w:line="360"/>
      </w:pPr>
      <w:r>
        <w:rPr>
          <w:rFonts w:ascii="微軟正黑體" w:cs="微軟正黑體" w:eastAsia="微軟正黑體" w:hAnsi="微軟正黑體"/>
          <w:b w:val="false"/>
          <w:bCs w:val="false"/>
          <w:i w:val="false"/>
          <w:iCs w:val="false"/>
          <w:sz w:val="22"/>
          <w:szCs w:val="22"/>
        </w:rPr>
        <w:t xml:space="preserve">最小定義：DAA主張任一行政行動之完成，均可拆解為法定行動者（具形式法律權限者）、判斷行動者（實際行使判斷、執行者）、計算性作用者（以演算法或系統參數進行資料處理或分類者）、結構性作用者（提供資料、基礎設施或制度性條件者）四個構成要素之組合；四者非必然由不同自然人或機關擔任，同一機關可能同時兼具法定行動者與判斷行動者身分。必要條件：一行政行動若欠缺可辨識之法定行動者，即非本文所稱之DAA，而可能屬其他性質之公權力作用或私行為。排除條件：純屬機關內部、不對外發生任何法律或事實效果之作業，不在DAA分析範圍內。資料不足時之處理原則：若文件未載明某一行動者之具體身分或其判斷之實質內容，本文將該要素標記為【U】，不逕行推定其存在或不存在。與既有行政法概念之關係：DAA並非取代「行政機關」「公務員」等既有主體概念，而是在既有主體概念之上，另外標示計算性作用者與結構性作用者兩類在傳統行政法主體論中較少被獨立處理的構成要素；規範裁量、設計裁量、運算選擇三層裁量，則分別對應傳統行政裁量理論中之決定裁量／選擇裁量（規範裁量）、系統設計階段之技術性選擇（設計裁量，其法律性質有待個案認定，見五、（一）之三層拆解）、以及演算法運作本身之計算過程（運算選擇，原則上不具規範意義，除非其計算邏輯本身即體現特定政策選擇）。</w:t>
      </w:r>
    </w:p>
    <w:p>
      <w:pPr>
        <w:spacing w:after="160" w:before="160" w:line="360"/>
      </w:pPr>
      <w:r>
        <w:rPr>
          <w:rFonts w:ascii="微軟正黑體" w:cs="微軟正黑體" w:eastAsia="微軟正黑體" w:hAnsi="微軟正黑體"/>
          <w:b/>
          <w:bCs/>
          <w:i w:val="false"/>
          <w:iCs w:val="false"/>
          <w:sz w:val="22"/>
          <w:szCs w:val="22"/>
        </w:rPr>
        <w:t xml:space="preserve">（二）結構論：裁量場四節點（結構節點）</w:t>
      </w:r>
    </w:p>
    <w:p>
      <w:pPr>
        <w:spacing w:after="160" w:before="100" w:line="360"/>
      </w:pPr>
      <w:r>
        <w:rPr>
          <w:rFonts w:ascii="微軟正黑體" w:cs="微軟正黑體" w:eastAsia="微軟正黑體" w:hAnsi="微軟正黑體"/>
          <w:b w:val="false"/>
          <w:bCs w:val="false"/>
          <w:i w:val="false"/>
          <w:iCs w:val="false"/>
          <w:sz w:val="22"/>
          <w:szCs w:val="22"/>
        </w:rPr>
        <w:t xml:space="preserve">最小定義：裁量場主張行政裁量不僅存在於最終決定作成之時點，而是分散展開於前置配置（決定納入處理之對象與資料範圍）、模型轉譯（將政策目標轉換為可操作之技術參數或規則）、介面引導（將系統輸出轉換為促使特定後續行動之提示或通知）、人類覆核（由人員對系統輸出進行事後審查）四個節點。此四節點在多數行政作業流程中具有大致的時間先後順序，但此一先後關係屬經驗上之常態，非邏輯上之必然，個案中仍可能出現節點合併或順序調整之情形。「裁量空間壓縮」（SDC）為本文據以描述性使用之概念，指前段節點之範圍界定可能實質限縮後段節點之審查廣度；本文將SDC定位為描述性、假設性之分析概念，而非已獲因果證明之命題，其在個案中是否成立，需視文件是否顯示後段節點之審查範圍確實受前段配置限制而定。與既有行政法概念之關係：裁量場四節點與行政程序法上作成處分前之調查、審查等程序階段有部分對應，但額外強調前置配置與模型轉譯階段（多發生於系統設計、政策形成而非個別行政程序階段）對後續裁量的形塑作用，此為既有行政程序理論較少著墨之處。</w:t>
      </w:r>
    </w:p>
    <w:p>
      <w:pPr>
        <w:spacing w:after="160" w:before="160" w:line="360"/>
      </w:pPr>
      <w:r>
        <w:rPr>
          <w:rFonts w:ascii="微軟正黑體" w:cs="微軟正黑體" w:eastAsia="微軟正黑體" w:hAnsi="微軟正黑體"/>
          <w:b/>
          <w:bCs/>
          <w:i w:val="false"/>
          <w:iCs w:val="false"/>
          <w:sz w:val="22"/>
          <w:szCs w:val="22"/>
        </w:rPr>
        <w:t xml:space="preserve">（三）風險層：規範轉換四條件（風險條件）</w:t>
      </w:r>
    </w:p>
    <w:p>
      <w:pPr>
        <w:spacing w:after="160" w:before="100" w:line="360"/>
      </w:pPr>
      <w:r>
        <w:rPr>
          <w:rFonts w:ascii="微軟正黑體" w:cs="微軟正黑體" w:eastAsia="微軟正黑體" w:hAnsi="微軟正黑體"/>
          <w:b w:val="false"/>
          <w:bCs w:val="false"/>
          <w:i w:val="false"/>
          <w:iCs w:val="false"/>
          <w:sz w:val="22"/>
          <w:szCs w:val="22"/>
        </w:rPr>
        <w:t xml:space="preserve">最小定義：規範轉換主張，當價值條件（授權規範是否具體）、理由條件（是否課予機關說明義務）、例外條件（是否提供受規範者個案救濟）、責任條件（是否存在可課責之監督或改善機制）四項條件「同時」出現疑義時，即有理由懷疑公共權威已發生實質外部化。四條件並非各自獨立充分之要件，而是複合判準：僅單一條件出現疑義，尚不足以支持「實質外部化」之判斷，本文於五、（三）之分析即依此複合判準逐一檢視。與既有行政法概念之關係：四條件與法律保留原則（價值、理由條件）、正當程序與救濟權保障（例外條件）、行政監督與課責機制（責任條件）等既有行政法原理有相當對應關係，其特殊貢獻在於將此等既有原理整合為一套用以判斷「技術化、系統化行政行動是否已產生規範風險」之複合判準。</w:t>
      </w:r>
    </w:p>
    <w:p>
      <w:pPr>
        <w:spacing w:after="160" w:before="160" w:line="360"/>
      </w:pPr>
      <w:r>
        <w:rPr>
          <w:rFonts w:ascii="微軟正黑體" w:cs="微軟正黑體" w:eastAsia="微軟正黑體" w:hAnsi="微軟正黑體"/>
          <w:b/>
          <w:bCs/>
          <w:i w:val="false"/>
          <w:iCs w:val="false"/>
          <w:sz w:val="22"/>
          <w:szCs w:val="22"/>
        </w:rPr>
        <w:t xml:space="preserve">（四）規範論：UCPR三面向（規範評估面向）</w:t>
      </w:r>
    </w:p>
    <w:p>
      <w:pPr>
        <w:spacing w:after="160" w:before="100" w:line="360"/>
      </w:pPr>
      <w:r>
        <w:rPr>
          <w:rFonts w:ascii="微軟正黑體" w:cs="微軟正黑體" w:eastAsia="微軟正黑體" w:hAnsi="微軟正黑體"/>
          <w:b w:val="false"/>
          <w:bCs w:val="false"/>
          <w:i w:val="false"/>
          <w:iCs w:val="false"/>
          <w:sz w:val="22"/>
          <w:szCs w:val="22"/>
        </w:rPr>
        <w:t xml:space="preserve">最小定義：UCPR（最終再介入能力）主張，即便公共權威之部分決策已透過系統設計、資料處理實質外部化，仍應保有認知性再介入（監督者能否知悉系統實際運作狀況）、決策性再介入（機關能否對系統運作進行實質修正）、課責性再介入（是否存在具實效之監督、糾正或救濟機制）三面向之最終能力。三面向性質上較接近評估指標，而非硬性之法律必要條件，本文於五、（四）即以此三面向作為觀察架構逐一檢視。與既有行政法概念之關係：UCPR與課責理論、行政監督（監察權、國會監督）及司法審查密度理論有直接對應，其特殊之處在於明確區分「制度外觀是否存在」與「制度是否具有實效」兩個不同層次。</w:t>
      </w:r>
    </w:p>
    <w:p>
      <w:pPr>
        <w:spacing w:after="160" w:before="160" w:line="360"/>
      </w:pPr>
      <w:r>
        <w:rPr>
          <w:rFonts w:ascii="微軟正黑體" w:cs="微軟正黑體" w:eastAsia="微軟正黑體" w:hAnsi="微軟正黑體"/>
          <w:b/>
          <w:bCs/>
          <w:i w:val="false"/>
          <w:iCs w:val="false"/>
          <w:sz w:val="22"/>
          <w:szCs w:val="22"/>
        </w:rPr>
        <w:t xml:space="preserve">（五）模型適配性之判準</w:t>
      </w:r>
    </w:p>
    <w:p>
      <w:pPr>
        <w:spacing w:after="160" w:before="100" w:line="360"/>
      </w:pPr>
      <w:r>
        <w:rPr>
          <w:rFonts w:ascii="微軟正黑體" w:cs="微軟正黑體" w:eastAsia="微軟正黑體" w:hAnsi="微軟正黑體"/>
          <w:b w:val="false"/>
          <w:bCs w:val="false"/>
          <w:i w:val="false"/>
          <w:iCs w:val="false"/>
          <w:sz w:val="22"/>
          <w:szCs w:val="22"/>
        </w:rPr>
        <w:t xml:space="preserve">為避免「以模型分類材料，再以分類結果反證模型有效」之循環論證風險，本文於六、（一）另行提出模型適配性評估矩陣，區分「個案對應程度」（高／中／低）與「證據層級」，並列出各構面「尚待確認事項」。判準如下：若某一構面之核心要素均可在監察院報告或林于婷論文中找到【E】層級之直接文件記載，本文將對應程度判為「高」；若僅能找到【E＋I】層級之部分文件記載與合理推論，判為「中」；若僅能以【N】層級之規範性評價支撐，或多數要素屬【U】，判為「低」。對應程度之判定僅顯示該構面「是否可在個案中找到可資對應之文件材料」，不代表該構面已獲得因果或規範性證成；本案是否可能只是「任何複雜行政措施都能被套入四個分析構面」，本文於六、（一）之矩陣「尚待確認事項」欄位一併提示此一方法論風險，而非逕行排除此一可能性。</w:t>
      </w:r>
    </w:p>
    <w:p>
      <w:pPr>
        <w:spacing w:after="160" w:before="160" w:line="360"/>
      </w:pPr>
      <w:r>
        <w:rPr>
          <w:rFonts w:ascii="微軟正黑體" w:cs="微軟正黑體" w:eastAsia="微軟正黑體" w:hAnsi="微軟正黑體"/>
          <w:b w:val="false"/>
          <w:bCs w:val="false"/>
          <w:i w:val="false"/>
          <w:iCs w:val="false"/>
          <w:sz w:val="22"/>
          <w:szCs w:val="22"/>
        </w:rPr>
        <w:t xml:space="preserve">下表列出四個分析構面之核心主張，以及本文據此提出之具體操作化問題——即本文在第五節分析電子圍籬個案時，實際用以檢視文件的提問方式：</w:t>
      </w:r>
    </w:p>
    <w:tbl>
      <w:tblPr>
        <w:tblW w:type="dxa" w:w="13000"/>
        <w:tblBorders>
          <w:top w:val="single" w:color="auto" w:sz="4"/>
          <w:left w:val="single" w:color="auto" w:sz="4"/>
          <w:bottom w:val="single" w:color="auto" w:sz="4"/>
          <w:right w:val="single" w:color="auto" w:sz="4"/>
          <w:insideH w:val="single" w:color="auto" w:sz="4"/>
          <w:insideV w:val="single" w:color="auto" w:sz="4"/>
        </w:tblBorders>
      </w:tblPr>
      <w:tblGrid>
        <w:gridCol w:w="2200"/>
        <w:gridCol w:w="4400"/>
        <w:gridCol w:w="6400"/>
      </w:tblGrid>
      <w:tr>
        <w:trPr>
          <w:tblHeader/>
        </w:trPr>
        <w:tc>
          <w:tcPr>
            <w:tcW w:type="dxa" w:w="2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層次／概念</w:t>
            </w:r>
          </w:p>
        </w:tc>
        <w:tc>
          <w:tcPr>
            <w:tcW w:type="dxa" w:w="4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核心主張</w:t>
            </w:r>
          </w:p>
        </w:tc>
        <w:tc>
          <w:tcPr>
            <w:tcW w:type="dxa" w:w="6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本文據此提出之操作化問題</w:t>
            </w:r>
          </w:p>
        </w:tc>
      </w:tr>
      <w:tr>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本體論：DAA四層構成</w:t>
            </w:r>
          </w:p>
        </w:tc>
        <w:tc>
          <w:tcPr>
            <w:tcW w:type="dxa" w:w="4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行政行動由法定行動者、判斷行動者、計算性作用者、結構性作用者共同構成；裁量區分為規範裁量、設計裁量、運算選擇三層</w:t>
            </w:r>
          </w:p>
        </w:tc>
        <w:tc>
          <w:tcPr>
            <w:tcW w:type="dxa" w:w="6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本案中，哪些具體機關、人員、系統、基礎設施分別對應四個層次？技術參數之設定，在何種條件下可被視為具有裁量性質？</w:t>
            </w:r>
          </w:p>
        </w:tc>
      </w:tr>
      <w:tr>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結構論：裁量場四節點</w:t>
            </w:r>
          </w:p>
        </w:tc>
        <w:tc>
          <w:tcPr>
            <w:tcW w:type="dxa" w:w="4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裁量權展開於前置配置、模型轉譯、介面引導、人類覆核四個節點，前段之窄化可能壓縮後段之實質裁量空間（SDC）</w:t>
            </w:r>
          </w:p>
        </w:tc>
        <w:tc>
          <w:tcPr>
            <w:tcW w:type="dxa" w:w="6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本案的監控範圍、技術轉譯、警示流程分別如何配置？人類覆核階段的實質判斷空間，是否可由文件辨識地受到限縮？</w:t>
            </w:r>
          </w:p>
        </w:tc>
      </w:tr>
      <w:tr>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風險層：規範轉換四條件</w:t>
            </w:r>
          </w:p>
        </w:tc>
        <w:tc>
          <w:tcPr>
            <w:tcW w:type="dxa" w:w="4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價值、理由、例外、責任四條件若同時觸及，即有理由認定公共權威核心有實質外部化之虞</w:t>
            </w:r>
          </w:p>
        </w:tc>
        <w:tc>
          <w:tcPr>
            <w:tcW w:type="dxa" w:w="6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本案之授權依據、說理義務、個案救濟管道、課責安排，是否分別能在監察院報告與相關文獻中找到對應線索？</w:t>
            </w:r>
          </w:p>
        </w:tc>
      </w:tr>
      <w:tr>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規範論：UCPR三面向</w:t>
            </w:r>
          </w:p>
        </w:tc>
        <w:tc>
          <w:tcPr>
            <w:tcW w:type="dxa" w:w="4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公共權威縱經部分外部化，仍須保有認知性、決策性、課責性三面向之最終再介入能力</w:t>
            </w:r>
          </w:p>
        </w:tc>
        <w:tc>
          <w:tcPr>
            <w:tcW w:type="dxa" w:w="6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監督機關、受規範人民、司法機關，是否具備可辨識的資訊取得、決策修正、責任追究管道？</w:t>
            </w:r>
          </w:p>
        </w:tc>
      </w:tr>
    </w:tbl>
    <w:p>
      <w:pPr>
        <w:spacing w:after="160" w:before="120" w:line="360"/>
      </w:pPr>
      <w:r>
        <w:rPr>
          <w:rFonts w:ascii="微軟正黑體" w:cs="微軟正黑體" w:eastAsia="微軟正黑體" w:hAnsi="微軟正黑體"/>
          <w:b w:val="false"/>
          <w:bCs w:val="false"/>
          <w:i w:val="false"/>
          <w:iCs w:val="false"/>
          <w:sz w:val="22"/>
          <w:szCs w:val="22"/>
        </w:rPr>
        <w:t xml:space="preserve">029援引美國nondelegation doctrine與德國Wesentlichkeitstheorie（重要性理論）等比較法資源，作為規範轉換與UCPR概念之理論背景，惟此二學說本身之比較法討論已見於029，本文不再重複展開，僅在第五、六節論及規範轉換與課責性再介入時，視需要簡要提及其功能。</w:t>
      </w:r>
    </w:p>
    <w:p>
      <w:pPr>
        <w:pStyle w:val="Heading2"/>
        <w:spacing w:after="160" w:line="360"/>
      </w:pPr>
      <w:r>
        <w:rPr>
          <w:rFonts w:ascii="微軟正黑體" w:cs="微軟正黑體" w:eastAsia="微軟正黑體" w:hAnsi="微軟正黑體"/>
          <w:b/>
          <w:bCs/>
          <w:i w:val="false"/>
          <w:iCs w:val="false"/>
          <w:sz w:val="26"/>
          <w:szCs w:val="26"/>
        </w:rPr>
        <w:t xml:space="preserve">三、研究設計與資料</w:t>
      </w:r>
    </w:p>
    <w:p>
      <w:pPr>
        <w:spacing w:after="160" w:line="360"/>
      </w:pPr>
      <w:r>
        <w:rPr>
          <w:rFonts w:ascii="微軟正黑體" w:cs="微軟正黑體" w:eastAsia="微軟正黑體" w:hAnsi="微軟正黑體"/>
          <w:b/>
          <w:bCs/>
          <w:i w:val="false"/>
          <w:iCs w:val="false"/>
          <w:sz w:val="22"/>
          <w:szCs w:val="22"/>
        </w:rPr>
        <w:t xml:space="preserve">（一）個案選擇</w:t>
      </w:r>
    </w:p>
    <w:p>
      <w:pPr>
        <w:spacing w:after="160" w:line="360"/>
      </w:pPr>
      <w:r>
        <w:rPr>
          <w:rFonts w:ascii="微軟正黑體" w:cs="微軟正黑體" w:eastAsia="微軟正黑體" w:hAnsi="微軟正黑體"/>
          <w:b w:val="false"/>
          <w:bCs w:val="false"/>
          <w:i w:val="false"/>
          <w:iCs w:val="false"/>
          <w:sz w:val="22"/>
          <w:szCs w:val="22"/>
        </w:rPr>
        <w:t xml:space="preserve">本文排除了若干候選案例：科技執法（缺乏單一整合系統可供聚焦分析）、AI草擬判決（性質上屬於司法行動而非行政行動，與030之DAA理論設定不符）、高風險家庭資料建置與預警（實際運作高度仰賴民間基金會，公開文件厚度不足）。相對而言，COVID-19疫情期間建置之電子圍籬智慧監控系統，具備監察院正式調查報告與至少一篇實證研究扎實之法學碩士論文兩項資料來源，且涉及公權力、演算法輔助判斷、人身自由限制等030理論所關切之核心要素，故本文選定電子圍籬個案作為031之單一深度個案。</w:t>
      </w:r>
    </w:p>
    <w:p>
      <w:pPr>
        <w:spacing w:after="160" w:before="200" w:line="360"/>
      </w:pPr>
      <w:r>
        <w:rPr>
          <w:rFonts w:ascii="微軟正黑體" w:cs="微軟正黑體" w:eastAsia="微軟正黑體" w:hAnsi="微軟正黑體"/>
          <w:b/>
          <w:bCs/>
          <w:i w:val="false"/>
          <w:iCs w:val="false"/>
          <w:sz w:val="22"/>
          <w:szCs w:val="22"/>
        </w:rPr>
        <w:t xml:space="preserve">（二）文件層級</w:t>
      </w:r>
    </w:p>
    <w:p>
      <w:pPr>
        <w:spacing w:after="160" w:line="360"/>
      </w:pPr>
      <w:r>
        <w:rPr>
          <w:rFonts w:ascii="微軟正黑體" w:cs="微軟正黑體" w:eastAsia="微軟正黑體" w:hAnsi="微軟正黑體"/>
          <w:b w:val="false"/>
          <w:bCs w:val="false"/>
          <w:i w:val="false"/>
          <w:iCs w:val="false"/>
          <w:sz w:val="22"/>
          <w:szCs w:val="22"/>
        </w:rPr>
        <w:t xml:space="preserve">本文之證據來源性質並不一致，有必要分層說明，而非籠統稱為「一手證據」。監察院111社調0006號調查報告屬官方調查文件，是本文之主要原始資料；林于婷（2022）碩士論文全文則屬學術研究成果，是重要之二次整理與法律分析資料，本文對此採信其整理結果，但不逕自視為本文直接核驗之原始裁判。分層情形如下表：</w:t>
      </w:r>
    </w:p>
    <w:tbl>
      <w:tblPr>
        <w:tblW w:type="dxa" w:w="13000"/>
        <w:tblBorders>
          <w:top w:val="single" w:color="auto" w:sz="4"/>
          <w:left w:val="single" w:color="auto" w:sz="4"/>
          <w:bottom w:val="single" w:color="auto" w:sz="4"/>
          <w:right w:val="single" w:color="auto" w:sz="4"/>
          <w:insideH w:val="single" w:color="auto" w:sz="4"/>
          <w:insideV w:val="single" w:color="auto" w:sz="4"/>
        </w:tblBorders>
      </w:tblPr>
      <w:tblGrid>
        <w:gridCol w:w="2600"/>
        <w:gridCol w:w="10400"/>
      </w:tblGrid>
      <w:tr>
        <w:trPr>
          <w:tblHeader/>
        </w:trPr>
        <w:tc>
          <w:tcPr>
            <w:tcW w:type="dxa" w:w="26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資料</w:t>
            </w:r>
          </w:p>
        </w:tc>
        <w:tc>
          <w:tcPr>
            <w:tcW w:type="dxa" w:w="10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本文採用之定位</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監察院111社調0006號調查報告</w:t>
            </w:r>
          </w:p>
        </w:tc>
        <w:tc>
          <w:tcPr>
            <w:tcW w:type="dxa" w:w="10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官方調查文件，本文之主要原始資料</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林于婷（2022）碩士論文全文</w:t>
            </w:r>
          </w:p>
        </w:tc>
        <w:tc>
          <w:tcPr>
            <w:tcW w:type="dxa" w:w="10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學術研究成果，屬重要之二次整理與法律分析資料；論文對裁判之整理與詮釋，本文採信其整理結果，但不逕視為原始裁判本身</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林于婷論文所整理之106件提審裁判</w:t>
            </w:r>
          </w:p>
        </w:tc>
        <w:tc>
          <w:tcPr>
            <w:tcW w:type="dxa" w:w="10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除已另行取得判決全文者外（如台北高等行政法院111年度行提抗字第1號，已見諸該論文逐字引用之判決理由），均視為經學術整理之次級資料，不視為本文直接核驗之原始裁判</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張德威、黃雙翊（2022/2023）116件裁定統計</w:t>
            </w:r>
          </w:p>
        </w:tc>
        <w:tc>
          <w:tcPr>
            <w:tcW w:type="dxa" w:w="10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另一獨立於林于婷之學術網頁整理，僅提供彙總統計，未附逐案裁判字號對照表，作方向性交叉驗證之用</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林家暘、張陳弘、戴靖芸、何建志等法學期刊文章</w:t>
            </w:r>
          </w:p>
        </w:tc>
        <w:tc>
          <w:tcPr>
            <w:tcW w:type="dxa" w:w="10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二次文獻，僅取得摘要或核心論點頁面，作交叉驗證與補充論點之用</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030、027、028、029（作者前作）</w:t>
            </w:r>
          </w:p>
        </w:tc>
        <w:tc>
          <w:tcPr>
            <w:tcW w:type="dxa" w:w="10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本文分析所依據之理論架構，屬分析工具，非個案證據</w:t>
            </w:r>
          </w:p>
        </w:tc>
      </w:tr>
    </w:tbl>
    <w:p>
      <w:pPr>
        <w:spacing w:after="160" w:before="200" w:line="360"/>
      </w:pPr>
      <w:r>
        <w:rPr>
          <w:rFonts w:ascii="微軟正黑體" w:cs="微軟正黑體" w:eastAsia="微軟正黑體" w:hAnsi="微軟正黑體"/>
          <w:b/>
          <w:bCs/>
          <w:i w:val="false"/>
          <w:iCs w:val="false"/>
          <w:sz w:val="22"/>
          <w:szCs w:val="22"/>
        </w:rPr>
        <w:t xml:space="preserve">（三）分析單位</w:t>
      </w:r>
    </w:p>
    <w:p>
      <w:pPr>
        <w:spacing w:after="160" w:line="360"/>
      </w:pPr>
      <w:r>
        <w:rPr>
          <w:rFonts w:ascii="微軟正黑體" w:cs="微軟正黑體" w:eastAsia="微軟正黑體" w:hAnsi="微軟正黑體"/>
          <w:b w:val="false"/>
          <w:bCs w:val="false"/>
          <w:i w:val="false"/>
          <w:iCs w:val="false"/>
          <w:sz w:val="22"/>
          <w:szCs w:val="22"/>
        </w:rPr>
        <w:t xml:space="preserve">本文以「具體制度事件」與「具體法律／技術命題」為基本分析單位，而非以整篇文件或整件案件作為單一編碼單位。監察院報告或林于婷論文中的每一段具體陳述（例如某一時間點之政策決定、某一法律條文之適用爭議、某一裁定之駁回理由），均被拆解為獨立的分析單位，再依030模型之四個階段進行歸類。同一分析單位得同時歸入兩個以上階段（例如「文獻所載99.5%數據」同時涉及本體論之計算性作用者與規範論之認知性再介入），本文於此類情形依第五節開頭所述之交叉引用原則處理，將完整論證僅置於最適合之階段，其餘階段僅作簡要交叉引用，避免重複論證同一結論。</w:t>
      </w:r>
    </w:p>
    <w:p>
      <w:pPr>
        <w:spacing w:after="160" w:before="200" w:line="360"/>
      </w:pPr>
      <w:r>
        <w:rPr>
          <w:rFonts w:ascii="微軟正黑體" w:cs="微軟正黑體" w:eastAsia="微軟正黑體" w:hAnsi="微軟正黑體"/>
          <w:b/>
          <w:bCs/>
          <w:i w:val="false"/>
          <w:iCs w:val="false"/>
          <w:sz w:val="22"/>
          <w:szCs w:val="22"/>
        </w:rPr>
        <w:t xml:space="preserve">（四）編碼程序</w:t>
      </w:r>
    </w:p>
    <w:p>
      <w:pPr>
        <w:spacing w:after="160" w:line="360"/>
      </w:pPr>
      <w:r>
        <w:rPr>
          <w:rFonts w:ascii="微軟正黑體" w:cs="微軟正黑體" w:eastAsia="微軟正黑體" w:hAnsi="微軟正黑體"/>
          <w:b w:val="false"/>
          <w:bCs w:val="false"/>
          <w:i w:val="false"/>
          <w:iCs w:val="false"/>
          <w:sz w:val="22"/>
          <w:szCs w:val="22"/>
        </w:rPr>
        <w:t xml:space="preserve">為回應對編碼透明度之要求，本文說明如下：全部分析單位之E、I、N、U證據強度標記，均由作者本人依下文編碼定義逐一判定，尚未經過第二位研究者之獨立編碼比對，此為本文第七節已載明之限制之一，讀者宜將本文之判定理解為作者依既定架構之詮釋性分析。本文之編碼工作採敘事式拆解而非統一登錄之編碼表方式進行，故無法提供分析單位之精確總數（保守估計不少於三十筆），此點本身亦為本文方法論之限制。若監察院報告與林于婷論文之陳述有出入，本文以官方報告記載為優先；若屬二次文獻間之詮釋歧異（例如林于婷與其他學者見解不同），本文並陳兩方觀點，不逕行擇一。</w:t>
      </w:r>
    </w:p>
    <w:p>
      <w:pPr>
        <w:spacing w:after="160" w:before="120" w:line="360"/>
      </w:pPr>
      <w:r>
        <w:rPr>
          <w:rFonts w:ascii="微軟正黑體" w:cs="微軟正黑體" w:eastAsia="微軟正黑體" w:hAnsi="微軟正黑體"/>
          <w:b w:val="false"/>
          <w:bCs w:val="false"/>
          <w:i w:val="false"/>
          <w:iCs w:val="false"/>
          <w:sz w:val="22"/>
          <w:szCs w:val="22"/>
        </w:rPr>
        <w:t xml:space="preserve">本文區分四種證據強度標記，並統一以方括號標示：【E】文件明示、【E＋I】文件明示並可作合理推論、【N】本文依030模型所作之規範性評價、【U】資料不足或尚未確認。依此一標記系統，本文在第五節之論證中，凡屬於I、N、U性質之命題，均於行文中以「可能」「顯示」「本文認為」「尚待查證」等用語明示其推論或評價性質，不與E性質之命題使用相同強度之措辭。編碼定義示例與十二項核心分析單位之完整拆解示範，因性質上屬方法示例而非正文論證主體，移至文末附錄（附錄一、附錄二），以使正文更為集中；讀者如欲檢驗本文編碼過程之具體操作，可參照附錄。</w:t>
      </w:r>
    </w:p>
    <w:p>
      <w:pPr>
        <w:spacing w:after="160" w:before="200" w:line="360"/>
      </w:pPr>
      <w:r>
        <w:rPr>
          <w:rFonts w:ascii="微軟正黑體" w:cs="微軟正黑體" w:eastAsia="微軟正黑體" w:hAnsi="微軟正黑體"/>
          <w:b/>
          <w:bCs/>
          <w:i w:val="false"/>
          <w:iCs w:val="false"/>
          <w:sz w:val="22"/>
          <w:szCs w:val="22"/>
        </w:rPr>
        <w:t xml:space="preserve">（五）106件與116件提審資料集之統一單位說明</w:t>
      </w:r>
    </w:p>
    <w:p>
      <w:pPr>
        <w:spacing w:after="160" w:line="360"/>
      </w:pPr>
      <w:r>
        <w:rPr>
          <w:rFonts w:ascii="微軟正黑體" w:cs="微軟正黑體" w:eastAsia="微軟正黑體" w:hAnsi="微軟正黑體"/>
          <w:b w:val="false"/>
          <w:bCs w:val="false"/>
          <w:i w:val="false"/>
          <w:iCs w:val="false"/>
          <w:sz w:val="22"/>
          <w:szCs w:val="22"/>
        </w:rPr>
        <w:t xml:space="preserve">本文全文所涉及之提審統計，來自林于婷（2022）與張德威、黃雙翊（2022/2023）兩份獨立來源，其檢索期間、資料庫與統計單位均不相同，為避免混用「裁判」「案件」「聲請人」等不同單位，本文於此先行以下表統一說明，第五節（三）之詳細分析均以此表為基礎：</w:t>
      </w:r>
    </w:p>
    <w:tbl>
      <w:tblPr>
        <w:tblW w:type="dxa" w:w="15800"/>
        <w:tblBorders>
          <w:top w:val="single" w:color="auto" w:sz="4"/>
          <w:left w:val="single" w:color="auto" w:sz="4"/>
          <w:bottom w:val="single" w:color="auto" w:sz="4"/>
          <w:right w:val="single" w:color="auto" w:sz="4"/>
          <w:insideH w:val="single" w:color="auto" w:sz="4"/>
          <w:insideV w:val="single" w:color="auto" w:sz="4"/>
        </w:tblBorders>
      </w:tblPr>
      <w:tblGrid>
        <w:gridCol w:w="2600"/>
        <w:gridCol w:w="3000"/>
        <w:gridCol w:w="2200"/>
        <w:gridCol w:w="1200"/>
        <w:gridCol w:w="1200"/>
        <w:gridCol w:w="1600"/>
        <w:gridCol w:w="4000"/>
      </w:tblGrid>
      <w:tr>
        <w:trPr>
          <w:tblHeader/>
        </w:trPr>
        <w:tc>
          <w:tcPr>
            <w:tcW w:type="dxa" w:w="26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來源</w:t>
            </w:r>
          </w:p>
        </w:tc>
        <w:tc>
          <w:tcPr>
            <w:tcW w:type="dxa" w:w="30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檢索期間</w:t>
            </w:r>
          </w:p>
        </w:tc>
        <w:tc>
          <w:tcPr>
            <w:tcW w:type="dxa" w:w="2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資料庫</w:t>
            </w:r>
          </w:p>
        </w:tc>
        <w:tc>
          <w:tcPr>
            <w:tcW w:type="dxa" w:w="1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件數</w:t>
            </w:r>
          </w:p>
        </w:tc>
        <w:tc>
          <w:tcPr>
            <w:tcW w:type="dxa" w:w="1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人數</w:t>
            </w:r>
          </w:p>
        </w:tc>
        <w:tc>
          <w:tcPr>
            <w:tcW w:type="dxa" w:w="16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統計單位</w:t>
            </w:r>
          </w:p>
        </w:tc>
        <w:tc>
          <w:tcPr>
            <w:tcW w:type="dxa" w:w="40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可支持的結論</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林于婷（2022）</w:t>
            </w:r>
          </w:p>
        </w:tc>
        <w:tc>
          <w:tcPr>
            <w:tcW w:type="dxa" w:w="3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截至2022年6月25日</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司法院法學資料檢索系統（單一）</w:t>
            </w:r>
          </w:p>
        </w:tc>
        <w:tc>
          <w:tcPr>
            <w:tcW w:type="dxa" w:w="1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106件</w:t>
            </w:r>
          </w:p>
        </w:tc>
        <w:tc>
          <w:tcPr>
            <w:tcW w:type="dxa" w:w="1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未明</w:t>
            </w:r>
          </w:p>
        </w:tc>
        <w:tc>
          <w:tcPr>
            <w:tcW w:type="dxa" w:w="1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裁判／案件</w:t>
            </w:r>
          </w:p>
        </w:tc>
        <w:tc>
          <w:tcPr>
            <w:tcW w:type="dxa" w:w="4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個案理由與類型分析</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張德威、黃雙翊（2022/2023）</w:t>
            </w:r>
          </w:p>
        </w:tc>
        <w:tc>
          <w:tcPr>
            <w:tcW w:type="dxa" w:w="3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2020年12月至2022年12月</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司法院系統、法源法律網、Lawsnote（三資料庫交叉）</w:t>
            </w:r>
          </w:p>
        </w:tc>
        <w:tc>
          <w:tcPr>
            <w:tcW w:type="dxa" w:w="1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116件</w:t>
            </w:r>
          </w:p>
        </w:tc>
        <w:tc>
          <w:tcPr>
            <w:tcW w:type="dxa" w:w="1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119人</w:t>
            </w:r>
          </w:p>
        </w:tc>
        <w:tc>
          <w:tcPr>
            <w:tcW w:type="dxa" w:w="1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裁定／聲請人</w:t>
            </w:r>
          </w:p>
        </w:tc>
        <w:tc>
          <w:tcPr>
            <w:tcW w:type="dxa" w:w="4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駁回率與案件分布的方向性交叉驗證</w:t>
            </w:r>
          </w:p>
        </w:tc>
      </w:tr>
    </w:tbl>
    <w:p>
      <w:pPr>
        <w:spacing w:after="160" w:before="120" w:line="360"/>
      </w:pPr>
      <w:r>
        <w:rPr>
          <w:rFonts w:ascii="微軟正黑體" w:cs="微軟正黑體" w:eastAsia="微軟正黑體" w:hAnsi="微軟正黑體"/>
          <w:b w:val="false"/>
          <w:bCs w:val="false"/>
          <w:i w:val="false"/>
          <w:iCs w:val="false"/>
          <w:sz w:val="22"/>
          <w:szCs w:val="22"/>
        </w:rPr>
        <w:t xml:space="preserve">兩份資料在案件集中於桃園地方法院、機組員占比偏高及駁回比例偏高等方向上呈現相近結果，但因檢索期間、資料庫與統計單位不同，本文不將其視為同一母體的直接重複驗證，僅作方向性交叉參照。就統計單位本身，本文進一步說明：林于婷所稱「106件」，其計量單位為裁判／裁定，同一聲請人若因程序駁回後再次聲請，可能於原始資料中對應一件以上之案號，惟林于婷論文並未逐一交代是否存在此類重複聲請情形，本文亦未逐案核對，故對「106件」是否等於「106位獨立聲請人」不作假定【U】。張德威、黃雙翊之116件裁定則明確以「聲請人119人」與「裁定116件」分列計量，顯示同一資料集中聲請人數與裁定數本即不完全一致（可能因單一聲請人涉及多件裁定，或單一裁定涉及多名聲請人），此一內部差異提示「以件數推論聲請人數」須格外謹慎。至於「83.2%原審駁回」，其分母為該資料集116件裁定中之原審裁定總數，分子為其中經裁定駁回者；本文之轉引未見該網頁提供逐案裁判字號對照表，故此一比例本身仍屬轉引之次級統計，本文未能自行覆核其計算基礎【U】。同理，「無一件裁定使聲請人因隔離處分本身違法而免除續行隔離義務」一語，係轉引自林于婷之整理結論，本文未逐案核對是否存在其他形式之部分救濟或程序性救濟，故不逕行將其擴大解讀為「完全無任何形式之救濟效果」【I】。</w:t>
      </w:r>
    </w:p>
    <w:p>
      <w:pPr>
        <w:pStyle w:val="Heading2"/>
        <w:spacing w:after="160" w:line="360"/>
      </w:pPr>
      <w:r>
        <w:rPr>
          <w:rFonts w:ascii="微軟正黑體" w:cs="微軟正黑體" w:eastAsia="微軟正黑體" w:hAnsi="微軟正黑體"/>
          <w:b/>
          <w:bCs/>
          <w:i w:val="false"/>
          <w:iCs w:val="false"/>
          <w:sz w:val="26"/>
          <w:szCs w:val="26"/>
        </w:rPr>
        <w:t xml:space="preserve">四、電子圍籬制度與文件事實</w:t>
      </w:r>
    </w:p>
    <w:p>
      <w:pPr>
        <w:spacing w:after="160" w:line="360"/>
      </w:pPr>
      <w:r>
        <w:rPr>
          <w:rFonts w:ascii="微軟正黑體" w:cs="微軟正黑體" w:eastAsia="微軟正黑體" w:hAnsi="微軟正黑體"/>
          <w:b w:val="false"/>
          <w:bCs w:val="false"/>
          <w:i w:val="false"/>
          <w:iCs w:val="false"/>
          <w:sz w:val="22"/>
          <w:szCs w:val="22"/>
        </w:rPr>
        <w:t xml:space="preserve">本節僅陳述監察院報告與林于婷（2022）論文所載之制度背景與統計數據，理論性評論留待第五、六節處理。監察院報告全文之頁碼引註，本文依報告PDF檔案內建頁碼為準；下文對報告內容之核心數據性事實，均已盡力查核PDF頁碼，若干程序性、非數據性之敘述因報告未提供逐段頁碼索引、本文亦未能於投稿前完成逐句核對，故仍以「監察院報告」概括標示，此點列為第七節之待補查事項，不逕行虛擬頁碼。</w:t>
      </w:r>
    </w:p>
    <w:p>
      <w:pPr>
        <w:spacing w:after="160" w:line="360"/>
      </w:pPr>
      <w:r>
        <w:rPr>
          <w:rFonts w:ascii="微軟正黑體" w:cs="微軟正黑體" w:eastAsia="微軟正黑體" w:hAnsi="微軟正黑體"/>
          <w:b w:val="false"/>
          <w:bCs w:val="false"/>
          <w:i w:val="false"/>
          <w:iCs w:val="false"/>
          <w:sz w:val="22"/>
          <w:szCs w:val="22"/>
        </w:rPr>
        <w:t xml:space="preserve">2020年COVID-19疫情期間，中央流行疫情指揮中心為落實居家檢疫措施，建置「電子圍籬智慧監控系統」，透過電信業者提供之基地台訊號資料，比對居家檢疫者手機是否離開（1.0版）或進入（2.0版）特定訊號範圍，一旦偵測異常即自動觸發警示，通報地方警政單位或村里長前往查證。監察委員王幼玲、王美玉、高涌誠就本案自動調查，並於111年2月23日審議通過、111年5月27日公告調查報告（案號111社調0006），完整時間序列如下【E】：</w:t>
      </w:r>
    </w:p>
    <w:tbl>
      <w:tblPr>
        <w:tblW w:type="dxa" w:w="12400"/>
        <w:tblBorders>
          <w:top w:val="single" w:color="auto" w:sz="4"/>
          <w:left w:val="single" w:color="auto" w:sz="4"/>
          <w:bottom w:val="single" w:color="auto" w:sz="4"/>
          <w:right w:val="single" w:color="auto" w:sz="4"/>
          <w:insideH w:val="single" w:color="auto" w:sz="4"/>
          <w:insideV w:val="single" w:color="auto" w:sz="4"/>
        </w:tblBorders>
      </w:tblPr>
      <w:tblGrid>
        <w:gridCol w:w="3200"/>
        <w:gridCol w:w="2600"/>
        <w:gridCol w:w="6600"/>
      </w:tblGrid>
      <w:tr>
        <w:trPr>
          <w:tblHeader/>
        </w:trPr>
        <w:tc>
          <w:tcPr>
            <w:tcW w:type="dxa" w:w="3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時間</w:t>
            </w:r>
          </w:p>
        </w:tc>
        <w:tc>
          <w:tcPr>
            <w:tcW w:type="dxa" w:w="26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事項</w:t>
            </w:r>
          </w:p>
        </w:tc>
        <w:tc>
          <w:tcPr>
            <w:tcW w:type="dxa" w:w="66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內容</w:t>
            </w:r>
          </w:p>
        </w:tc>
      </w:tr>
      <w:tr>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109年1月26日</w:t>
            </w:r>
          </w:p>
        </w:tc>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啟動作業</w:t>
            </w:r>
          </w:p>
        </w:tc>
        <w:tc>
          <w:tcPr>
            <w:tcW w:type="dxa" w:w="6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開始辦理居家隔離／檢疫作業</w:t>
            </w:r>
          </w:p>
        </w:tc>
      </w:tr>
      <w:tr>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109年1月27–28日</w:t>
            </w:r>
          </w:p>
        </w:tc>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決策形成</w:t>
            </w:r>
          </w:p>
        </w:tc>
        <w:tc>
          <w:tcPr>
            <w:tcW w:type="dxa" w:w="6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行政院召開多次會議，決議建立電子圍籬機制</w:t>
            </w:r>
          </w:p>
        </w:tc>
      </w:tr>
      <w:tr>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109年2月5日</w:t>
            </w:r>
          </w:p>
        </w:tc>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1.0版上線</w:t>
            </w:r>
          </w:p>
        </w:tc>
        <w:tc>
          <w:tcPr>
            <w:tcW w:type="dxa" w:w="6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電子圍籬1.0實施（監測是否離開特定範圍）</w:t>
            </w:r>
          </w:p>
        </w:tc>
      </w:tr>
      <w:tr>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109年12月25日</w:t>
            </w:r>
          </w:p>
        </w:tc>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2.0版上線</w:t>
            </w:r>
          </w:p>
        </w:tc>
        <w:tc>
          <w:tcPr>
            <w:tcW w:type="dxa" w:w="6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電子圍籬2.0啟動，針對自主健康管理者（監測是否進入特定範圍）</w:t>
            </w:r>
          </w:p>
        </w:tc>
      </w:tr>
      <w:tr>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110年3月1日</w:t>
            </w:r>
          </w:p>
        </w:tc>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2.0版停止</w:t>
            </w:r>
          </w:p>
        </w:tc>
        <w:tc>
          <w:tcPr>
            <w:tcW w:type="dxa" w:w="6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電子圍籬2.0停止實施</w:t>
            </w:r>
          </w:p>
        </w:tc>
      </w:tr>
    </w:tbl>
    <w:p>
      <w:pPr>
        <w:spacing w:after="160" w:line="360"/>
      </w:pPr>
      <w:r>
        <w:rPr>
          <w:rFonts w:ascii="微軟正黑體" w:cs="微軟正黑體" w:eastAsia="微軟正黑體" w:hAnsi="微軟正黑體"/>
          <w:b w:val="false"/>
          <w:bCs w:val="false"/>
          <w:i w:val="false"/>
          <w:iCs w:val="false"/>
          <w:sz w:val="22"/>
          <w:szCs w:val="22"/>
        </w:rPr>
        <w:t xml:space="preserve"/>
      </w:r>
    </w:p>
    <w:p>
      <w:pPr>
        <w:spacing w:after="160" w:before="120" w:line="360"/>
      </w:pPr>
      <w:r>
        <w:rPr>
          <w:rFonts w:ascii="微軟正黑體" w:cs="微軟正黑體" w:eastAsia="微軟正黑體" w:hAnsi="微軟正黑體"/>
          <w:b w:val="false"/>
          <w:bCs w:val="false"/>
          <w:i w:val="false"/>
          <w:iCs w:val="false"/>
          <w:sz w:val="22"/>
          <w:szCs w:val="22"/>
        </w:rPr>
        <w:t xml:space="preserve">規模數據方面，監察院報告記載：管理人數808,576人（居家隔離74,162人＋居家檢疫734,414人）、蒐集門號約66.6萬門、異常告警簡訊1,657,855則（僅中華電信統計），均見於報告第13頁；告警異常案件24,140件（定位異常19,154件、關機異常4,986件），見於報告第14頁；同頁並記載僅1名民眾曾就電子圍籬個資之檢閱、刪除提起訴願及行政訴訟，最終遭駁回【E，監察院報告，頁14】。</w:t>
      </w:r>
    </w:p>
    <w:tbl>
      <w:tblPr>
        <w:tblW w:type="dxa" w:w="12400"/>
        <w:tblBorders>
          <w:top w:val="single" w:color="auto" w:sz="4"/>
          <w:left w:val="single" w:color="auto" w:sz="4"/>
          <w:bottom w:val="single" w:color="auto" w:sz="4"/>
          <w:right w:val="single" w:color="auto" w:sz="4"/>
          <w:insideH w:val="single" w:color="auto" w:sz="4"/>
          <w:insideV w:val="single" w:color="auto" w:sz="4"/>
        </w:tblBorders>
      </w:tblPr>
      <w:tblGrid>
        <w:gridCol w:w="3200"/>
        <w:gridCol w:w="9200"/>
      </w:tblGrid>
      <w:tr>
        <w:trPr>
          <w:tblHeader/>
        </w:trPr>
        <w:tc>
          <w:tcPr>
            <w:tcW w:type="dxa" w:w="3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統計項目</w:t>
            </w:r>
          </w:p>
        </w:tc>
        <w:tc>
          <w:tcPr>
            <w:tcW w:type="dxa" w:w="9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數據（監察院報告）</w:t>
            </w:r>
          </w:p>
        </w:tc>
      </w:tr>
      <w:tr>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管理人數</w:t>
            </w:r>
          </w:p>
        </w:tc>
        <w:tc>
          <w:tcPr>
            <w:tcW w:type="dxa" w:w="9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808,576人（居家隔離74,162人＋居家檢疫734,414人）</w:t>
            </w:r>
          </w:p>
        </w:tc>
      </w:tr>
      <w:tr>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蒐集門號數</w:t>
            </w:r>
          </w:p>
        </w:tc>
        <w:tc>
          <w:tcPr>
            <w:tcW w:type="dxa" w:w="9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約66.6萬門</w:t>
            </w:r>
          </w:p>
        </w:tc>
      </w:tr>
      <w:tr>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異常告警簡訊</w:t>
            </w:r>
          </w:p>
        </w:tc>
        <w:tc>
          <w:tcPr>
            <w:tcW w:type="dxa" w:w="9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1,657,855則（僅中華電信統計）</w:t>
            </w:r>
          </w:p>
        </w:tc>
      </w:tr>
      <w:tr>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告警異常案件</w:t>
            </w:r>
          </w:p>
        </w:tc>
        <w:tc>
          <w:tcPr>
            <w:tcW w:type="dxa" w:w="9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24,140件（定位異常19,154件、關機異常4,986件）</w:t>
            </w:r>
          </w:p>
        </w:tc>
      </w:tr>
    </w:tbl>
    <w:p>
      <w:pPr>
        <w:spacing w:after="160" w:before="120" w:line="360"/>
      </w:pPr>
      <w:r>
        <w:rPr>
          <w:rFonts w:ascii="微軟正黑體" w:cs="微軟正黑體" w:eastAsia="微軟正黑體" w:hAnsi="微軟正黑體"/>
          <w:b w:val="false"/>
          <w:bCs w:val="false"/>
          <w:i w:val="false"/>
          <w:iCs w:val="false"/>
          <w:sz w:val="22"/>
          <w:szCs w:val="22"/>
        </w:rPr>
        <w:t xml:space="preserve">林于婷（2022）論文轉引之資料另載明以下技術細節【E，論文原文陳述；此資料目前僅見於林于婷（2022）之整理，本文未取得電子圍籬系統之官方原始規格文件】：電子圍籬1.0之定位誤差介於54至70公尺之間，系統每10分鐘定位一次，連續出框或關機2次即發送告警簡訊；電子圍籬2.0因疊加大型活動場域之基地台比對與實名制入場名冊交叉核對，論文稱其「精準率」達99.5%。惟原始資料並未清楚說明此一數字之分母、測量程序及指標定義（究係定位成功率、區域判定準確率、抑或告警命中率），本文因此僅將其視為文獻所載之未完全核驗技術數據，不逕行等同於告警命中率、違規查獲率或整體系統準確率；下文為行文簡便，簡稱為「文獻所載99.5%數據」，不再簡化為「準確率達99.5%」。電子圍籬2.0因擔負衛政、警政人員負擔且室內場所無法涵蓋，於110年3月1日停止實施；另有改採GPS定位之電子圍籬3.0，依林于婷論文之陳述，我國「迄未正式啟用」，僅將原始碼提供予有需要之國家參考，此一陳述本文轉引自林于婷論文，尚未查得官方正式說明文件【I】。</w:t>
      </w:r>
    </w:p>
    <w:p>
      <w:pPr>
        <w:spacing w:after="160" w:before="120" w:line="360"/>
      </w:pPr>
      <w:r>
        <w:rPr>
          <w:rFonts w:ascii="微軟正黑體" w:cs="微軟正黑體" w:eastAsia="微軟正黑體" w:hAnsi="微軟正黑體"/>
          <w:b w:val="false"/>
          <w:bCs w:val="false"/>
          <w:i w:val="false"/>
          <w:iCs w:val="false"/>
          <w:sz w:val="22"/>
          <w:szCs w:val="22"/>
        </w:rPr>
        <w:t xml:space="preserve">若受檢疫者未配合疫調，指揮中心進一步串接警政單位既有之「雲龍系統」，比對車行軌跡以還原行蹤。本文之分析主體為電子圍籬智慧監控系統；雲龍系統則是指揮中心於受檢疫者未配合疫調時所串接之輔助查證工具，監察院報告與林于婷論文均未提供雲龍系統本身獨立之法律依據、資料流程或演算法規格之詳細記載（此資料目前僅見於監察院報告之概括提及，本文未取得雲龍系統之官方原始規格或流程文件），本文因此不將其列為與電子圍籬並列之第二個分析對象，僅在論及計算性作用者、資料基礎設施等節點時一併提及其查證輔助功能。</w:t>
      </w:r>
    </w:p>
    <w:p>
      <w:pPr>
        <w:spacing w:after="160" w:before="160" w:line="360"/>
      </w:pPr>
      <w:r>
        <w:rPr>
          <w:rFonts w:ascii="微軟正黑體" w:cs="微軟正黑體" w:eastAsia="微軟正黑體" w:hAnsi="微軟正黑體"/>
          <w:b w:val="false"/>
          <w:bCs w:val="false"/>
          <w:i w:val="false"/>
          <w:iCs w:val="false"/>
          <w:sz w:val="22"/>
          <w:szCs w:val="22"/>
        </w:rPr>
        <w:t xml:space="preserve">為釐清「電子圍籬作為行政政策」「系統作為行政作業工具」「系統告警作為行政程序中之事實資料」「警政查證作為行政執行行為」「居家隔離／檢疫通知作為行政處分」「罰鍰作為最終不利處分」六個層次，避免文章在論證中於各層次間轉換過快，本文另以下表呈現電子圍籬個案自政策決定至最終法律效果之八個制度階段，並逐一標示各階段之行為主體、法律性質、是否直接產生法律效果、是否可被個別救濟，以及其對後續決定之實質影響：</w:t>
      </w:r>
    </w:p>
    <w:tbl>
      <w:tblPr>
        <w:tblW w:type="dxa" w:w="12600"/>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2000"/>
        <w:gridCol w:w="1800"/>
        <w:gridCol w:w="1800"/>
        <w:gridCol w:w="3500"/>
      </w:tblGrid>
      <w:tr>
        <w:trPr>
          <w:tblHeader/>
        </w:trPr>
        <w:tc>
          <w:tcPr>
            <w:tcW w:type="dxa" w:w="15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制度階段</w:t>
            </w:r>
          </w:p>
        </w:tc>
        <w:tc>
          <w:tcPr>
            <w:tcW w:type="dxa" w:w="20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行為主體</w:t>
            </w:r>
          </w:p>
        </w:tc>
        <w:tc>
          <w:tcPr>
            <w:tcW w:type="dxa" w:w="20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法律性質</w:t>
            </w:r>
          </w:p>
        </w:tc>
        <w:tc>
          <w:tcPr>
            <w:tcW w:type="dxa" w:w="18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是否直接產生法律效果</w:t>
            </w:r>
          </w:p>
        </w:tc>
        <w:tc>
          <w:tcPr>
            <w:tcW w:type="dxa" w:w="18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是否可被個別救濟</w:t>
            </w:r>
          </w:p>
        </w:tc>
        <w:tc>
          <w:tcPr>
            <w:tcW w:type="dxa" w:w="35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對後續決定之實質影響</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法律授權／政策決定</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中央流行疫情指揮中心</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概括授權下之行政政策決定</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否（尚未對特定個人發生效力）</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否（政策決定本身難以單獨爭訟）</w:t>
            </w:r>
          </w:p>
        </w:tc>
        <w:tc>
          <w:tcPr>
            <w:tcW w:type="dxa" w:w="3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決定監控措施之整體範圍與正當性基礎，為後續各階段之法律依據來源【E】</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對象與門號納管</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指揮中心、電信業者</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事實行為（資料蒐集之範圍界定）</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否（尚屬內部作業）</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w:t>
            </w:r>
          </w:p>
        </w:tc>
        <w:tc>
          <w:tcPr>
            <w:tcW w:type="dxa" w:w="3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決定納入監控之人數與門號範圍（808,576人、約66.6萬門號），此一界定先於個案審查即已完成【E】</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基地台資料取得</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電信業者</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依個資法目的外利用之事實行為</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理論上得依個資法主張，惟本文未見個案行使之記載</w:t>
            </w:r>
          </w:p>
        </w:tc>
        <w:tc>
          <w:tcPr>
            <w:tcW w:type="dxa" w:w="3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資料取得之範圍與頻率（每10分鐘一次），構成後續比對之技術基礎【E】</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技術參數比對</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定位比對演算法（計算性作用者）</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行政內部之技術性作業，法律性質未經文件明確定性</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否（本文尚不能確認）</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否（現有文件未見對比對過程本身之個別救濟管道）</w:t>
            </w:r>
          </w:p>
        </w:tc>
        <w:tc>
          <w:tcPr>
            <w:tcW w:type="dxa" w:w="3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決定何種訊號變化將被標記為「異常」，即本文所稱之技術效果【E】</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系統告警</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電子圍籬系統</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行政程序中之事實資料／內部通知</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否（告警本身尚非對外行政處分）</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w:t>
            </w:r>
          </w:p>
        </w:tc>
        <w:tc>
          <w:tcPr>
            <w:tcW w:type="dxa" w:w="3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告警自動通報警政、村里長，形成「系統標記—優先查證」之行政效果【E＋I】</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警政或村里查證</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地方警政人員、村里長</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行政執行行為（事實查證）</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否（查證行為本身通常不直接對外發生法律效果）</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本文未見個別救濟管道之記載</w:t>
            </w:r>
          </w:p>
        </w:tc>
        <w:tc>
          <w:tcPr>
            <w:tcW w:type="dxa" w:w="3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查證結果決定是否進入裁罰或維持隔離狀態，屬人類覆核節點【E】</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居家隔離／檢疫措施</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地方衛生主管機關</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行政處分（限制人身自由之強制措施）</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是</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是（提審法；惟審查範圍多數限於逮捕拘禁本身，見五、（三））</w:t>
            </w:r>
          </w:p>
        </w:tc>
        <w:tc>
          <w:tcPr>
            <w:tcW w:type="dxa" w:w="3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構成本案受規範者人身自由受限制之核心法律效果【E】</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罰鍰或其他法律效果</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地方衛生主管機關</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行政處分（不利處分）</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是</w:t>
            </w:r>
          </w:p>
        </w:tc>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是（訴願、行政訴訟）</w:t>
            </w:r>
          </w:p>
        </w:tc>
        <w:tc>
          <w:tcPr>
            <w:tcW w:type="dxa" w:w="3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為對違反查證結果者之最終不利處分，統計上僅極少數個案進入此階段【E】</w:t>
            </w:r>
          </w:p>
        </w:tc>
      </w:tr>
    </w:tbl>
    <w:p>
      <w:pPr>
        <w:spacing w:after="160" w:before="120" w:line="360"/>
      </w:pPr>
      <w:r>
        <w:rPr>
          <w:rFonts w:ascii="微軟正黑體" w:cs="微軟正黑體" w:eastAsia="微軟正黑體" w:hAnsi="微軟正黑體"/>
          <w:b w:val="false"/>
          <w:bCs w:val="false"/>
          <w:i w:val="false"/>
          <w:iCs w:val="false"/>
          <w:sz w:val="22"/>
          <w:szCs w:val="22"/>
        </w:rPr>
        <w:t xml:space="preserve">上表顯示，系統告警本身尚非對外發生法律效果之行政處分，而是行政程序中之事實資料或內部通知；唯有居家隔離／檢疫措施與罰鍰兩階段方構成得受行政救濟之行政處分。本文之核心論點——裁量在正式行政處分前已配置於資料範圍、技術參數與警示流程之中——即是指「對象與門號納管」至「系統告警」四個尚未構成行政處分之前置階段，已對後續「警政或村里查證」及「居家隔離／檢疫措施」產生實質篩選與排序效果，而非主張系統告警本身即為一種行政處分。</w:t>
      </w:r>
    </w:p>
    <w:p>
      <w:pPr>
        <w:pStyle w:val="Heading2"/>
        <w:spacing w:after="160" w:line="360"/>
      </w:pPr>
      <w:r>
        <w:rPr>
          <w:rFonts w:ascii="微軟正黑體" w:cs="微軟正黑體" w:eastAsia="微軟正黑體" w:hAnsi="微軟正黑體"/>
          <w:b/>
          <w:bCs/>
          <w:i w:val="false"/>
          <w:iCs w:val="false"/>
          <w:sz w:val="26"/>
          <w:szCs w:val="26"/>
        </w:rPr>
        <w:t xml:space="preserve">五、依030模型分析</w:t>
      </w:r>
    </w:p>
    <w:p>
      <w:pPr>
        <w:spacing w:after="160" w:line="360"/>
      </w:pPr>
      <w:r>
        <w:rPr>
          <w:rFonts w:ascii="微軟正黑體" w:cs="微軟正黑體" w:eastAsia="微軟正黑體" w:hAnsi="微軟正黑體"/>
          <w:b w:val="false"/>
          <w:bCs w:val="false"/>
          <w:i/>
          <w:iCs/>
          <w:sz w:val="22"/>
          <w:szCs w:val="22"/>
        </w:rPr>
        <w:t xml:space="preserve">以下依030模型之四個分析構面逐一分析，各節固定依「文件事實—模型對應—可支持的推論—尚不能支持的命題」之順序展開，藉此明確標示文件個案研究法所能支持之推論界線。為避免同一材料在不同構面被反覆用以證明相同結論，本文原則上將每一項證據置於最適合之構面完整分析，其他構面僅作簡要交叉引用。本節並依三、（五）之審查層次固定使用「監察院報告記載……」「林于婷認為……」「本文依030模型進一步評價……」之句型區分文件事實、學者見解與作者評價，凡涉及法律違法或違憲程度之判斷，均附加「此一評價不等同於現行法上已確定之違法或違憲結論」之限定語。</w:t>
      </w:r>
    </w:p>
    <w:p>
      <w:pPr>
        <w:spacing w:after="160" w:line="360"/>
      </w:pPr>
      <w:r>
        <w:rPr>
          <w:rFonts w:ascii="微軟正黑體" w:cs="微軟正黑體" w:eastAsia="微軟正黑體" w:hAnsi="微軟正黑體"/>
          <w:b/>
          <w:bCs/>
          <w:i w:val="false"/>
          <w:iCs w:val="false"/>
          <w:sz w:val="24"/>
          <w:szCs w:val="24"/>
        </w:rPr>
        <w:t xml:space="preserve">（一）本體論：分散式行政行動（DAA）四層構成（構成層次）</w:t>
      </w:r>
    </w:p>
    <w:tbl>
      <w:tblPr>
        <w:tblW w:type="dxa" w:w="12900"/>
        <w:tblBorders>
          <w:top w:val="single" w:color="auto" w:sz="4"/>
          <w:left w:val="single" w:color="auto" w:sz="4"/>
          <w:bottom w:val="single" w:color="auto" w:sz="4"/>
          <w:right w:val="single" w:color="auto" w:sz="4"/>
          <w:insideH w:val="single" w:color="auto" w:sz="4"/>
          <w:insideV w:val="single" w:color="auto" w:sz="4"/>
        </w:tblBorders>
      </w:tblPr>
      <w:tblGrid>
        <w:gridCol w:w="1500"/>
        <w:gridCol w:w="2800"/>
        <w:gridCol w:w="6200"/>
        <w:gridCol w:w="2400"/>
      </w:tblGrid>
      <w:tr>
        <w:trPr>
          <w:tblHeader/>
        </w:trPr>
        <w:tc>
          <w:tcPr>
            <w:tcW w:type="dxa" w:w="15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層次</w:t>
            </w:r>
          </w:p>
        </w:tc>
        <w:tc>
          <w:tcPr>
            <w:tcW w:type="dxa" w:w="28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對應機關／要素</w:t>
            </w:r>
          </w:p>
        </w:tc>
        <w:tc>
          <w:tcPr>
            <w:tcW w:type="dxa" w:w="6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具體內容</w:t>
            </w:r>
          </w:p>
        </w:tc>
        <w:tc>
          <w:tcPr>
            <w:tcW w:type="dxa" w:w="2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依027三層裁量注記</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法定行動者</w:t>
            </w:r>
          </w:p>
        </w:tc>
        <w:tc>
          <w:tcPr>
            <w:tcW w:type="dxa" w:w="2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中央流行疫情指揮中心（衛福部疾管署）、地方衛生局、警政署</w:t>
            </w:r>
          </w:p>
        </w:tc>
        <w:tc>
          <w:tcPr>
            <w:tcW w:type="dxa" w:w="6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111社調0006號調查報告確認，指揮中心援引《傳染病防治法》第48條第1項（留驗、指定區域管制或隔離等必要處置）及第58條第1項第4款（其他必要措施）概括授權，決定採行電子圍籬監控措施；同期萬華群聚事件之細胞簡訊與健保卡註記措施則另援引同法第37條概括條款（戴靖芸，2021）。三項條文性質同屬概括授權，本文分析聚焦電子圍籬本身（第48、58條），其餘措施僅作對照。</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判斷行動者</w:t>
            </w:r>
          </w:p>
        </w:tc>
        <w:tc>
          <w:tcPr>
            <w:tcW w:type="dxa" w:w="2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地方警政人員、村里長</w:t>
            </w:r>
          </w:p>
        </w:tc>
        <w:tc>
          <w:tcPr>
            <w:tcW w:type="dxa" w:w="6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接獲系統警示後前往現場查證是否確實違反居家檢疫規定，決定是否開立罰鍰</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計算性作用者</w:t>
            </w:r>
          </w:p>
        </w:tc>
        <w:tc>
          <w:tcPr>
            <w:tcW w:type="dxa" w:w="2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電子圍籬定位比對演算法（基地台訊號範圍判定，1.0版誤差介於54至70公尺、2.0版文獻所載99.5%數據，依林于婷2022論文第二章數據），雲龍系統車牌辨識演算法（查證輔助工具，見四）</w:t>
            </w:r>
          </w:p>
        </w:tc>
        <w:tc>
          <w:tcPr>
            <w:tcW w:type="dxa" w:w="6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依訊號強度／範圍設定，判定「是否離開／進入」特定區域；車牌辨識演算法比對車行軌跡；此類參數是否構成「設計裁量」，見五、（一）之三層拆解</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【E】（技術參數本身）＋【U】（是否構成法律裁量，見五、（一））</w:t>
            </w:r>
          </w:p>
        </w:tc>
      </w:tr>
      <w:tr>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結構性作用者</w:t>
            </w:r>
          </w:p>
        </w:tc>
        <w:tc>
          <w:tcPr>
            <w:tcW w:type="dxa" w:w="2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電信業者定位資料、傳染病防治法概括條款、實聯制措施指引（109年5月28日公布）</w:t>
            </w:r>
          </w:p>
        </w:tc>
        <w:tc>
          <w:tcPr>
            <w:tcW w:type="dxa" w:w="6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808,576人納入管理、約66.6萬門號、1,657,855則告警簡訊（中華電信）、24,140件告警異常案件；電信業者援引個資保護法第20條第1項第2款「為增進公共利益所必要」進行目的外利用</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r>
    </w:tbl>
    <w:p>
      <w:pPr>
        <w:spacing w:after="160" w:before="120" w:line="360"/>
      </w:pPr>
      <w:r>
        <w:rPr>
          <w:rFonts w:ascii="微軟正黑體" w:cs="微軟正黑體" w:eastAsia="微軟正黑體" w:hAnsi="微軟正黑體"/>
          <w:b w:val="false"/>
          <w:bCs w:val="false"/>
          <w:i w:val="false"/>
          <w:iCs w:val="false"/>
          <w:sz w:val="22"/>
          <w:szCs w:val="22"/>
        </w:rPr>
        <w:t xml:space="preserve">１．文件事實：監察院報告確認四類行動者之權限依據；林于婷（2022）論文轉引之技術資料記載定位範圍、頻率與觸發規則等技術參數【E】。</w:t>
      </w:r>
    </w:p>
    <w:p>
      <w:pPr>
        <w:spacing w:after="160" w:line="360"/>
      </w:pPr>
      <w:r>
        <w:rPr>
          <w:rFonts w:ascii="微軟正黑體" w:cs="微軟正黑體" w:eastAsia="微軟正黑體" w:hAnsi="微軟正黑體"/>
          <w:b w:val="false"/>
          <w:bCs w:val="false"/>
          <w:i w:val="false"/>
          <w:iCs w:val="false"/>
          <w:sz w:val="22"/>
          <w:szCs w:val="22"/>
        </w:rPr>
        <w:t xml:space="preserve">２．模型對應：027之DAA四層構成，在本案中可清楚對應——法定行動者為指揮中心、地方衛生局；判斷行動者為警政人員、村里長；計算性作用者為定位比對演算法與雲龍系統車牌辨識；結構性作用者為電信定位資料與概括授權條款。</w:t>
      </w:r>
    </w:p>
    <w:p>
      <w:pPr>
        <w:spacing w:after="160" w:line="360"/>
      </w:pPr>
      <w:r>
        <w:rPr>
          <w:rFonts w:ascii="微軟正黑體" w:cs="微軟正黑體" w:eastAsia="微軟正黑體" w:hAnsi="微軟正黑體"/>
          <w:b w:val="false"/>
          <w:bCs w:val="false"/>
          <w:i w:val="false"/>
          <w:iCs w:val="false"/>
          <w:sz w:val="22"/>
          <w:szCs w:val="22"/>
        </w:rPr>
        <w:t xml:space="preserve">３．可支持的推論：本文將「設計裁量」之可能性拆分為三層，以避免概念混用。【技術效果】——參數影響系統分類與告警：系統存在定位範圍、定位頻率（每10分鐘一次）、連續出框或關機次數（2次）等具體技術設定【E】。【行政效果】——告警影響後續查證資源分配：這些設定進一步決定哪些事件被標記為異常，進而啟動後續查證程序【E＋I】；監察院報告與林于婷論文均顯示，警示僅啟動查證，裁罰仍取決於警政人員到場查證之結果，故警示與裁罰之間存在人類判斷之中介環節。</w:t>
      </w:r>
    </w:p>
    <w:p>
      <w:pPr>
        <w:spacing w:after="160" w:line="360"/>
      </w:pPr>
      <w:r>
        <w:rPr>
          <w:rFonts w:ascii="微軟正黑體" w:cs="微軟正黑體" w:eastAsia="微軟正黑體" w:hAnsi="微軟正黑體"/>
          <w:b w:val="false"/>
          <w:bCs w:val="false"/>
          <w:i w:val="false"/>
          <w:iCs w:val="false"/>
          <w:sz w:val="22"/>
          <w:szCs w:val="22"/>
        </w:rPr>
        <w:t xml:space="preserve">４．尚不能支持的命題：【法律裁量】——參數設定者是否作成具規範性與權利影響之公共決定：監察院報告與林于婷論文均未記載參數設定之責任歸屬與規範性質，該參數之設定是否為行政機關之裁量決定、是否具有法律規範意義、承包商或技術人員是否在設定過程中行使公共權力，此三項子問題現有文件均無法回答【U】。本文因此不逕行斷言技術參數之設定已構成完整意義下之法律裁量，其可能與公私協同治理、委外責任相關之理論性補充，置於第七節「待驗證假說」處理，不作為本階段之結論。</w:t>
      </w:r>
    </w:p>
    <w:p>
      <w:pPr>
        <w:spacing w:after="160" w:line="360"/>
      </w:pPr>
      <w:r>
        <w:rPr>
          <w:rFonts w:ascii="微軟正黑體" w:cs="微軟正黑體" w:eastAsia="微軟正黑體" w:hAnsi="微軟正黑體"/>
          <w:b/>
          <w:bCs/>
          <w:i w:val="false"/>
          <w:iCs w:val="false"/>
          <w:sz w:val="24"/>
          <w:szCs w:val="24"/>
        </w:rPr>
        <w:t xml:space="preserve">（二）結構論：裁量場四節點與裁量空間壓縮（結構節點）</w:t>
      </w:r>
    </w:p>
    <w:tbl>
      <w:tblPr>
        <w:tblW w:type="dxa" w:w="12800"/>
        <w:tblBorders>
          <w:top w:val="single" w:color="auto" w:sz="4"/>
          <w:left w:val="single" w:color="auto" w:sz="4"/>
          <w:bottom w:val="single" w:color="auto" w:sz="4"/>
          <w:right w:val="single" w:color="auto" w:sz="4"/>
          <w:insideH w:val="single" w:color="auto" w:sz="4"/>
          <w:insideV w:val="single" w:color="auto" w:sz="4"/>
        </w:tblBorders>
      </w:tblPr>
      <w:tblGrid>
        <w:gridCol w:w="1800"/>
        <w:gridCol w:w="11000"/>
      </w:tblGrid>
      <w:tr>
        <w:trPr>
          <w:tblHeader/>
        </w:trPr>
        <w:tc>
          <w:tcPr>
            <w:tcW w:type="dxa" w:w="18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節點</w:t>
            </w:r>
          </w:p>
        </w:tc>
        <w:tc>
          <w:tcPr>
            <w:tcW w:type="dxa" w:w="110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具體內容</w:t>
            </w:r>
          </w:p>
        </w:tc>
      </w:tr>
      <w:tr>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前置配置</w:t>
            </w:r>
          </w:p>
        </w:tc>
        <w:tc>
          <w:tcPr>
            <w:tcW w:type="dxa" w:w="1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決定納入監控之門號範圍與資料類型（基地台定位、電信門號資料）；監察院指出萬華區健保卡註記對象之選定與宣布時點失當</w:t>
            </w:r>
          </w:p>
        </w:tc>
      </w:tr>
      <w:tr>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模型轉譯</w:t>
            </w:r>
          </w:p>
        </w:tc>
        <w:tc>
          <w:tcPr>
            <w:tcW w:type="dxa" w:w="1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基地台訊號範圍門檻設定「多遠算離開／進入」（1.0版誤差介於54至70公尺，受都會區／偏遠地區基地台密度影響；2.0版整合大型活動場域基地台比對與實名制入場名冊交叉核對，文獻所載99.5%數據）；雲龍系統車牌比對邏輯將車行軌跡轉譯為可追蹤路徑</w:t>
            </w:r>
          </w:p>
        </w:tc>
      </w:tr>
      <w:tr>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介面引導</w:t>
            </w:r>
          </w:p>
        </w:tc>
        <w:tc>
          <w:tcPr>
            <w:tcW w:type="dxa" w:w="1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警示自動通報予警政與村里長之即時通知機制，形成「系統標記—即時前往查證」的行動預設；24,140件告警異常案件即為此一介面引導機制之具體運作規模</w:t>
            </w:r>
          </w:p>
        </w:tc>
      </w:tr>
      <w:tr>
        <w:tc>
          <w:tcPr>
            <w:tcW w:type="dxa" w:w="1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人類覆核</w:t>
            </w:r>
          </w:p>
        </w:tc>
        <w:tc>
          <w:tcPr>
            <w:tcW w:type="dxa" w:w="1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警政人員到場查證。監察院報告顯示大量資料蒐集（808,576人、約66.6萬門號、1,657,855則簡訊）已在覆核之前完成，覆核僅能就系統已標記之個案進行事後查證，難以回頭檢視前置配置與模型轉譯階段之範圍是否合理</w:t>
            </w:r>
          </w:p>
        </w:tc>
      </w:tr>
    </w:tbl>
    <w:p>
      <w:pPr>
        <w:spacing w:after="160" w:before="120" w:line="360"/>
      </w:pPr>
      <w:r>
        <w:rPr>
          <w:rFonts w:ascii="微軟正黑體" w:cs="微軟正黑體" w:eastAsia="微軟正黑體" w:hAnsi="微軟正黑體"/>
          <w:b w:val="false"/>
          <w:bCs w:val="false"/>
          <w:i w:val="false"/>
          <w:iCs w:val="false"/>
          <w:sz w:val="22"/>
          <w:szCs w:val="22"/>
        </w:rPr>
        <w:t xml:space="preserve">１．文件事實：監察院報告記載，電子圍籬涉及人民權利義務，本應依中央法規標準法第7條訂定授權命令或辦法，惟各機關均以概括授權迴避此一責任（監察院報告，頁28–29）；系統之定位門檻與警示規則已於納入監控名單前預先設定【E】。</w:t>
      </w:r>
    </w:p>
    <w:p>
      <w:pPr>
        <w:spacing w:after="160" w:line="360"/>
      </w:pPr>
      <w:r>
        <w:rPr>
          <w:rFonts w:ascii="微軟正黑體" w:cs="微軟正黑體" w:eastAsia="微軟正黑體" w:hAnsi="微軟正黑體"/>
          <w:b w:val="false"/>
          <w:bCs w:val="false"/>
          <w:i w:val="false"/>
          <w:iCs w:val="false"/>
          <w:sz w:val="22"/>
          <w:szCs w:val="22"/>
        </w:rPr>
        <w:t xml:space="preserve">２．模型對應：028裁量場四節點——前置配置、模型轉譯、介面引導、人類覆核——在本案中均可對應到具體制度環節，如上表所示。</w:t>
      </w:r>
    </w:p>
    <w:p>
      <w:pPr>
        <w:spacing w:after="160" w:line="360"/>
      </w:pPr>
      <w:r>
        <w:rPr>
          <w:rFonts w:ascii="微軟正黑體" w:cs="微軟正黑體" w:eastAsia="微軟正黑體" w:hAnsi="微軟正黑體"/>
          <w:b w:val="false"/>
          <w:bCs w:val="false"/>
          <w:i w:val="false"/>
          <w:iCs w:val="false"/>
          <w:sz w:val="22"/>
          <w:szCs w:val="22"/>
        </w:rPr>
        <w:t xml:space="preserve">３．可支持的推論：張陳弘（2021）認為，我國個資法並無如歐盟GDPR第35條明文規定之資料保護影響評估程序（DPIA），電子圍籬上路前無強制性、事前性之影響評估機制【I，張陳弘之分析】。本文依030模型進一步評價：此一制度性缺口顯示，在前置配置與模型轉譯階段已實質完成之後，人類覆核可能僅能在已經預先窄化之框架內運作【E＋I】；此一評價不等同於現行法上已確定之違法結論。</w:t>
      </w:r>
    </w:p>
    <w:p>
      <w:pPr>
        <w:spacing w:after="160" w:line="360"/>
      </w:pPr>
      <w:r>
        <w:rPr>
          <w:rFonts w:ascii="微軟正黑體" w:cs="微軟正黑體" w:eastAsia="微軟正黑體" w:hAnsi="微軟正黑體"/>
          <w:b w:val="false"/>
          <w:bCs w:val="false"/>
          <w:i w:val="false"/>
          <w:iCs w:val="false"/>
          <w:sz w:val="22"/>
          <w:szCs w:val="22"/>
        </w:rPr>
        <w:t xml:space="preserve">４．尚不能支持的命題：第一線人員於覆核階段是否存在自動化偏誤、機組員案件裁定理由之通案化演變是否與行政端裁量空間壓縮屬同一結構現象、監控技術之城鄉地理分布是否造成不對稱之裁量壓縮效果——此三項均為本文提出之理論延伸，現有監察院報告與林于婷論文均未提供對應之實證資料【U】，詳見第七節「待驗證假說」。</w:t>
      </w:r>
    </w:p>
    <w:p>
      <w:pPr>
        <w:spacing w:after="160" w:line="360"/>
      </w:pPr>
      <w:r>
        <w:rPr>
          <w:rFonts w:ascii="微軟正黑體" w:cs="微軟正黑體" w:eastAsia="微軟正黑體" w:hAnsi="微軟正黑體"/>
          <w:b/>
          <w:bCs/>
          <w:i w:val="false"/>
          <w:iCs w:val="false"/>
          <w:sz w:val="24"/>
          <w:szCs w:val="24"/>
        </w:rPr>
        <w:t xml:space="preserve">（三）風險層：規範轉換條件判定（風險條件）</w:t>
      </w:r>
    </w:p>
    <w:tbl>
      <w:tblPr>
        <w:tblW w:type="dxa" w:w="11600"/>
        <w:tblBorders>
          <w:top w:val="single" w:color="auto" w:sz="4"/>
          <w:left w:val="single" w:color="auto" w:sz="4"/>
          <w:bottom w:val="single" w:color="auto" w:sz="4"/>
          <w:right w:val="single" w:color="auto" w:sz="4"/>
          <w:insideH w:val="single" w:color="auto" w:sz="4"/>
          <w:insideV w:val="single" w:color="auto" w:sz="4"/>
        </w:tblBorders>
      </w:tblPr>
      <w:tblGrid>
        <w:gridCol w:w="1400"/>
        <w:gridCol w:w="10200"/>
      </w:tblGrid>
      <w:tr>
        <w:trPr>
          <w:tblHeader/>
        </w:trPr>
        <w:tc>
          <w:tcPr>
            <w:tcW w:type="dxa" w:w="1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規範轉換條件（依029）</w:t>
            </w:r>
          </w:p>
        </w:tc>
        <w:tc>
          <w:tcPr>
            <w:tcW w:type="dxa" w:w="10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本案證據與判定</w:t>
            </w:r>
          </w:p>
        </w:tc>
      </w:tr>
      <w:tr>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價值條件</w:t>
            </w:r>
          </w:p>
        </w:tc>
        <w:tc>
          <w:tcPr>
            <w:tcW w:type="dxa" w:w="10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111社調0006號報告指出，傳染病防治法第48條、第58條均以概括條款（「必要之處置」「其他必要措施」）因應「手機號碼蒐集」與「位置追蹤」，條文本身未具體規範電子監控手段；報告並引述邱文聰（中研院）之評析，指此類措施反映防疫模式陷入「例外與常態間失落的法治原則」（轉引自監察院報告，原始出處待查）。林于婷（2022）第六章另指出，因應最高法院106年台上字第3788號刑事判決對GPS追蹤違背強制處分法定原則之認定，電子圍籬迄未啟用GPS定位之3.0版本；並以臺灣社交距離App之去中心化設計、可自主決定是否傳輸接觸者資訊為對照，主張電子圍籬之強制性有值得以嚴格比例原則審查之處。本文依監察院報告及林于婷之學術分析認為，電子圍籬之法律授權密度與規範明確性存在疑義；至於該疑義是否已達違法或違憲程度，本文不作確定判斷。刑事GPS判決與行政電子圍籬在憲法審查密度之要求上本有差異——前者連結刑罰追訴、傳統上要求最嚴格之令狀原則；後者涉及防疫之急迫性與專業判斷餘地——本文僅在「同屬對人身位置之持續追蹤」此一限縮意義下引用該判決作為類比素材，不代表本文主張兩者應適用相同審查密度。</w:t>
            </w:r>
          </w:p>
        </w:tc>
      </w:tr>
      <w:tr>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理由條件</w:t>
            </w:r>
          </w:p>
        </w:tc>
        <w:tc>
          <w:tcPr>
            <w:tcW w:type="dxa" w:w="10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報告指出，電子圍籬涉及人民權利義務之措施，應依中央法規標準法第7條訂定授權命令或辦法，惟各機關均以概括授權迴避此一責任，「相關細節、執行程序、範疇及技術性規範更有欠完整」；戴靖芸（2021）就同期萬華健保卡註記措施具體指出授權條款（傳染病防治法第37條）不符合可預測性及授權明確性原則，並藉個資保護法第8條第2項規避知情同意。</w:t>
            </w:r>
          </w:p>
        </w:tc>
      </w:tr>
      <w:tr>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例外條件</w:t>
            </w:r>
          </w:p>
        </w:tc>
        <w:tc>
          <w:tcPr>
            <w:tcW w:type="dxa" w:w="10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報告記載：僅1名民眾曾就電子圍籬個資之檢閱、刪除提起訴願與行政訴訟，最終遭駁回【E，監察院報告，頁14】。林于婷（2022）整理司法院系統中106件提審裁判【E】，張德威、黃雙翊（2022/2023）另整理116件提審裁定【E】，兩份資料之檢索期間、資料庫與統計單位不同，詳見三、（五）比較表；林于婷之分析認為，無一件裁定使聲請人因隔離處分本身違法而免除續行隔離義務【I，屬論文之詮釋性歸納，詳見五、（三）暫定分類討論】。台北高等行政法院111年度行提抗字第1號為其中已取得判決理由逐字引用、並經第二獨立來源交叉確認者，肯認居家檢疫該當拘禁、心理強制之存在，但其法律效果僅止於糾正逮捕拘禁程序。</w:t>
            </w:r>
          </w:p>
        </w:tc>
      </w:tr>
      <w:tr>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責任條件</w:t>
            </w:r>
          </w:p>
        </w:tc>
        <w:tc>
          <w:tcPr>
            <w:tcW w:type="dxa" w:w="10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調查後未見正式糾正案文或要求限期改善之後續記載，報告本身即自承欠缺具體糾正案或後續改善計畫之記載【E；確切頁碼本文尚未查得，見第七節待補查事項】。林于婷（2022）之學術分析認為，現行實務多數見解以「審查範圍限於逮捕拘禁本身合法性、不及於行政處分本身」之方式駁回聲請【I，屬其對裁判理由之類型化歸納】。行政監督（監察院，僅調查未糾正）與司法救濟（提審法）兩軌所呈現之課責缺口，詳見五、（三）之暫定分類討論。</w:t>
            </w:r>
          </w:p>
        </w:tc>
      </w:tr>
    </w:tbl>
    <w:p>
      <w:pPr>
        <w:spacing w:after="160" w:before="120" w:line="360"/>
      </w:pPr>
      <w:r>
        <w:rPr>
          <w:rFonts w:ascii="微軟正黑體" w:cs="微軟正黑體" w:eastAsia="微軟正黑體" w:hAnsi="微軟正黑體"/>
          <w:b w:val="false"/>
          <w:bCs w:val="false"/>
          <w:i w:val="false"/>
          <w:iCs w:val="false"/>
          <w:sz w:val="22"/>
          <w:szCs w:val="22"/>
        </w:rPr>
        <w:t xml:space="preserve">１．文件事實：監察院報告記載，僅1名民眾曾就電子圍籬個資檢閱、刪除提起訴願及行政訴訟，最終遭駁回（監察院報告，頁14）；林于婷（2022）整理司法院系統中106件提審裁判，張德威、黃雙翊（2022/2023）另整理116件提審裁定【E，見三、（五）資料集比較】。</w:t>
      </w:r>
    </w:p>
    <w:p>
      <w:pPr>
        <w:spacing w:after="160" w:line="360"/>
      </w:pPr>
      <w:r>
        <w:rPr>
          <w:rFonts w:ascii="微軟正黑體" w:cs="微軟正黑體" w:eastAsia="微軟正黑體" w:hAnsi="微軟正黑體"/>
          <w:b w:val="false"/>
          <w:bCs w:val="false"/>
          <w:i w:val="false"/>
          <w:iCs w:val="false"/>
          <w:sz w:val="22"/>
          <w:szCs w:val="22"/>
        </w:rPr>
        <w:t xml:space="preserve">２．模型對應：029規範轉換四條件——價值、理由、例外、責任——分別對應電子圍籬之授權密度、說理義務、個案救濟與課責安排，如上表所示。</w:t>
      </w:r>
    </w:p>
    <w:p>
      <w:pPr>
        <w:spacing w:after="160" w:before="200" w:line="360"/>
      </w:pPr>
      <w:r>
        <w:rPr>
          <w:rFonts w:ascii="微軟正黑體" w:cs="微軟正黑體" w:eastAsia="微軟正黑體" w:hAnsi="微軟正黑體"/>
          <w:b/>
          <w:bCs/>
          <w:i w:val="false"/>
          <w:iCs w:val="false"/>
          <w:sz w:val="22"/>
          <w:szCs w:val="22"/>
        </w:rPr>
        <w:t xml:space="preserve">提審實務數據之保守解讀——依既有二次整理所作的暫定分類</w:t>
      </w:r>
    </w:p>
    <w:p>
      <w:pPr>
        <w:spacing w:after="160" w:line="360"/>
      </w:pPr>
      <w:r>
        <w:rPr>
          <w:rFonts w:ascii="微軟正黑體" w:cs="微軟正黑體" w:eastAsia="微軟正黑體" w:hAnsi="微軟正黑體"/>
          <w:b w:val="false"/>
          <w:bCs w:val="false"/>
          <w:i w:val="false"/>
          <w:iCs w:val="false"/>
          <w:sz w:val="22"/>
          <w:szCs w:val="22"/>
        </w:rPr>
        <w:t xml:space="preserve">林于婷（2022）第五章整理居家隔離、居家檢疫者聲請提審之全部裁定，提供了下述系統性資料。惟本文須特別提醒：法院沒有審查某一法律問題，不等於法院認定該問題不存在或行政處分合法；因程序理由駁回之案件，不能被解讀為實體合法性之確認。本文因此不採「106件無一實質勝訴」或「全軍覆沒」之總括性措辭，而依林于婷論文之敘述，將其整理之案件依駁回性質區分為以下三類。此三分類係本文依林于婷（2022）之既有整理所作之暫定分類，而非本文逕行對106件裁判原始文本進行重新編碼之結果，本文尚未逐案核對原始裁判書以確認分類之精確性（見三、（四）與第七節）：（1）已進入實體審查，但未支持聲請人之案件；（2）因程序理由或欠缺拘禁事實而未進入實體審查之案件（如提審法第5條第1項但書第3款、第6款、不開庭逕行駁回等，共計至少37件依此類理由駁回）；（3）法院承認拘禁或心理強制存在（如台北高等行政法院111年度行提抗字第1號），但審查範圍未及基礎隔離處分本身之案件。唯有第一類與第三類方能支持「審查範圍存在結構性切割」此一論點，第二類案件僅能顯示程序性障礙的存在，不宜與前兩類混同解讀為法院對隔離處分合法性之實體確認。</w:t>
      </w:r>
    </w:p>
    <w:tbl>
      <w:tblPr>
        <w:tblW w:type="dxa" w:w="12400"/>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6400"/>
      </w:tblGrid>
      <w:tr>
        <w:trPr>
          <w:tblHeader/>
        </w:trPr>
        <w:tc>
          <w:tcPr>
            <w:tcW w:type="dxa" w:w="26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統計面向</w:t>
            </w:r>
          </w:p>
        </w:tc>
        <w:tc>
          <w:tcPr>
            <w:tcW w:type="dxa" w:w="3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數據（依林于婷2022論文整理）</w:t>
            </w:r>
          </w:p>
        </w:tc>
        <w:tc>
          <w:tcPr>
            <w:tcW w:type="dxa" w:w="6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本文之保守解讀</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時間分布</w:t>
            </w:r>
          </w:p>
        </w:tc>
        <w:tc>
          <w:tcPr>
            <w:tcW w:type="dxa" w:w="3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2020年3件、2021年22件、2022年（截至6/25）72件，合計106件（刑事2件＋行政104件）</w:t>
            </w:r>
          </w:p>
        </w:tc>
        <w:tc>
          <w:tcPr>
            <w:tcW w:type="dxa" w:w="6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案件數逐年遽增；林于婷未逐一說明106件是否存在同一聲請人因程序駁回後再次聲請而重複計入案號之情形，本文對此保留，不逕行假設每一件均為獨立聲請人</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法院分布</w:t>
            </w:r>
          </w:p>
        </w:tc>
        <w:tc>
          <w:tcPr>
            <w:tcW w:type="dxa" w:w="3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桃園地方法院74件（居冠）、台北高等行政法院16件、台北地方法院9件、新北地方法院3件、士林地方法院2件、高等法院1件、高雄地方法院1件</w:t>
            </w:r>
          </w:p>
        </w:tc>
        <w:tc>
          <w:tcPr>
            <w:tcW w:type="dxa" w:w="6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分布集中於桃園地院，與桃園國際機場所在地相關，可信度較高（屬林于婷直接整理之司法院系統查詢結果）</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駁回依據</w:t>
            </w:r>
          </w:p>
        </w:tc>
        <w:tc>
          <w:tcPr>
            <w:tcW w:type="dxa" w:w="3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提審法第5條第1項但書第3款（已回復自由）13件、第6款（無逮捕拘禁事實）13件、不開庭逕行裁定駁回11件</w:t>
            </w:r>
          </w:p>
        </w:tc>
        <w:tc>
          <w:tcPr>
            <w:tcW w:type="dxa" w:w="6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此類駁回屬「未進入實體審查」之程序性駁回，不能解讀為法院已對隔離處分之合法性作出實體否定；應與下列「已進入實體審查」之案件明確區分</w:t>
            </w:r>
          </w:p>
        </w:tc>
      </w:tr>
      <w:tr>
        <w:tc>
          <w:tcPr>
            <w:tcW w:type="dxa" w:w="2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實質結果</w:t>
            </w:r>
          </w:p>
        </w:tc>
        <w:tc>
          <w:tcPr>
            <w:tcW w:type="dxa" w:w="3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林于婷之整理認為，截至其論文完稿為止，無一件裁定使聲請人因隔離處分本身違法而免除續行隔離義務</w:t>
            </w:r>
          </w:p>
        </w:tc>
        <w:tc>
          <w:tcPr>
            <w:tcW w:type="dxa" w:w="6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本文將此一整理結果拆分為三類，見下文「三分類」討論，不逕用「全軍覆沒」或「無一實質勝訴」等總括性措辭</w:t>
            </w:r>
          </w:p>
        </w:tc>
      </w:tr>
    </w:tbl>
    <w:p>
      <w:pPr>
        <w:spacing w:after="160" w:before="120" w:line="360"/>
      </w:pPr>
      <w:r>
        <w:rPr>
          <w:rFonts w:ascii="微軟正黑體" w:cs="微軟正黑體" w:eastAsia="微軟正黑體" w:hAnsi="微軟正黑體"/>
          <w:b w:val="false"/>
          <w:bCs w:val="false"/>
          <w:i w:val="false"/>
          <w:iCs w:val="false"/>
          <w:sz w:val="22"/>
          <w:szCs w:val="22"/>
        </w:rPr>
        <w:t xml:space="preserve">張德威、黃雙翊（2022/2023）之116件裁定統計顯示：83.2%之案件於原審即遭駁回，抗告案件則全數駁回；聲請人中79.8%為男性、69.7%為機組員；62.2%由桃園地方法院受理；77.3%集中於民國111年作成【E，見三、（五）；分母分子界定見三、（五）之補充說明】。此一獨立資料集之發現方向，與林于婷（2022）之整理相近：兩者均顯示提審聲請之駁回率偏高、機組員為主要聲請人口、案件集中於桃園地方法院。此一收斂性，使本文得以在原本僅倚賴單一學位論文整理之基礎上，取得第二個獨立來源之交叉參照，一定程度緩解過度倚賴單一二次文獻之疑慮；惟因兩份資料之檢索期間、資料庫與統計單位不同（見三、（五）），本文不將其視為同一母體之重複驗證。</w:t>
      </w:r>
    </w:p>
    <w:p>
      <w:pPr>
        <w:spacing w:after="160" w:before="120" w:line="360"/>
      </w:pPr>
      <w:r>
        <w:rPr>
          <w:rFonts w:ascii="微軟正黑體" w:cs="微軟正黑體" w:eastAsia="微軟正黑體" w:hAnsi="微軟正黑體"/>
          <w:b w:val="false"/>
          <w:bCs w:val="false"/>
          <w:i w:val="false"/>
          <w:iCs w:val="false"/>
          <w:sz w:val="22"/>
          <w:szCs w:val="22"/>
        </w:rPr>
        <w:t xml:space="preserve">本文另於修訂過程中，取得天策法律事務所（史律師）就台北高等行政法院111年度行提抗字第1號裁定之判解評述一文，該文逐字引述裁定理由，包括法院對「拘禁」之界定——「只要法院以外其他機關經由公權力措施，違反人民意願，使其人身在非短暫時間內受拘束於一定空間，無從依其意願離開，致人身自由遭剝奪」，即屬拘禁——以及對「心理強制」之明確肯認。此一轉引之裁定理由，與林于婷（2022）論文所轉引者方向一致，可視為對該裁定核心論理之交叉參照【E，經第二獨立來源引述確認】；惟此一來源本身仍是法律事務所之判解評述網頁，並非司法院裁判書查詢系統之官方裁定全文，官方全文仍列為第七節之待補查事項。</w:t>
      </w:r>
    </w:p>
    <w:p>
      <w:pPr>
        <w:spacing w:after="160" w:before="200" w:line="360"/>
      </w:pPr>
      <w:r>
        <w:rPr>
          <w:rFonts w:ascii="微軟正黑體" w:cs="微軟正黑體" w:eastAsia="微軟正黑體" w:hAnsi="微軟正黑體"/>
          <w:b/>
          <w:bCs/>
          <w:i w:val="false"/>
          <w:iCs w:val="false"/>
          <w:sz w:val="22"/>
          <w:szCs w:val="22"/>
        </w:rPr>
        <w:t xml:space="preserve">補充：林于婷（2022）之提審法改革倡議與制度銜接問題</w:t>
      </w:r>
    </w:p>
    <w:p>
      <w:pPr>
        <w:spacing w:after="160" w:line="360"/>
      </w:pPr>
      <w:r>
        <w:rPr>
          <w:rFonts w:ascii="微軟正黑體" w:cs="微軟正黑體" w:eastAsia="微軟正黑體" w:hAnsi="微軟正黑體"/>
          <w:b w:val="false"/>
          <w:bCs w:val="false"/>
          <w:i w:val="false"/>
          <w:iCs w:val="false"/>
          <w:sz w:val="22"/>
          <w:szCs w:val="22"/>
        </w:rPr>
        <w:t xml:space="preserve">林于婷於第五章第三節提出三項具體倡議：提審法兼具主觀訴訟與客觀訴訟之性質；聲請提審不以窮盡其他司法救濟程序為前提；提審法院之審查範圍應包含基礎處分本身之合法性。此三項倡議目前仍屬林于婷個人之規範性主張【N，非現行法或多數實務見解】，除臺北高等行政法院111年度行提抗字第1號在「肯認居家檢疫該當拘禁」一點上與其倡議方向一致外，現行實務多數見解尚未採納「提審法院應一併審查基礎處分合法性」之完整主張。本文依030模型進一步評價：此一倡議若真要落實，還須面對提審制度現行由普通法院與行政法院分軌受理之管轄銜接問題——若提審法院之審查範圍擴大至基礎處分（屬行政處分）本身之合法性，是否會與行政法院依訴願法、行政訴訟法對同一行政處分之審查權限產生管轄重疊或衝突【N，本文依UCPR法制可行性所提出之延伸提問，非林于婷論文已處理之問題】；此一評價不等同於現行法上已確定之立法漏洞結論。此一問題本文暫不深入處理，但認為值得列入後續研究議程。</w:t>
      </w:r>
    </w:p>
    <w:p>
      <w:pPr>
        <w:spacing w:after="160" w:before="200" w:line="360"/>
      </w:pPr>
      <w:r>
        <w:rPr>
          <w:rFonts w:ascii="微軟正黑體" w:cs="微軟正黑體" w:eastAsia="微軟正黑體" w:hAnsi="微軟正黑體"/>
          <w:b w:val="false"/>
          <w:bCs w:val="false"/>
          <w:i w:val="false"/>
          <w:iCs w:val="false"/>
          <w:sz w:val="22"/>
          <w:szCs w:val="22"/>
        </w:rPr>
        <w:t xml:space="preserve">３．可支持的推論：依上述暫定分類之保守解讀，現有救濟管道在審查範圍上呈現結構性限制，本文依029模型進一步評價：此一情形可能構成「形式責任與實質能力脫節」之情形【N，本文之理論評價，而非既定法律結論】；此一評價不等同於現行法上已確定之違法或違憲結論。</w:t>
      </w:r>
    </w:p>
    <w:p>
      <w:pPr>
        <w:spacing w:after="160" w:line="360"/>
      </w:pPr>
      <w:r>
        <w:rPr>
          <w:rFonts w:ascii="微軟正黑體" w:cs="微軟正黑體" w:eastAsia="微軟正黑體" w:hAnsi="微軟正黑體"/>
          <w:b w:val="false"/>
          <w:bCs w:val="false"/>
          <w:i w:val="false"/>
          <w:iCs w:val="false"/>
          <w:sz w:val="22"/>
          <w:szCs w:val="22"/>
        </w:rPr>
        <w:t xml:space="preserve">４．尚不能支持的命題：電子圍籬政策是否「違法」或「違憲」，屬於尚未被法院確定之憲法問題，本文不作此一確定結論；106件與116件裁判之精確案件性質分類，仍待原始裁判書逐一核對後方能確認，現有之三分類僅為依既有二次整理所作之暫定分類；提審法院與行政法院間之管轄分工若因提審審查範圍擴大而生之潛在銜接問題，亦僅為本文提出之延伸提問，尚待比較法研究補充。</w:t>
      </w:r>
    </w:p>
    <w:p>
      <w:pPr>
        <w:spacing w:after="160" w:line="360"/>
      </w:pPr>
      <w:r>
        <w:rPr>
          <w:rFonts w:ascii="微軟正黑體" w:cs="微軟正黑體" w:eastAsia="微軟正黑體" w:hAnsi="微軟正黑體"/>
          <w:b/>
          <w:bCs/>
          <w:i w:val="false"/>
          <w:iCs w:val="false"/>
          <w:sz w:val="24"/>
          <w:szCs w:val="24"/>
        </w:rPr>
        <w:t xml:space="preserve">（四）規範論：UCPR三面向檢視（規範評估面向）</w:t>
      </w:r>
    </w:p>
    <w:p>
      <w:pPr>
        <w:spacing w:after="160" w:line="360"/>
      </w:pPr>
      <w:r>
        <w:rPr>
          <w:rFonts w:ascii="微軟正黑體" w:cs="微軟正黑體" w:eastAsia="微軟正黑體" w:hAnsi="微軟正黑體"/>
          <w:b/>
          <w:bCs/>
          <w:i w:val="false"/>
          <w:iCs w:val="false"/>
          <w:sz w:val="22"/>
          <w:szCs w:val="22"/>
        </w:rPr>
        <w:t xml:space="preserve">（甲）認知性再介入</w:t>
      </w:r>
    </w:p>
    <w:p>
      <w:pPr>
        <w:spacing w:after="160" w:line="360"/>
      </w:pPr>
      <w:r>
        <w:rPr>
          <w:rFonts w:ascii="微軟正黑體" w:cs="微軟正黑體" w:eastAsia="微軟正黑體" w:hAnsi="微軟正黑體"/>
          <w:b w:val="false"/>
          <w:bCs w:val="false"/>
          <w:i w:val="false"/>
          <w:iCs w:val="false"/>
          <w:sz w:val="22"/>
          <w:szCs w:val="22"/>
        </w:rPr>
        <w:t xml:space="preserve">監察院報告記載民眾對電子圍籬政策知悉度有限【E】；戴靖芸（2021）認為，政府藉個資保護法第8條第2項規避知情同意程序【I，戴靖芸之分析】，本文依030模型進一步評價：此一情形可能使認知性再介入之制度基礎更形薄弱【N】；此一評價不等同於現行法上已確定之違法結論。此外，第四節已提出之「文獻所載99.5%數據」定義不明問題，本身亦可作為認知性再介入之一項觀察指標：若此一數字之對外傳播效果，是使社會大眾與監督機關對電子圍籬之可靠性產生高於其實際查證效果之信賴，則此一數字本身即可能構成認知性再介入之障礙【N，本文借用科技與社會研究STS一般性觀察對本案提出之方法論提醒，非本案已證實之操縱效果，詳見第七節】。本文並無證據顯示官方或系統承包商刻意以此一數字進行誤導性宣傳，此處僅提出後續觀察方向：未來研究於評估類似AI輔助行政系統之認知性再介入能力時，可將「量化效能指標之原始定義是否公開、可否受第三方查核」列為觀察指標之一。</w:t>
      </w:r>
    </w:p>
    <w:p>
      <w:pPr>
        <w:spacing w:after="160" w:line="360"/>
      </w:pPr>
      <w:r>
        <w:rPr>
          <w:rFonts w:ascii="微軟正黑體" w:cs="微軟正黑體" w:eastAsia="微軟正黑體" w:hAnsi="微軟正黑體"/>
          <w:b/>
          <w:bCs/>
          <w:i w:val="false"/>
          <w:iCs w:val="false"/>
          <w:sz w:val="22"/>
          <w:szCs w:val="22"/>
        </w:rPr>
        <w:t xml:space="preserve">（乙）決策性再介入</w:t>
      </w:r>
    </w:p>
    <w:p>
      <w:pPr>
        <w:spacing w:after="160" w:line="360"/>
      </w:pPr>
      <w:r>
        <w:rPr>
          <w:rFonts w:ascii="微軟正黑體" w:cs="微軟正黑體" w:eastAsia="微軟正黑體" w:hAnsi="微軟正黑體"/>
          <w:b w:val="false"/>
          <w:bCs w:val="false"/>
          <w:i w:val="false"/>
          <w:iCs w:val="false"/>
          <w:sz w:val="22"/>
          <w:szCs w:val="22"/>
        </w:rPr>
        <w:t xml:space="preserve">監察院報告記載，機關對系統實際運作狀況之持續監督與即時修正能力有限，且未依中央法規標準法訂定授權命令規範執行細節（監察院報告，頁28–29）【E】；張陳弘（2021）認為存在DPIA制度缺口【I】，本文依030模型進一步評價：此一情形顯示決策性再介入能力之薄弱，具有法制層次的結構性根源【N】；此一評價不等同於現行法上已確定之違法結論。</w:t>
      </w:r>
    </w:p>
    <w:p>
      <w:pPr>
        <w:spacing w:after="160" w:line="360"/>
      </w:pPr>
      <w:r>
        <w:rPr>
          <w:rFonts w:ascii="微軟正黑體" w:cs="微軟正黑體" w:eastAsia="微軟正黑體" w:hAnsi="微軟正黑體"/>
          <w:b/>
          <w:bCs/>
          <w:i w:val="false"/>
          <w:iCs w:val="false"/>
          <w:sz w:val="22"/>
          <w:szCs w:val="22"/>
        </w:rPr>
        <w:t xml:space="preserve">（丙）課責性再介入</w:t>
      </w:r>
    </w:p>
    <w:p>
      <w:pPr>
        <w:spacing w:after="160" w:line="360"/>
      </w:pPr>
      <w:r>
        <w:rPr>
          <w:rFonts w:ascii="微軟正黑體" w:cs="微軟正黑體" w:eastAsia="微軟正黑體" w:hAnsi="微軟正黑體"/>
          <w:b w:val="false"/>
          <w:bCs w:val="false"/>
          <w:i w:val="false"/>
          <w:iCs w:val="false"/>
          <w:sz w:val="22"/>
          <w:szCs w:val="22"/>
        </w:rPr>
        <w:t xml:space="preserve">監察院之調查與正式報告本身為課責性再介入之實例，報告本文自承欠缺後續糾正與改善計畫之具體記載【E】；此一記載本文目前僅查得報告內容之整體陳述，尚未查得其確切頁碼，本文對此如實標示，列為第七節之待補查事項，不逕行虛擬頁碼。司法救濟一軌，林于婷（2022）認為，現行提審法院之多數實務見解主張，提審法第8條之審查範圍僅及於逮捕、拘禁本身之法律依據、原因及程序合法性，並不及於居家隔離、居家檢疫「行政處分」本身是否違法【I】。本文在此區分三個分析層次：事實層——法院採取何種程序處理方式【E，如上述暫定分類】；解釋層——這些處理方式是否形成審查範圍之結構性切割【I，林于婷之類型化歸納】；規範層——本文依030模型進一步評價此種切割是否與UCPR課責性再介入之要求不相容【N，本文之理論評價；此一評價不等同於現行法上已確定之違法或違憲結論】。將三層分開處理後，本文認為：現有制度之課責缺口並非單一均質的「提審失靈」，而是依受電子圍籬追蹤與否分裂為兩種不同的限制模式——已受追蹤者，提審法院審查範圍侷限於程序層面；未受追蹤（未收到通知書）者，則連提審法院是否受理本身都成為爭點【N，本文綜合上述文件所作之評價】。本文將此一情形描述為「審查範圍與救濟效果存在結構性限制」，而非使用「司法失靈」一詞，以避免對提審制度整體運作作出過於總括性之負面評價。</w:t>
      </w:r>
    </w:p>
    <w:p>
      <w:pPr>
        <w:spacing w:after="160" w:before="200" w:line="360"/>
      </w:pPr>
      <w:r>
        <w:rPr>
          <w:rFonts w:ascii="微軟正黑體" w:cs="微軟正黑體" w:eastAsia="微軟正黑體" w:hAnsi="微軟正黑體"/>
          <w:b w:val="false"/>
          <w:bCs w:val="false"/>
          <w:i w:val="false"/>
          <w:iCs w:val="false"/>
          <w:sz w:val="22"/>
          <w:szCs w:val="22"/>
        </w:rPr>
        <w:t xml:space="preserve">１．文件事實：監察院之調查與提審法之司法救濟，形式上均具備UCPR課責性再介入之制度外觀，但監察院報告自承未產生強制改善效果，提審法院之審查範圍亦有其限制【E】。</w:t>
      </w:r>
    </w:p>
    <w:p>
      <w:pPr>
        <w:spacing w:after="160" w:line="360"/>
      </w:pPr>
      <w:r>
        <w:rPr>
          <w:rFonts w:ascii="微軟正黑體" w:cs="微軟正黑體" w:eastAsia="微軟正黑體" w:hAnsi="微軟正黑體"/>
          <w:b w:val="false"/>
          <w:bCs w:val="false"/>
          <w:i w:val="false"/>
          <w:iCs w:val="false"/>
          <w:sz w:val="22"/>
          <w:szCs w:val="22"/>
        </w:rPr>
        <w:t xml:space="preserve">２．模型對應：UCPR三面向——認知性、決策性、課責性再介入——分別對應民眾知悉程度、機關持續修正能力、監督與救濟機制之實效，如上文（甲）（乙）（丙）所示。</w:t>
      </w:r>
    </w:p>
    <w:p>
      <w:pPr>
        <w:spacing w:after="160" w:line="360"/>
      </w:pPr>
      <w:r>
        <w:rPr>
          <w:rFonts w:ascii="微軟正黑體" w:cs="微軟正黑體" w:eastAsia="微軟正黑體" w:hAnsi="微軟正黑體"/>
          <w:b w:val="false"/>
          <w:bCs w:val="false"/>
          <w:i w:val="false"/>
          <w:iCs w:val="false"/>
          <w:sz w:val="22"/>
          <w:szCs w:val="22"/>
        </w:rPr>
        <w:t xml:space="preserve">３．可支持的推論：本案在認知性、決策性、課責性三面向均能找到對應之文件線索，顯示UCPR概念對本案具有初步之描述適配性。</w:t>
      </w:r>
    </w:p>
    <w:p>
      <w:pPr>
        <w:spacing w:after="160" w:line="360"/>
      </w:pPr>
      <w:r>
        <w:rPr>
          <w:rFonts w:ascii="微軟正黑體" w:cs="微軟正黑體" w:eastAsia="微軟正黑體" w:hAnsi="微軟正黑體"/>
          <w:b w:val="false"/>
          <w:bCs w:val="false"/>
          <w:i w:val="false"/>
          <w:iCs w:val="false"/>
          <w:sz w:val="22"/>
          <w:szCs w:val="22"/>
        </w:rPr>
        <w:t xml:space="preserve">４．尚不能支持的命題：受影響民眾之實際認知程度並無直接調查資料；「文獻所載99.5%數據」之對外傳播是否構成認知性再介入之實質障礙，目前僅為本文提出之方法論提醒，非本案已證實之效果。</w:t>
      </w:r>
    </w:p>
    <w:p>
      <w:pPr>
        <w:pStyle w:val="Heading2"/>
        <w:spacing w:after="160" w:line="360"/>
      </w:pPr>
      <w:r>
        <w:rPr>
          <w:rFonts w:ascii="微軟正黑體" w:cs="微軟正黑體" w:eastAsia="微軟正黑體" w:hAnsi="微軟正黑體"/>
          <w:b/>
          <w:bCs/>
          <w:i w:val="false"/>
          <w:iCs w:val="false"/>
          <w:sz w:val="26"/>
          <w:szCs w:val="26"/>
        </w:rPr>
        <w:t xml:space="preserve">六、模型適配性評估與討論</w:t>
      </w:r>
    </w:p>
    <w:p>
      <w:pPr>
        <w:spacing w:after="160" w:line="360"/>
      </w:pPr>
      <w:r>
        <w:rPr>
          <w:rFonts w:ascii="微軟正黑體" w:cs="微軟正黑體" w:eastAsia="微軟正黑體" w:hAnsi="微軟正黑體"/>
          <w:b/>
          <w:bCs/>
          <w:i w:val="false"/>
          <w:iCs w:val="false"/>
          <w:sz w:val="22"/>
          <w:szCs w:val="22"/>
        </w:rPr>
        <w:t xml:space="preserve">（一）模型適配性評估矩陣</w:t>
      </w:r>
    </w:p>
    <w:p>
      <w:pPr>
        <w:spacing w:after="160" w:line="360"/>
      </w:pPr>
      <w:r>
        <w:rPr>
          <w:rFonts w:ascii="微軟正黑體" w:cs="微軟正黑體" w:eastAsia="微軟正黑體" w:hAnsi="微軟正黑體"/>
          <w:b w:val="false"/>
          <w:bCs w:val="false"/>
          <w:i w:val="false"/>
          <w:iCs w:val="false"/>
          <w:sz w:val="22"/>
          <w:szCs w:val="22"/>
        </w:rPr>
        <w:t xml:space="preserve">為回應「本案是否可能只是任何複雜行政措施都能被套入四個分析構面」之方法論質疑，本文依二、（五）所定判準，就030模型之四個分析構面逐一評定其於本案之對應程度，並列出各構面尚待確認事項，藉此明確區分「模型適配」（是否能在個案中找到對應文件材料）與「個案發現」（該材料是否已構成經驗證實之結論）：</w:t>
      </w:r>
    </w:p>
    <w:tbl>
      <w:tblPr>
        <w:tblW w:type="dxa" w:w="1140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3200"/>
        <w:gridCol w:w="1600"/>
        <w:gridCol w:w="3800"/>
      </w:tblGrid>
      <w:tr>
        <w:trPr>
          <w:tblHeader/>
        </w:trPr>
        <w:tc>
          <w:tcPr>
            <w:tcW w:type="dxa" w:w="1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模型構面</w:t>
            </w:r>
          </w:p>
        </w:tc>
        <w:tc>
          <w:tcPr>
            <w:tcW w:type="dxa" w:w="1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個案對應程度</w:t>
            </w:r>
          </w:p>
        </w:tc>
        <w:tc>
          <w:tcPr>
            <w:tcW w:type="dxa" w:w="3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主要證據</w:t>
            </w:r>
          </w:p>
        </w:tc>
        <w:tc>
          <w:tcPr>
            <w:tcW w:type="dxa" w:w="16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證據層級</w:t>
            </w:r>
          </w:p>
        </w:tc>
        <w:tc>
          <w:tcPr>
            <w:tcW w:type="dxa" w:w="38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尚待確認事項</w:t>
            </w:r>
          </w:p>
        </w:tc>
      </w:tr>
      <w:tr>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DAA四層（構成層次）</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中</w:t>
            </w:r>
          </w:p>
        </w:tc>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法定行動者（指揮中心、地方衛生局）、判斷行動者（警政、村里長）、計算性作用者（定位比對演算法）、結構性作用者（電信定位資料、概括授權條款）均見諸監察院報告</w:t>
            </w:r>
          </w:p>
        </w:tc>
        <w:tc>
          <w:tcPr>
            <w:tcW w:type="dxa" w:w="1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【E】（行動者身分）＋【U】（計算性作用者之裁量性質）</w:t>
            </w:r>
          </w:p>
        </w:tc>
        <w:tc>
          <w:tcPr>
            <w:tcW w:type="dxa" w:w="3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四類行動者間之權責分工文件僅部分載明；技術參數設定是否構成法律意義之裁量，現有文件無法回答</w:t>
            </w:r>
          </w:p>
        </w:tc>
      </w:tr>
      <w:tr>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裁量場四節點（結構節點）</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中</w:t>
            </w:r>
          </w:p>
        </w:tc>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前置配置（納管門號範圍）、模型轉譯（定位門檻設定）、介面引導（自動通報機制）三節點有直接文件記載；人類覆核節點僅知覆核發生於查證階段</w:t>
            </w:r>
          </w:p>
        </w:tc>
        <w:tc>
          <w:tcPr>
            <w:tcW w:type="dxa" w:w="1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【E】（前三節點）＋【U】（人類覆核之實質審查空間）</w:t>
            </w:r>
          </w:p>
        </w:tc>
        <w:tc>
          <w:tcPr>
            <w:tcW w:type="dxa" w:w="3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人類覆核階段之決策歸屬與實質裁量空間，現有文件均未記載；「裁量空間壓縮」是否成立，本文僅能以結構性條件間接推論，非直接證據</w:t>
            </w:r>
          </w:p>
        </w:tc>
      </w:tr>
      <w:tr>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規範轉換四條件（風險條件）</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中</w:t>
            </w:r>
          </w:p>
        </w:tc>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價值、理由條件見監察院報告對授權密度之評析；例外條件見提審裁定統計；責任條件見監察院報告自承欠缺後續記載</w:t>
            </w:r>
          </w:p>
        </w:tc>
        <w:tc>
          <w:tcPr>
            <w:tcW w:type="dxa" w:w="1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【E】（四條件均有對應文件線索）＋【N】（是否構成「實質外部化」之複合判斷）</w:t>
            </w:r>
          </w:p>
        </w:tc>
        <w:tc>
          <w:tcPr>
            <w:tcW w:type="dxa" w:w="3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四條件是否「同時」成立，須綜合判斷而非逐條加總；本案是否已達違法或違憲程度，本文不作確定判斷</w:t>
            </w:r>
          </w:p>
        </w:tc>
      </w:tr>
      <w:tr>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UCPR三面向（規範評估面向）</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中至低</w:t>
            </w:r>
          </w:p>
        </w:tc>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認知性再介入見民眾知悉度資料；決策性再介入見機關授權命令欠缺之記載；課責性再介入見監察院調查與提審司法救濟之制度外觀</w:t>
            </w:r>
          </w:p>
        </w:tc>
        <w:tc>
          <w:tcPr>
            <w:tcW w:type="dxa" w:w="16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【E】（制度外觀存在）＋【N】（制度實效之評價）</w:t>
            </w:r>
          </w:p>
        </w:tc>
        <w:tc>
          <w:tcPr>
            <w:tcW w:type="dxa" w:w="3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受影響民眾之實際認知程度並無直接調查資料；監察院調查與提審救濟之實際再介入效果，僅能以制度外觀推論，非已證實之經驗效果</w:t>
            </w:r>
          </w:p>
        </w:tc>
      </w:tr>
    </w:tbl>
    <w:p>
      <w:pPr>
        <w:spacing w:after="160" w:before="120" w:line="360"/>
      </w:pPr>
      <w:r>
        <w:rPr>
          <w:rFonts w:ascii="微軟正黑體" w:cs="微軟正黑體" w:eastAsia="微軟正黑體" w:hAnsi="微軟正黑體"/>
          <w:b w:val="false"/>
          <w:bCs w:val="false"/>
          <w:i w:val="false"/>
          <w:iCs w:val="false"/>
          <w:sz w:val="22"/>
          <w:szCs w:val="22"/>
        </w:rPr>
        <w:t xml:space="preserve">上表顯示，四個構面於本案之對應程度均為「中」或「中至低」，而非全數為「高」，此一分布本身即說明並非任何素材均能均質地套入四個構面：DAA之計算性作用者、裁量場之人類覆核節點、規範轉換之複合判斷、UCPR之實際再介入效果，均存在明確標示之【U】或【N】層級限制，而非全面獲得【E】層級之直接文件支持。本文據此主張，030模型對本案具有初步、部分的描述適配性，而非全面驗證。</w:t>
      </w:r>
    </w:p>
    <w:p>
      <w:pPr>
        <w:spacing w:after="160" w:before="200" w:line="360"/>
      </w:pPr>
      <w:r>
        <w:rPr>
          <w:rFonts w:ascii="微軟正黑體" w:cs="微軟正黑體" w:eastAsia="微軟正黑體" w:hAnsi="微軟正黑體"/>
          <w:b/>
          <w:bCs/>
          <w:i w:val="false"/>
          <w:iCs w:val="false"/>
          <w:sz w:val="22"/>
          <w:szCs w:val="22"/>
        </w:rPr>
        <w:t xml:space="preserve">（二）行政行動與行政處分之區分：制度流程表的啟示</w:t>
      </w:r>
    </w:p>
    <w:p>
      <w:pPr>
        <w:spacing w:after="160" w:before="120" w:line="360"/>
      </w:pPr>
      <w:r>
        <w:rPr>
          <w:rFonts w:ascii="微軟正黑體" w:cs="微軟正黑體" w:eastAsia="微軟正黑體" w:hAnsi="微軟正黑體"/>
          <w:b w:val="false"/>
          <w:bCs w:val="false"/>
          <w:i w:val="false"/>
          <w:iCs w:val="false"/>
          <w:sz w:val="22"/>
          <w:szCs w:val="22"/>
        </w:rPr>
        <w:t xml:space="preserve">四、之制度流程表顯示，電子圍籬個案之八個制度階段中，僅居家隔離／檢疫措施與罰鍰兩階段構成得受個別救濟之行政處分，其餘六階段則分屬政策決定、事實行為、內部技術作業或執行行為。此一區分回應本文之核心論點：裁量之前置配置發生於「對象與門號納管」至「系統告警」四個尚未構成行政處分之階段，而非主張系統告警本身已具行政處分之法律性質。此一區分同時劃定030模型之解釋範圍——030模型所欲補充者，是既有行政處分中心之分析取徑較少處理的前置技術性配置階段，而非取代行政處分理論本身。</w:t>
      </w:r>
    </w:p>
    <w:p>
      <w:pPr>
        <w:spacing w:after="160" w:before="200" w:line="360"/>
      </w:pPr>
      <w:r>
        <w:rPr>
          <w:rFonts w:ascii="微軟正黑體" w:cs="微軟正黑體" w:eastAsia="微軟正黑體" w:hAnsi="微軟正黑體"/>
          <w:b/>
          <w:bCs/>
          <w:i w:val="false"/>
          <w:iCs w:val="false"/>
          <w:sz w:val="22"/>
          <w:szCs w:val="22"/>
        </w:rPr>
        <w:t xml:space="preserve">（三）030模型增加了什麼分析能力，又與既有行政法分析是何種關係？</w:t>
      </w:r>
    </w:p>
    <w:p>
      <w:pPr>
        <w:spacing w:after="160" w:line="360"/>
      </w:pPr>
      <w:r>
        <w:rPr>
          <w:rFonts w:ascii="微軟正黑體" w:cs="微軟正黑體" w:eastAsia="微軟正黑體" w:hAnsi="微軟正黑體"/>
          <w:b w:val="false"/>
          <w:bCs w:val="false"/>
          <w:i w:val="false"/>
          <w:iCs w:val="false"/>
          <w:sz w:val="22"/>
          <w:szCs w:val="22"/>
        </w:rPr>
        <w:t xml:space="preserve">傳統行政法分析多聚焦於最終具名之行政處分或函釋，較少系統性地追問：在處分作成之前，系統設計階段的參數選擇、資料範圍的前置界定，是否已經實質影響了後續的行政判斷。本案顯示，若僅檢視居家隔離、居家檢疫通知書之合法性，容易忽略電子圍籬系統本身之技術參數對「查證範圍」與「查證優先順序」之實質形塑作用。030模型透過DAA四層構成與裁量場四節點之區分，提供了一套追蹤此類前置技術決定之分析語彙，這是既有行政處分中心之分析取徑較難直接處理的面向。監察院報告本身亦引述邱文聰（中研院）之評析，指此類措施反映臺灣防疫模式陷入「例外與常態間失落的法治原則」（轉引自監察院報告，原始出處待查）；林家暘（2021）則將此類措施定位為「防疫法學2.0時代」的產物——這兩則既有評論，某種程度上呼應了030模型嘗試以系統化架構捕捉之現象。惟需誠實指出：本文在第五節（一）已說明，關於系統參數究竟由何機關設定、依何種性質之規範設定，現有文件仍有相當比例的資訊空缺【U】，此一解釋力目前仍屬部分、有條件的，而非全面的。</w:t>
      </w:r>
    </w:p>
    <w:p>
      <w:pPr>
        <w:spacing w:after="160" w:before="200" w:line="360"/>
      </w:pPr>
      <w:r>
        <w:rPr>
          <w:rFonts w:ascii="微軟正黑體" w:cs="微軟正黑體" w:eastAsia="微軟正黑體" w:hAnsi="微軟正黑體"/>
          <w:b/>
          <w:bCs/>
          <w:i w:val="false"/>
          <w:iCs w:val="false"/>
          <w:sz w:val="22"/>
          <w:szCs w:val="22"/>
        </w:rPr>
        <w:t xml:space="preserve">（四）哪些概念在本案中尚未獲得充分支持？</w:t>
      </w:r>
    </w:p>
    <w:p>
      <w:pPr>
        <w:spacing w:after="160" w:line="360"/>
      </w:pPr>
      <w:r>
        <w:rPr>
          <w:rFonts w:ascii="微軟正黑體" w:cs="微軟正黑體" w:eastAsia="微軟正黑體" w:hAnsi="微軟正黑體"/>
          <w:b w:val="false"/>
          <w:bCs w:val="false"/>
          <w:i w:val="false"/>
          <w:iCs w:val="false"/>
          <w:sz w:val="22"/>
          <w:szCs w:val="22"/>
        </w:rPr>
        <w:t xml:space="preserve">本文在心理強制假說之處理上（見第七節），顯示030模型「結構性作用者」概念若要涵蓋受規制對象之主觀認知影響，需要額外的理論或實證資源（如受監控者調查、認知心理學文獻）方能穩固，現階段僅能停留在假說層次；028之「裁量空間壓縮」概念是否可延伸適用於司法審查階段本身（機組員案例），本案資料亦尚不足以確認，僅能作為028理論未來可能延伸檢視的方向。</w:t>
      </w:r>
    </w:p>
    <w:p>
      <w:pPr>
        <w:spacing w:after="160" w:before="200" w:line="360"/>
      </w:pPr>
      <w:r>
        <w:rPr>
          <w:rFonts w:ascii="微軟正黑體" w:cs="微軟正黑體" w:eastAsia="微軟正黑體" w:hAnsi="微軟正黑體"/>
          <w:b/>
          <w:bCs/>
          <w:i w:val="false"/>
          <w:iCs w:val="false"/>
          <w:sz w:val="22"/>
          <w:szCs w:val="22"/>
        </w:rPr>
        <w:t xml:space="preserve">（五）本案對030模型提出了哪些修正建議？</w:t>
      </w:r>
    </w:p>
    <w:p>
      <w:pPr>
        <w:spacing w:after="160" w:line="360"/>
      </w:pPr>
      <w:r>
        <w:rPr>
          <w:rFonts w:ascii="微軟正黑體" w:cs="微軟正黑體" w:eastAsia="微軟正黑體" w:hAnsi="微軟正黑體"/>
          <w:b w:val="false"/>
          <w:bCs w:val="false"/>
          <w:i w:val="false"/>
          <w:iCs w:val="false"/>
          <w:sz w:val="22"/>
          <w:szCs w:val="22"/>
        </w:rPr>
        <w:t xml:space="preserve">本文認為，030模型未來若要更完整地描述「行政行動如何在正式處分前逐步形成」，宜進一步明確化「模型適配性判準」（如上（一）矩陣）與「經驗支持程度」兩種不同層次的評估標準，避免研究者以模型決定觀察範圍、又以觀察結果反證模型解釋力之循環論證風險。</w:t>
      </w:r>
    </w:p>
    <w:p>
      <w:pPr>
        <w:pStyle w:val="Heading2"/>
        <w:spacing w:after="160" w:line="360"/>
      </w:pPr>
      <w:r>
        <w:rPr>
          <w:rFonts w:ascii="微軟正黑體" w:cs="微軟正黑體" w:eastAsia="微軟正黑體" w:hAnsi="微軟正黑體"/>
          <w:b/>
          <w:bCs/>
          <w:i w:val="false"/>
          <w:iCs w:val="false"/>
          <w:sz w:val="26"/>
          <w:szCs w:val="26"/>
        </w:rPr>
        <w:t xml:space="preserve">七、限制與待驗證假說</w:t>
      </w:r>
    </w:p>
    <w:p>
      <w:pPr>
        <w:spacing w:after="160" w:line="360"/>
      </w:pPr>
      <w:r>
        <w:rPr>
          <w:rFonts w:ascii="微軟正黑體" w:cs="微軟正黑體" w:eastAsia="微軟正黑體" w:hAnsi="微軟正黑體"/>
          <w:b/>
          <w:bCs/>
          <w:i w:val="false"/>
          <w:iCs w:val="false"/>
          <w:sz w:val="22"/>
          <w:szCs w:val="22"/>
        </w:rPr>
        <w:t xml:space="preserve">（一）待驗證假說</w:t>
      </w:r>
    </w:p>
    <w:p>
      <w:pPr>
        <w:spacing w:after="160" w:line="360"/>
      </w:pPr>
      <w:r>
        <w:rPr>
          <w:rFonts w:ascii="微軟正黑體" w:cs="微軟正黑體" w:eastAsia="微軟正黑體" w:hAnsi="微軟正黑體"/>
          <w:b w:val="false"/>
          <w:bCs w:val="false"/>
          <w:i w:val="false"/>
          <w:iCs w:val="false"/>
          <w:sz w:val="22"/>
          <w:szCs w:val="22"/>
        </w:rPr>
        <w:t xml:space="preserve">本文在文件研讀過程中提出以下六項理論性延伸，現有資料尚不足以將其列為本案已確認之發現，僅作為後續研究議程呈現：</w:t>
      </w:r>
    </w:p>
    <w:p>
      <w:pPr>
        <w:spacing w:after="160" w:before="120" w:line="360"/>
      </w:pPr>
      <w:r>
        <w:rPr>
          <w:rFonts w:ascii="微軟正黑體" w:cs="微軟正黑體" w:eastAsia="微軟正黑體" w:hAnsi="微軟正黑體"/>
          <w:b w:val="false"/>
          <w:bCs w:val="false"/>
          <w:i w:val="false"/>
          <w:iCs w:val="false"/>
          <w:sz w:val="22"/>
          <w:szCs w:val="22"/>
        </w:rPr>
        <w:t xml:space="preserve">１．自動化偏誤：本案文件尚不足以判斷第一線人員是否存在自動化偏誤（Skitka, Mosier, &amp; Burdick, 1999）。惟由於系統警示會直接啟動查證流程，未來可依自動化偏誤文獻設計訪談或紀錄分析，以檢驗人類覆核是否具有實質而非形式上的自主判斷。</w:t>
      </w:r>
    </w:p>
    <w:p>
      <w:pPr>
        <w:spacing w:after="160" w:before="120" w:line="360"/>
      </w:pPr>
      <w:r>
        <w:rPr>
          <w:rFonts w:ascii="微軟正黑體" w:cs="微軟正黑體" w:eastAsia="微軟正黑體" w:hAnsi="微軟正黑體"/>
          <w:b w:val="false"/>
          <w:bCs w:val="false"/>
          <w:i w:val="false"/>
          <w:iCs w:val="false"/>
          <w:sz w:val="22"/>
          <w:szCs w:val="22"/>
        </w:rPr>
        <w:t xml:space="preserve">２．城鄉定位差異：電子圍籬1.0之定位誤差確受基地台密度影響，但「基地台密度不同」不必然等於「偏遠地區誤報率較高」，更不必然等於「心理強制較強」，中間至少還涉及系統定位演算法、告警門檻、人員查證方式、實際誤報率、當事人對監控之認知等環節。本文現有資料不足以檢驗此一空間差異假說，僅標示為待驗證假說，不作為本案結論。</w:t>
      </w:r>
    </w:p>
    <w:p>
      <w:pPr>
        <w:spacing w:after="160" w:before="120" w:line="360"/>
      </w:pPr>
      <w:r>
        <w:rPr>
          <w:rFonts w:ascii="微軟正黑體" w:cs="微軟正黑體" w:eastAsia="微軟正黑體" w:hAnsi="微軟正黑體"/>
          <w:b w:val="false"/>
          <w:bCs w:val="false"/>
          <w:i w:val="false"/>
          <w:iCs w:val="false"/>
          <w:sz w:val="22"/>
          <w:szCs w:val="22"/>
        </w:rPr>
        <w:t xml:space="preserve">３．心理強制：本文區分三層——法律概念層：台北高等行政法院111年度行提抗字第1號等裁定肯認心理強制可構成拘禁之一部分【E，經二來源交叉參照】；制度效果層：電子圍籬具備持續監控與違規制裁機制，可能產生心理拘束效果【I，林于婷之法律推論】；個人心理事實層：受監控者是否真的因恐懼、無助（習得性無助，Seligman &amp; Maier, 1967；Hiroto, 1974）而不敢離開，目前並無受監控者訪談或心理資料可資證明【U】。林于婷援引之史丹佛監獄實驗本身在心理學界存在方法與倫理上之重大爭議，證明力較弱，本文僅止於呈現其論證脈絡，不採信該實驗本身作為堅實實證基礎。</w:t>
      </w:r>
    </w:p>
    <w:p>
      <w:pPr>
        <w:spacing w:after="160" w:before="120" w:line="360"/>
      </w:pPr>
      <w:r>
        <w:rPr>
          <w:rFonts w:ascii="微軟正黑體" w:cs="微軟正黑體" w:eastAsia="微軟正黑體" w:hAnsi="微軟正黑體"/>
          <w:b w:val="false"/>
          <w:bCs w:val="false"/>
          <w:i w:val="false"/>
          <w:iCs w:val="false"/>
          <w:sz w:val="22"/>
          <w:szCs w:val="22"/>
        </w:rPr>
        <w:t xml:space="preserve">４．公私協同治理與委外責任：政府智慧防疫系統之建置，依一般公共行政經驗，技術參數之設定可能並非單純由政策機關片面決定，而涉及與系統承包商之技術可行性協商【I，屬公共行政委外治理文獻之一般推論，非本案文件之直接記載】。監察院報告與林于婷論文均未記載電子圍籬系統之採購方式、承包商身分或履約文件內容，此一補充目前僅為理論性延伸【U】。</w:t>
      </w:r>
    </w:p>
    <w:p>
      <w:pPr>
        <w:spacing w:after="160" w:before="120" w:line="360"/>
      </w:pPr>
      <w:r>
        <w:rPr>
          <w:rFonts w:ascii="微軟正黑體" w:cs="微軟正黑體" w:eastAsia="微軟正黑體" w:hAnsi="微軟正黑體"/>
          <w:b w:val="false"/>
          <w:bCs w:val="false"/>
          <w:i w:val="false"/>
          <w:iCs w:val="false"/>
          <w:sz w:val="22"/>
          <w:szCs w:val="22"/>
        </w:rPr>
        <w:t xml:space="preserve">５．機組員案例之裁量空間壓縮延伸：林于婷（2022）整理桃園地方法院與臺北高等行政法院受理機組員聲請提審案件之裁定理由，發現111年度桃園地方法院對大量事實雷同案件逐漸轉為制式駁回，臺北高等行政法院其後指摘此一「通案化」處理方式於法無據【E，見論文表3】。將此一司法端現象與028之「裁量空間壓縮」相提並論，屬本文對028理論之一項外推，行政機關之系統設計與法院之案件審理在組織功能、法律義務與正當程序要求上均有本質差異，本案資料尚不足以確認兩者確屬「同一種結構現象」。</w:t>
      </w:r>
    </w:p>
    <w:p>
      <w:pPr>
        <w:spacing w:after="160" w:before="120" w:line="360"/>
      </w:pPr>
      <w:r>
        <w:rPr>
          <w:rFonts w:ascii="微軟正黑體" w:cs="微軟正黑體" w:eastAsia="微軟正黑體" w:hAnsi="微軟正黑體"/>
          <w:b w:val="false"/>
          <w:bCs w:val="false"/>
          <w:i w:val="false"/>
          <w:iCs w:val="false"/>
          <w:sz w:val="22"/>
          <w:szCs w:val="22"/>
        </w:rPr>
        <w:t xml:space="preserve">６．提審與行政訴訟之管轄銜接：若提審法院之審查範圍擴大至基礎處分合法性，其與行政法院對同一行政處分之審查權限可能產生管轄重疊，此一問題之比較法可行方案，列入本文之後續研究議程（見五、（三）補充討論）。</w:t>
      </w:r>
    </w:p>
    <w:p>
      <w:pPr>
        <w:spacing w:after="160" w:before="200" w:line="360"/>
      </w:pPr>
      <w:r>
        <w:rPr>
          <w:rFonts w:ascii="微軟正黑體" w:cs="微軟正黑體" w:eastAsia="微軟正黑體" w:hAnsi="微軟正黑體"/>
          <w:b/>
          <w:bCs/>
          <w:i w:val="false"/>
          <w:iCs w:val="false"/>
          <w:sz w:val="22"/>
          <w:szCs w:val="22"/>
        </w:rPr>
        <w:t xml:space="preserve">（二）研究限制</w:t>
      </w:r>
    </w:p>
    <w:p>
      <w:pPr>
        <w:spacing w:after="160" w:before="120" w:line="360"/>
      </w:pPr>
      <w:r>
        <w:rPr>
          <w:rFonts w:ascii="微軟正黑體" w:cs="微軟正黑體" w:eastAsia="微軟正黑體" w:hAnsi="微軟正黑體"/>
          <w:b w:val="false"/>
          <w:bCs w:val="false"/>
          <w:i w:val="false"/>
          <w:iCs w:val="false"/>
          <w:sz w:val="22"/>
          <w:szCs w:val="22"/>
        </w:rPr>
        <w:t xml:space="preserve">本文之限制主要有五。其一，本文為單一深度個案研究，其分析結論僅能作為030模型解釋力之初步文件檢視，不足以支持跨案例之通則化主張。其二，本文對機組員聲請提審裁定（約60餘則）之掌握，仍主要透過林于婷論文之整理轉述，尚未逐一調閱司法院法學資料檢索系統之原始裁判全文；就106件提審裁判整體而言，除台北高等行政法院111年度行提抗字第1號已取得逐字引用之判決理由、並經第二獨立來源交叉參照方向一致外，其餘均屬經學術整理之次級資料，未經本文直接核驗，本文亦不將此一交叉參照視為一手資料；五、（三）所述之三分類，係依林于婷之既有整理所作之暫定分類，非本文逐案重新編碼之結果。其三，林家暘（2021）、戴靖芸（2021）、張陳弘（2021）、何建志（2020）四篇二次文獻，本文僅取得摘要或核心論點頁面，未取得全文，其論證細節之引用強度較弱。其四，v1、v2初稿所引用之「簡訊保存逾電信業者一年上限」之說法，歷經監察院報告與林于婷論文之核對，均未能找到對應之具體記載，此一數據疑點迄今未能解決。其五，本文依作者自身之文件研讀進行編碼與判定，尚未經過第二位研究者之獨立編碼比對，編碼之信度未經檢驗，且本文之分析單位未以統一編碼表登錄，無法提供精確總數（見三、（四）），讀者宜將本文對030模型四個分析構面之判定理解為作者依既定架構之詮釋性分析，而非可重複驗證之量化研究結果。</w:t>
      </w:r>
    </w:p>
    <w:p>
      <w:pPr>
        <w:spacing w:after="160" w:before="200" w:line="360"/>
      </w:pPr>
      <w:r>
        <w:rPr>
          <w:rFonts w:ascii="微軟正黑體" w:cs="微軟正黑體" w:eastAsia="微軟正黑體" w:hAnsi="微軟正黑體"/>
          <w:b/>
          <w:bCs/>
          <w:i w:val="false"/>
          <w:iCs w:val="false"/>
          <w:sz w:val="22"/>
          <w:szCs w:val="22"/>
        </w:rPr>
        <w:t xml:space="preserve">（三）建議後續補查之原始資料</w:t>
      </w:r>
    </w:p>
    <w:p>
      <w:pPr>
        <w:spacing w:after="160" w:before="120" w:line="360"/>
      </w:pPr>
      <w:r>
        <w:rPr>
          <w:rFonts w:ascii="微軟正黑體" w:cs="微軟正黑體" w:eastAsia="微軟正黑體" w:hAnsi="微軟正黑體"/>
          <w:b w:val="false"/>
          <w:bCs w:val="false"/>
          <w:i w:val="false"/>
          <w:iCs w:val="false"/>
          <w:sz w:val="22"/>
          <w:szCs w:val="22"/>
        </w:rPr>
        <w:t xml:space="preserve">為使本文由工作稿提升為可投稿版本，本文列出以下建議後續補查之原始資料：（1）監察院調查報告「肆、調查意見」與「伍、處理辦法」部分之精確頁碼與段落引註，包括「無具體糾正案或後續改善計畫記載」一語之確切頁碼（本文目前僅查得報告內容之整體陳述，見四、及五、（四）（丙））；（2）電子圍籬1.0、2.0之官方作業流程、系統規格或政策簡報；（3）各機關在電子圍籬建置與資料提供上之正式公文或會議紀錄；（4）106件提審裁判之原始裁判書，至少取得全部案件之案號、法院、裁判結果與駁回理由，以將現行之暫定分類轉換為逐案核對之分類；（5）臺北高等行政法院111年度行提抗字第1號裁定之官方全文（現已取得學位論文與另一獨立法律評論來源之交叉轉引確認，方向一致，但官方全文本身仍待逕行調閱）；（6）「精準率99.5%」之原始定義；（7）電子圍籬3.0未啟用之正式官方說明；（8）本文所引用文獻之完整書目、頁碼、DOI或正式出版資訊；（9）電子圍籬系統之採購公告、決標資訊或委外契約文件；（10）電子圍籬告警案件依縣市或城鄉別拆分之準確率、誤報率統計；（11）第一線警政人員接獲告警後之實際查證行為紀錄或訪談資料；（12）張德威、黃雙翊（2022/2023）116件裁定資料集之逐案裁判字號與駁回理由對照表，以核實83.2%原審駁回率之計算基礎。</w:t>
      </w:r>
    </w:p>
    <w:p>
      <w:pPr>
        <w:pStyle w:val="Heading2"/>
        <w:spacing w:after="160" w:line="360"/>
      </w:pPr>
      <w:r>
        <w:rPr>
          <w:rFonts w:ascii="微軟正黑體" w:cs="微軟正黑體" w:eastAsia="微軟正黑體" w:hAnsi="微軟正黑體"/>
          <w:b/>
          <w:bCs/>
          <w:i w:val="false"/>
          <w:iCs w:val="false"/>
          <w:sz w:val="26"/>
          <w:szCs w:val="26"/>
        </w:rPr>
        <w:t xml:space="preserve">八、結論與後續研究方向</w:t>
      </w:r>
    </w:p>
    <w:p>
      <w:pPr>
        <w:spacing w:after="120" w:line="360"/>
      </w:pPr>
      <w:r>
        <w:rPr>
          <w:rFonts w:ascii="微軟正黑體" w:cs="微軟正黑體" w:eastAsia="微軟正黑體" w:hAnsi="微軟正黑體"/>
          <w:b w:val="false"/>
          <w:bCs w:val="false"/>
          <w:i w:val="false"/>
          <w:iCs w:val="false"/>
          <w:sz w:val="22"/>
          <w:szCs w:val="22"/>
        </w:rPr>
        <w:t xml:space="preserve">本文以電子圍籬智慧監控系統（及其查證輔助工具雲龍系統）為個案，對030模型之四個分析構面進行初步的文件個案檢視。呼應摘要所揭示之核心論旨，本文之發現可歸納為以下三項結論。</w:t>
      </w:r>
    </w:p>
    <w:p>
      <w:pPr>
        <w:spacing w:after="160" w:before="120" w:line="360"/>
      </w:pPr>
      <w:r>
        <w:rPr>
          <w:rFonts w:ascii="微軟正黑體" w:cs="微軟正黑體" w:eastAsia="微軟正黑體" w:hAnsi="微軟正黑體"/>
          <w:b w:val="false"/>
          <w:bCs w:val="false"/>
          <w:i w:val="false"/>
          <w:iCs w:val="false"/>
          <w:sz w:val="22"/>
          <w:szCs w:val="22"/>
        </w:rPr>
        <w:t xml:space="preserve">描述性結論：電子圍籬個案顯示，防疫行政行動並非由單一行政機關獨立完成，而是由法定行政機關、第一線執行人員、定位與資料系統及相關基礎設施共同構成（見五、（一）；六、（一）（二））。</w:t>
      </w:r>
    </w:p>
    <w:p>
      <w:pPr>
        <w:spacing w:after="160" w:before="120" w:line="360"/>
      </w:pPr>
      <w:r>
        <w:rPr>
          <w:rFonts w:ascii="微軟正黑體" w:cs="微軟正黑體" w:eastAsia="微軟正黑體" w:hAnsi="微軟正黑體"/>
          <w:b w:val="false"/>
          <w:bCs w:val="false"/>
          <w:i w:val="false"/>
          <w:iCs w:val="false"/>
          <w:sz w:val="22"/>
          <w:szCs w:val="22"/>
        </w:rPr>
        <w:t xml:space="preserve">結構性結論：文件足以支持資料納入範圍、定位方式與警示流程在正式查證前即產生重要的篩選與排序效果，此等效果本文明確標示為技術效果與行政效果；但現有資料尚不足以確認這些參數的具體決策者及其是否具有法律意義上的裁量性質（見五、（一）、（二）；六、（一）（二））。</w:t>
      </w:r>
    </w:p>
    <w:p>
      <w:pPr>
        <w:spacing w:after="160" w:before="120" w:line="360"/>
      </w:pPr>
      <w:r>
        <w:rPr>
          <w:rFonts w:ascii="微軟正黑體" w:cs="微軟正黑體" w:eastAsia="微軟正黑體" w:hAnsi="微軟正黑體"/>
          <w:b w:val="false"/>
          <w:bCs w:val="false"/>
          <w:i w:val="false"/>
          <w:iCs w:val="false"/>
          <w:sz w:val="22"/>
          <w:szCs w:val="22"/>
        </w:rPr>
        <w:t xml:space="preserve">規範性結論：監察院調查與提審制度均提供某種形式的再介入機制，但現有文件顯示，資訊公開、基礎處分審查範圍與改善責任之間可能存在初步落差。這些材料支持的是「UCPR風險的初步辨識」，而非已證明UCPR在本案中完全失效（見五、（三）、（四）；六、（一））。</w:t>
      </w:r>
    </w:p>
    <w:p>
      <w:pPr>
        <w:spacing w:after="160" w:before="120" w:line="360"/>
      </w:pPr>
      <w:r>
        <w:rPr>
          <w:rFonts w:ascii="微軟正黑體" w:cs="微軟正黑體" w:eastAsia="微軟正黑體" w:hAnsi="微軟正黑體"/>
          <w:b w:val="false"/>
          <w:bCs w:val="false"/>
          <w:i w:val="false"/>
          <w:iCs w:val="false"/>
          <w:sz w:val="22"/>
          <w:szCs w:val="22"/>
        </w:rPr>
        <w:t xml:space="preserve">此三項結論已足以支撐本文之核心主張：若行政法分析只追蹤最後簽名或正式處分，就可能忽略真正影響人民權利的前置裁量與技術性配置。030模型之四個分析構面，在本案中均能找到對應之文件線索（對應程度多為「中」，見六、（一）模型適配性評估矩陣），顯示其對於分析此類分散式行政行動具有初步的解釋力與可操作性；但囿於單一個案、部分資料僅透過學術論文整理轉引、以及編碼信度尚未經第二位研究者檢驗等限制，本文之結論性質仍屬初步、有條件的個案觀察，不宜提升為對030模型之確定性實證驗證，亦不代表電子圍籬制度已被證明違法或違憲。心理強制、城鄉不平等、委外協商等第七節所列之待驗證假說，不作為本文已獲證明之結果。</w:t>
      </w:r>
    </w:p>
    <w:p>
      <w:pPr>
        <w:spacing w:after="160" w:before="120" w:line="360"/>
      </w:pPr>
      <w:r>
        <w:rPr>
          <w:rFonts w:ascii="微軟正黑體" w:cs="微軟正黑體" w:eastAsia="微軟正黑體" w:hAnsi="微軟正黑體"/>
          <w:b w:val="false"/>
          <w:bCs w:val="false"/>
          <w:i w:val="false"/>
          <w:iCs w:val="false"/>
          <w:sz w:val="22"/>
          <w:szCs w:val="22"/>
        </w:rPr>
        <w:t xml:space="preserve">受限於單一深度個案之研究設計，本文對後續研究之展望暫不逐一列出各篇研究計畫之具體分工，僅指出兩個方向值得優先推進：其一，取得監察院報告調查意見與處理辦法部分之逐頁引註，以及106件、116件提審裁判之原始文本，將本文現有之暫定分類轉換為逐案核對之確定分類；其二，將六、（一）之模型適配性評估矩陣所標示之【U】項目（如計算性作用者之裁量性質、人類覆核之實質審查空間、UCPR之實際再介入效果）列為後續研究之優先查證對象，以檢驗030模型之解釋力是否能自「初步概念適配」提升至「經驗證實」之層次。</w:t>
      </w:r>
    </w:p>
    <w:p>
      <w:pPr>
        <w:pStyle w:val="Heading2"/>
        <w:spacing w:after="160" w:line="360"/>
      </w:pPr>
      <w:r>
        <w:rPr>
          <w:rFonts w:ascii="微軟正黑體" w:cs="微軟正黑體" w:eastAsia="微軟正黑體" w:hAnsi="微軟正黑體"/>
          <w:b/>
          <w:bCs/>
          <w:i w:val="false"/>
          <w:iCs w:val="false"/>
          <w:sz w:val="26"/>
          <w:szCs w:val="26"/>
        </w:rPr>
        <w:t xml:space="preserve">附錄</w:t>
      </w:r>
    </w:p>
    <w:p>
      <w:pPr>
        <w:spacing w:after="160" w:line="360"/>
      </w:pPr>
      <w:r>
        <w:rPr>
          <w:rFonts w:ascii="微軟正黑體" w:cs="微軟正黑體" w:eastAsia="微軟正黑體" w:hAnsi="微軟正黑體"/>
          <w:b/>
          <w:bCs/>
          <w:i w:val="false"/>
          <w:iCs w:val="false"/>
          <w:sz w:val="22"/>
          <w:szCs w:val="22"/>
        </w:rPr>
        <w:t xml:space="preserve">附錄一、編碼定義示例</w:t>
      </w:r>
    </w:p>
    <w:p>
      <w:pPr>
        <w:spacing w:after="160" w:line="360"/>
      </w:pPr>
      <w:r>
        <w:rPr>
          <w:rFonts w:ascii="微軟正黑體" w:cs="微軟正黑體" w:eastAsia="微軟正黑體" w:hAnsi="微軟正黑體"/>
          <w:b w:val="false"/>
          <w:bCs w:val="false"/>
          <w:i w:val="false"/>
          <w:iCs w:val="false"/>
          <w:sz w:val="22"/>
          <w:szCs w:val="22"/>
        </w:rPr>
        <w:t xml:space="preserve">以下五組編碼示例，說明本文三、（四）所述之編碼程序如何具體運作，非窮盡列出本文所涉及之全部分析單位：</w:t>
      </w:r>
    </w:p>
    <w:tbl>
      <w:tblPr>
        <w:tblW w:type="dxa" w:w="12000"/>
        <w:tblBorders>
          <w:top w:val="single" w:color="auto" w:sz="4"/>
          <w:left w:val="single" w:color="auto" w:sz="4"/>
          <w:bottom w:val="single" w:color="auto" w:sz="4"/>
          <w:right w:val="single" w:color="auto" w:sz="4"/>
          <w:insideH w:val="single" w:color="auto" w:sz="4"/>
          <w:insideV w:val="single" w:color="auto" w:sz="4"/>
        </w:tblBorders>
      </w:tblPr>
      <w:tblGrid>
        <w:gridCol w:w="1300"/>
        <w:gridCol w:w="2200"/>
        <w:gridCol w:w="3800"/>
        <w:gridCol w:w="3200"/>
        <w:gridCol w:w="1500"/>
      </w:tblGrid>
      <w:tr>
        <w:trPr>
          <w:tblHeader/>
        </w:trPr>
        <w:tc>
          <w:tcPr>
            <w:tcW w:type="dxa" w:w="13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編碼</w:t>
            </w:r>
          </w:p>
        </w:tc>
        <w:tc>
          <w:tcPr>
            <w:tcW w:type="dxa" w:w="2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定義</w:t>
            </w:r>
          </w:p>
        </w:tc>
        <w:tc>
          <w:tcPr>
            <w:tcW w:type="dxa" w:w="38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判定問題</w:t>
            </w:r>
          </w:p>
        </w:tc>
        <w:tc>
          <w:tcPr>
            <w:tcW w:type="dxa" w:w="3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證據例</w:t>
            </w:r>
          </w:p>
        </w:tc>
        <w:tc>
          <w:tcPr>
            <w:tcW w:type="dxa" w:w="15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本文證據強度</w:t>
            </w:r>
          </w:p>
        </w:tc>
      </w:tr>
      <w:tr>
        <w:tc>
          <w:tcPr>
            <w:tcW w:type="dxa" w:w="13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DAA-1</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法定行動者</w:t>
            </w:r>
          </w:p>
        </w:tc>
        <w:tc>
          <w:tcPr>
            <w:tcW w:type="dxa" w:w="3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誰具有形式法律權限？</w:t>
            </w:r>
          </w:p>
        </w:tc>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中央流行疫情指揮中心、地方衛生局（監察院報告原文列名）</w:t>
            </w:r>
          </w:p>
        </w:tc>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r>
      <w:tr>
        <w:tc>
          <w:tcPr>
            <w:tcW w:type="dxa" w:w="13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DAA-3</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計算性作用者／設計裁量</w:t>
            </w:r>
          </w:p>
        </w:tc>
        <w:tc>
          <w:tcPr>
            <w:tcW w:type="dxa" w:w="3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哪些系統參數之設定實質影響人民權利？</w:t>
            </w:r>
          </w:p>
        </w:tc>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基地台訊號範圍門檻、告警觸發條件</w:t>
            </w:r>
          </w:p>
        </w:tc>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【E＋I】</w:t>
            </w:r>
          </w:p>
        </w:tc>
      </w:tr>
      <w:tr>
        <w:tc>
          <w:tcPr>
            <w:tcW w:type="dxa" w:w="13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CF-1</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前置配置</w:t>
            </w:r>
          </w:p>
        </w:tc>
        <w:tc>
          <w:tcPr>
            <w:tcW w:type="dxa" w:w="3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誰決定納入監控之對象與資料範圍？</w:t>
            </w:r>
          </w:p>
        </w:tc>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808,576人、約66.6萬門號（監察院報告數據）</w:t>
            </w:r>
          </w:p>
        </w:tc>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r>
      <w:tr>
        <w:tc>
          <w:tcPr>
            <w:tcW w:type="dxa" w:w="13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RC-3</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例外條件</w:t>
            </w:r>
          </w:p>
        </w:tc>
        <w:tc>
          <w:tcPr>
            <w:tcW w:type="dxa" w:w="3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受影響人民是否有實質可行之個案救濟？</w:t>
            </w:r>
          </w:p>
        </w:tc>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106件（林于婷）／116件（張德威、黃雙翊）聲請提審裁定整理</w:t>
            </w:r>
          </w:p>
        </w:tc>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【E＋I】（見三、（五）資料集比較）</w:t>
            </w:r>
          </w:p>
        </w:tc>
      </w:tr>
      <w:tr>
        <w:tc>
          <w:tcPr>
            <w:tcW w:type="dxa" w:w="13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UCPR-3</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課責性再介入</w:t>
            </w:r>
          </w:p>
        </w:tc>
        <w:tc>
          <w:tcPr>
            <w:tcW w:type="dxa" w:w="38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是否存在具實效之課責與救濟機制？</w:t>
            </w:r>
          </w:p>
        </w:tc>
        <w:tc>
          <w:tcPr>
            <w:tcW w:type="dxa" w:w="3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監察院調查無糾正案記載；提審法院審查範圍之學術評析</w:t>
            </w:r>
          </w:p>
        </w:tc>
        <w:tc>
          <w:tcPr>
            <w:tcW w:type="dxa" w:w="15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【E＋I】</w:t>
            </w:r>
          </w:p>
        </w:tc>
      </w:tr>
    </w:tbl>
    <w:p>
      <w:pPr>
        <w:spacing w:after="160" w:before="200" w:line="360"/>
      </w:pPr>
      <w:r>
        <w:rPr>
          <w:rFonts w:ascii="微軟正黑體" w:cs="微軟正黑體" w:eastAsia="微軟正黑體" w:hAnsi="微軟正黑體"/>
          <w:b/>
          <w:bCs/>
          <w:i w:val="false"/>
          <w:iCs w:val="false"/>
          <w:sz w:val="22"/>
          <w:szCs w:val="22"/>
        </w:rPr>
        <w:t xml:space="preserve">附錄二、分析矩陣完整示範</w:t>
      </w:r>
    </w:p>
    <w:p>
      <w:pPr>
        <w:spacing w:after="160" w:line="360"/>
      </w:pPr>
      <w:r>
        <w:rPr>
          <w:rFonts w:ascii="微軟正黑體" w:cs="微軟正黑體" w:eastAsia="微軟正黑體" w:hAnsi="微軟正黑體"/>
          <w:b w:val="false"/>
          <w:bCs w:val="false"/>
          <w:i w:val="false"/>
          <w:iCs w:val="false"/>
          <w:sz w:val="22"/>
          <w:szCs w:val="22"/>
        </w:rPr>
        <w:t xml:space="preserve">以下十二項核心分析單位之拆解方式與證據強度判定過程，用以示範本文三、（四）所述之編碼程序，正文第五節之分析已將此等單位整合入各構面之論證中，此處僅作方法透明化之附錄呈現：</w:t>
      </w:r>
    </w:p>
    <w:tbl>
      <w:tblPr>
        <w:tblW w:type="dxa" w:w="11300"/>
        <w:tblBorders>
          <w:top w:val="single" w:color="auto" w:sz="4"/>
          <w:left w:val="single" w:color="auto" w:sz="4"/>
          <w:bottom w:val="single" w:color="auto" w:sz="4"/>
          <w:right w:val="single" w:color="auto" w:sz="4"/>
          <w:insideH w:val="single" w:color="auto" w:sz="4"/>
          <w:insideV w:val="single" w:color="auto" w:sz="4"/>
        </w:tblBorders>
      </w:tblPr>
      <w:tblGrid>
        <w:gridCol w:w="1000"/>
        <w:gridCol w:w="1400"/>
        <w:gridCol w:w="2400"/>
        <w:gridCol w:w="1400"/>
        <w:gridCol w:w="2200"/>
        <w:gridCol w:w="900"/>
        <w:gridCol w:w="2000"/>
      </w:tblGrid>
      <w:tr>
        <w:trPr>
          <w:tblHeader/>
        </w:trPr>
        <w:tc>
          <w:tcPr>
            <w:tcW w:type="dxa" w:w="10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分析單位</w:t>
            </w:r>
          </w:p>
        </w:tc>
        <w:tc>
          <w:tcPr>
            <w:tcW w:type="dxa" w:w="1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文件位置</w:t>
            </w:r>
          </w:p>
        </w:tc>
        <w:tc>
          <w:tcPr>
            <w:tcW w:type="dxa" w:w="2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明示內容</w:t>
            </w:r>
          </w:p>
        </w:tc>
        <w:tc>
          <w:tcPr>
            <w:tcW w:type="dxa" w:w="14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模型階段</w:t>
            </w:r>
          </w:p>
        </w:tc>
        <w:tc>
          <w:tcPr>
            <w:tcW w:type="dxa" w:w="22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推論命題</w:t>
            </w:r>
          </w:p>
        </w:tc>
        <w:tc>
          <w:tcPr>
            <w:tcW w:type="dxa" w:w="9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證據強度</w:t>
            </w:r>
          </w:p>
        </w:tc>
        <w:tc>
          <w:tcPr>
            <w:tcW w:type="dxa" w:w="2000"/>
            <w:shd w:fill="1F3864" w:val="clear"/>
            <w:tcMar>
              <w:top w:type="dxa" w:w="80"/>
              <w:left w:type="dxa" w:w="100"/>
              <w:bottom w:type="dxa" w:w="80"/>
              <w:right w:type="dxa" w:w="100"/>
            </w:tcMar>
            <w:vAlign w:val="center"/>
          </w:tcPr>
          <w:p>
            <w:pPr>
              <w:spacing w:after="60"/>
            </w:pPr>
            <w:r>
              <w:rPr>
                <w:rFonts w:ascii="微軟正黑體" w:cs="微軟正黑體" w:eastAsia="微軟正黑體" w:hAnsi="微軟正黑體"/>
                <w:b/>
                <w:bCs/>
                <w:color w:val="FFFFFF"/>
                <w:sz w:val="19"/>
                <w:szCs w:val="19"/>
              </w:rPr>
              <w:t xml:space="preserve">反面可能</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納管規模</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監察院報告</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808,576人、約66.6萬門號</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本體論（結構性作用者）</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監控範圍由電信門號資料界定，非個案逐一審查</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若含重複列管或已解除隔離者，實際監控人數可能被高估</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定位技術參數</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林于婷論文第二章</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1.0版誤差54–70公尺、每10分鐘定位一次</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本體論／結構論（模型轉譯）</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技術門檻設定影響「查證範圍」之判定</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誤差數字係官方公告或論文自行整理，本文未能查證</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警示通報機制</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監察院報告</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系統警示自動通報警政、村里長</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結構論（介面引導）</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警示先於人工查證即形成優先順序</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第一線人員是否可逕行不採信警示，文件未載明</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法律授權依據</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監察院報告</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傳染病防治法第48、58條概括授權</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風險層（價值／理由條件）</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授權密度與規範明確性存在疑義</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概括授權於緊急防疫情境下是否仍屬合理，屬規範判斷而非文件已定之結論</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提審駁回統計</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林于婷論文第五章；張德威、黃雙翊網頁</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106／116件裁定，多數駁回</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風險層（例外條件）／規範論（課責性再介入）</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個案救濟之實體審查比例偏低</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【E】（數字）＋【I】（類型歸納）</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部分駁回屬程序性，不等於實體否定；兩資料集統計單位不同，見三、（五）</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111年度行提抗字第1號</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林于婷論文；史律師判解評述</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法院肯認居家檢疫該當拘禁、心理強制</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規範論（課責性再介入）</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個案憲法審查進展存在，但未及基礎處分</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【E】（轉引，經二來源交叉確認）</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屬單一案例，尚未形成通案見解</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監察院調查結論</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監察院報告</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報告自承無糾正案或後續改善計畫記載</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規範論（課責性再介入）</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監督機制存在但未產生強制改善效果</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監察院調查本身即為一種課責形式，不宜逕稱毫無課責</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文獻所載99.5%數據</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林于婷論文第二章</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電子圍籬2.0「精準率」達99.5%</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規範論（認知性再介入）</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量化指標之原始定義未公開，可能影響監督者判斷</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【E】（數字）＋【U】（定義不明）</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未有證據顯示官方蓄意誤導，數字本身仍可能為合理技術描述</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心理強制主張</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林于婷論文第五章</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習得性無助理論；史丹佛監獄實驗類比</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風險層／規範論</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電子圍籬可能構成心理層面之拘禁效果</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【I】（法律推論）／【N】（本文評價）</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無受監控者訪談或心理資料，個人心理事實層無法確認，見七、（一）</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城鄉定位密度差異</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本文依技術原理推論</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基地台密度影響定位誤差範圍</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結構論（結構性作用者延伸）</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誤報風險可能因地理區位而不對稱</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【U】（待驗證假說）</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無實際地理分布告警統計，屬理論推測</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第一線人員查證行為</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文件未載</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監察院報告、林于婷論文均未調查</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結構論（人類覆核）</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是否存在自動化偏誤，尚無資料判斷</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【U】</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亦可能多數警示經查證後即判定誤報而未裁罰</w:t>
            </w:r>
          </w:p>
        </w:tc>
      </w:tr>
      <w:tr>
        <w:tc>
          <w:tcPr>
            <w:tcW w:type="dxa" w:w="1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系統委外與採購</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文件未載</w:t>
            </w:r>
          </w:p>
        </w:tc>
        <w:tc>
          <w:tcPr>
            <w:tcW w:type="dxa" w:w="2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監察院報告、林于婷論文均未記載採購方式</w:t>
            </w:r>
          </w:p>
        </w:tc>
        <w:tc>
          <w:tcPr>
            <w:tcW w:type="dxa" w:w="14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本體論（計算性作用者延伸）</w:t>
            </w:r>
          </w:p>
        </w:tc>
        <w:tc>
          <w:tcPr>
            <w:tcW w:type="dxa" w:w="22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技術參數或涉及承包商協商，屬公私協同治理之理論性補充</w:t>
            </w:r>
          </w:p>
        </w:tc>
        <w:tc>
          <w:tcPr>
            <w:tcW w:type="dxa" w:w="9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【U】</w:t>
            </w:r>
          </w:p>
        </w:tc>
        <w:tc>
          <w:tcPr>
            <w:tcW w:type="dxa" w:w="2000"/>
            <w:tcMar>
              <w:top w:type="dxa" w:w="80"/>
              <w:left w:type="dxa" w:w="100"/>
              <w:bottom w:type="dxa" w:w="80"/>
              <w:right w:type="dxa" w:w="100"/>
            </w:tcMar>
            <w:vAlign w:val="center"/>
          </w:tcPr>
          <w:p>
            <w:pPr>
              <w:spacing w:after="60"/>
            </w:pPr>
            <w:r>
              <w:rPr>
                <w:rFonts w:ascii="微軟正黑體" w:cs="微軟正黑體" w:eastAsia="微軟正黑體" w:hAnsi="微軟正黑體"/>
                <w:b w:val="false"/>
                <w:bCs w:val="false"/>
                <w:sz w:val="19"/>
                <w:szCs w:val="19"/>
              </w:rPr>
              <w:t xml:space="preserve">亦可能全由政策機關單方決定，無承包商實質參與</w:t>
            </w:r>
          </w:p>
        </w:tc>
      </w:tr>
    </w:tbl>
    <w:p>
      <w:pPr>
        <w:pStyle w:val="Heading2"/>
        <w:spacing w:after="160" w:line="360"/>
      </w:pPr>
      <w:r>
        <w:rPr>
          <w:rFonts w:ascii="微軟正黑體" w:cs="微軟正黑體" w:eastAsia="微軟正黑體" w:hAnsi="微軟正黑體"/>
          <w:b/>
          <w:bCs/>
          <w:i w:val="false"/>
          <w:iCs w:val="false"/>
          <w:sz w:val="26"/>
          <w:szCs w:val="26"/>
        </w:rPr>
        <w:t xml:space="preserve">參考文獻</w:t>
      </w:r>
    </w:p>
    <w:p>
      <w:pPr>
        <w:spacing w:after="160" w:line="360"/>
      </w:pPr>
      <w:r>
        <w:rPr>
          <w:rFonts w:ascii="微軟正黑體" w:cs="微軟正黑體" w:eastAsia="微軟正黑體" w:hAnsi="微軟正黑體"/>
          <w:b w:val="false"/>
          <w:bCs w:val="false"/>
          <w:i w:val="false"/>
          <w:iCs w:val="false"/>
          <w:sz w:val="22"/>
          <w:szCs w:val="22"/>
        </w:rPr>
        <w:t xml:space="preserve">監察院（2022）。調查報告（電子圍籬案），案號111社調0006（111年2月23日審議通過，111年5月27日公告）。https://cybsbox.cy.gov.tw/CYBSBoxSSL/edoc/download/73016〔存取日期：2026年8月23日；核心數據性事實已核對頁碼，見第13–14頁（規模數據）、第28–29頁（授權命令與執行細節規範問題），詳見第四節；「無具體糾正案或後續改善計畫記載」一語之確切頁碼、以及報告「肆、調查意見」「伍、處理辦法」部分之逐頁引註，本文尚未及查得，列為第七節之待補查事項；報告中所引邱文聰（中研院）「例外與常態間失落的法治原則」之評析，其原始出處待查，本文僅轉引自監察院報告，不逕列為獨立文獻〕</w:t>
      </w:r>
    </w:p>
    <w:p>
      <w:pPr>
        <w:spacing w:after="160" w:line="360"/>
      </w:pPr>
      <w:r>
        <w:rPr>
          <w:rFonts w:ascii="微軟正黑體" w:cs="微軟正黑體" w:eastAsia="微軟正黑體" w:hAnsi="微軟正黑體"/>
          <w:b w:val="false"/>
          <w:bCs w:val="false"/>
          <w:i w:val="false"/>
          <w:iCs w:val="false"/>
          <w:sz w:val="22"/>
          <w:szCs w:val="22"/>
        </w:rPr>
        <w:t xml:space="preserve">監察院（2022）。防疫兼顧人權 監察院促請指揮中心正視電子圍籬隱私權及法制疑慮（111年2月24日新聞稿）。〔完整網址待補，見第七節〕</w:t>
      </w:r>
    </w:p>
    <w:p>
      <w:pPr>
        <w:spacing w:after="160" w:line="360"/>
      </w:pPr>
      <w:r>
        <w:rPr>
          <w:rFonts w:ascii="微軟正黑體" w:cs="微軟正黑體" w:eastAsia="微軟正黑體" w:hAnsi="微軟正黑體"/>
          <w:b w:val="false"/>
          <w:bCs w:val="false"/>
          <w:i w:val="false"/>
          <w:iCs w:val="false"/>
          <w:sz w:val="22"/>
          <w:szCs w:val="22"/>
        </w:rPr>
        <w:t xml:space="preserve">台灣人權促進會（2021）。從電子圍籬到天網：防疫電子監控給問嗎？〔發布日期、完整網址待補，見第七節〕</w:t>
      </w:r>
    </w:p>
    <w:p>
      <w:pPr>
        <w:spacing w:after="160" w:line="360"/>
      </w:pPr>
      <w:r>
        <w:rPr>
          <w:rFonts w:ascii="微軟正黑體" w:cs="微軟正黑體" w:eastAsia="微軟正黑體" w:hAnsi="微軟正黑體"/>
          <w:b w:val="false"/>
          <w:bCs w:val="false"/>
          <w:i w:val="false"/>
          <w:iCs w:val="false"/>
          <w:sz w:val="22"/>
          <w:szCs w:val="22"/>
        </w:rPr>
        <w:t xml:space="preserve">徐彪豪（發表機關：hsu.legal）。天網是什麼？簡評「電子圍籬」及「雲龍系統」運用的隱私疑慮。〔發布日期、完整網址待補，見第七節〕</w:t>
      </w:r>
    </w:p>
    <w:p>
      <w:pPr>
        <w:spacing w:after="160" w:line="360"/>
      </w:pPr>
      <w:r>
        <w:rPr>
          <w:rFonts w:ascii="微軟正黑體" w:cs="微軟正黑體" w:eastAsia="微軟正黑體" w:hAnsi="微軟正黑體"/>
          <w:b w:val="false"/>
          <w:bCs w:val="false"/>
          <w:i w:val="false"/>
          <w:iCs w:val="false"/>
          <w:sz w:val="22"/>
          <w:szCs w:val="22"/>
        </w:rPr>
        <w:t xml:space="preserve">未來城市＠天下。守住新冠疫情，卻丟了隱私？科技防疫的七個爭議。〔作者、發布日期、完整網址待補，見第七節〕</w:t>
      </w:r>
    </w:p>
    <w:p>
      <w:pPr>
        <w:spacing w:after="160" w:line="360"/>
      </w:pPr>
      <w:r>
        <w:rPr>
          <w:rFonts w:ascii="微軟正黑體" w:cs="微軟正黑體" w:eastAsia="微軟正黑體" w:hAnsi="微軟正黑體"/>
          <w:b w:val="false"/>
          <w:bCs w:val="false"/>
          <w:i w:val="false"/>
          <w:iCs w:val="false"/>
          <w:sz w:val="22"/>
          <w:szCs w:val="22"/>
        </w:rPr>
        <w:t xml:space="preserve">何建志（2020）。COVID-19疫情期間防疫與隱私之平衡：相關法律議題分析與社會正義觀點。《台灣法學雜誌》，387，23–32。</w:t>
      </w:r>
    </w:p>
    <w:p>
      <w:pPr>
        <w:spacing w:after="160" w:line="360"/>
      </w:pPr>
      <w:r>
        <w:rPr>
          <w:rFonts w:ascii="微軟正黑體" w:cs="微軟正黑體" w:eastAsia="微軟正黑體" w:hAnsi="微軟正黑體"/>
          <w:b w:val="false"/>
          <w:bCs w:val="false"/>
          <w:i w:val="false"/>
          <w:iCs w:val="false"/>
          <w:sz w:val="22"/>
          <w:szCs w:val="22"/>
        </w:rPr>
        <w:t xml:space="preserve">林于婷（2022）。電子圍籬與人身自由之保障——以傳染病防治措施為中心（碩士論文）。國立政治大學法律學系。DOI: 10.6814/NCCU202201544。〔本文已取得全文PDF並逐頁研讀第一章至第六章全部正文（共196頁）；本文引用該論文所整理之裁判時，均標明其為學術整理之次級資料，不逕視為原始裁判。〕</w:t>
      </w:r>
    </w:p>
    <w:p>
      <w:pPr>
        <w:spacing w:after="160" w:line="360"/>
      </w:pPr>
      <w:r>
        <w:rPr>
          <w:rFonts w:ascii="微軟正黑體" w:cs="微軟正黑體" w:eastAsia="微軟正黑體" w:hAnsi="微軟正黑體"/>
          <w:b w:val="false"/>
          <w:bCs w:val="false"/>
          <w:i w:val="false"/>
          <w:iCs w:val="false"/>
          <w:sz w:val="22"/>
          <w:szCs w:val="22"/>
        </w:rPr>
        <w:t xml:space="preserve">臺北高等行政法院111年度行提抗字第1號行政裁定（居家檢疫者聲請提審案）。轉引自林于婷（2022），第94–96頁；其核心理由另經史律師（天策法律事務所）判解評述一文獨立轉引確認，方向一致（見五、（三））。裁定官方全文本身尚待逕行調閱以完整核對，見第七節。</w:t>
      </w:r>
    </w:p>
    <w:p>
      <w:pPr>
        <w:spacing w:after="160" w:line="360"/>
      </w:pPr>
      <w:r>
        <w:rPr>
          <w:rFonts w:ascii="微軟正黑體" w:cs="微軟正黑體" w:eastAsia="微軟正黑體" w:hAnsi="微軟正黑體"/>
          <w:b w:val="false"/>
          <w:bCs w:val="false"/>
          <w:i w:val="false"/>
          <w:iCs w:val="false"/>
          <w:sz w:val="22"/>
          <w:szCs w:val="22"/>
        </w:rPr>
        <w:t xml:space="preserve">史律師。判解新訊：隔離是拘禁，可以提出提審——臺北高等行政法院111年度行提抗字第1號裁定。天策法律事務所網站。https://thinktankattorneys.com/判解新訊隔離是拘禁-可以提出提審-臺北高等行政法院111年度行提抗字第1號/〔發布日期網頁未標示；存取日期：2026年8月23日〕</w:t>
      </w:r>
    </w:p>
    <w:p>
      <w:pPr>
        <w:spacing w:after="160" w:line="360"/>
      </w:pPr>
      <w:r>
        <w:rPr>
          <w:rFonts w:ascii="微軟正黑體" w:cs="微軟正黑體" w:eastAsia="微軟正黑體" w:hAnsi="微軟正黑體"/>
          <w:b w:val="false"/>
          <w:bCs w:val="false"/>
          <w:i w:val="false"/>
          <w:iCs w:val="false"/>
          <w:sz w:val="22"/>
          <w:szCs w:val="22"/>
        </w:rPr>
        <w:t xml:space="preserve">張德威（撰寫）、黃雙翊（資料分析）（2022年10月5日發布，2023年3月24日最後更新）。我國提審裁定之實務觀察——以COVID-19疫情所生案件為中心。中央研究院法律學研究所．臺灣人工智慧行動網。https://ai.iias.sinica.edu.tw/habeas-corpus-act-in-action-covid-19/〔存取日期：2026年8月23日〕</w:t>
      </w:r>
    </w:p>
    <w:p>
      <w:pPr>
        <w:spacing w:after="160" w:line="360"/>
      </w:pPr>
      <w:r>
        <w:rPr>
          <w:rFonts w:ascii="微軟正黑體" w:cs="微軟正黑體" w:eastAsia="微軟正黑體" w:hAnsi="微軟正黑體"/>
          <w:b w:val="false"/>
          <w:bCs w:val="false"/>
          <w:i w:val="false"/>
          <w:iCs w:val="false"/>
          <w:sz w:val="22"/>
          <w:szCs w:val="22"/>
        </w:rPr>
        <w:t xml:space="preserve">最高法院106年台上字第3788號刑事判決（以GPS追蹤犯罪嫌疑人違背強制處分法定原則）。轉引自林于婷（2022），第六章第一節。</w:t>
      </w:r>
    </w:p>
    <w:p>
      <w:pPr>
        <w:spacing w:after="160" w:line="360"/>
      </w:pPr>
      <w:r>
        <w:rPr>
          <w:rFonts w:ascii="微軟正黑體" w:cs="微軟正黑體" w:eastAsia="微軟正黑體" w:hAnsi="微軟正黑體"/>
          <w:b w:val="false"/>
          <w:bCs w:val="false"/>
          <w:i w:val="false"/>
          <w:iCs w:val="false"/>
          <w:sz w:val="22"/>
          <w:szCs w:val="22"/>
        </w:rPr>
        <w:t xml:space="preserve">林家暘（2021）。電子圍籬作為居家隔離（檢疫）之輔助手段——合法性的探討。《台灣法學雜誌》，413，75–96。</w:t>
      </w:r>
    </w:p>
    <w:p>
      <w:pPr>
        <w:spacing w:after="160" w:line="360"/>
      </w:pPr>
      <w:r>
        <w:rPr>
          <w:rFonts w:ascii="微軟正黑體" w:cs="微軟正黑體" w:eastAsia="微軟正黑體" w:hAnsi="微軟正黑體"/>
          <w:b w:val="false"/>
          <w:bCs w:val="false"/>
          <w:i w:val="false"/>
          <w:iCs w:val="false"/>
          <w:sz w:val="22"/>
          <w:szCs w:val="22"/>
        </w:rPr>
        <w:t xml:space="preserve">張陳弘（2021）。科技智慧防疫與個人資料保護：陌生但關鍵的資料保護影響評估程序。《臺大法學論叢》，50（2），337–400。</w:t>
      </w:r>
    </w:p>
    <w:p>
      <w:pPr>
        <w:spacing w:after="160" w:line="360"/>
      </w:pPr>
      <w:r>
        <w:rPr>
          <w:rFonts w:ascii="微軟正黑體" w:cs="微軟正黑體" w:eastAsia="微軟正黑體" w:hAnsi="微軟正黑體"/>
          <w:b w:val="false"/>
          <w:bCs w:val="false"/>
          <w:i w:val="false"/>
          <w:iCs w:val="false"/>
          <w:sz w:val="22"/>
          <w:szCs w:val="22"/>
        </w:rPr>
        <w:t xml:space="preserve">戴靖芸（2021）。COVID-19數位應用對健康資料與隱私保護不可迴避的威脅－下篇：以法治原則與公衛倫理反省萬華群聚事件之科技防疫措施。中央研究院法律學研究所資訊法中心。</w:t>
      </w:r>
    </w:p>
    <w:p>
      <w:pPr>
        <w:spacing w:after="160" w:line="360"/>
      </w:pPr>
      <w:r>
        <w:rPr>
          <w:rFonts w:ascii="微軟正黑體" w:cs="微軟正黑體" w:eastAsia="微軟正黑體" w:hAnsi="微軟正黑體"/>
          <w:b w:val="false"/>
          <w:bCs w:val="false"/>
          <w:i/>
          <w:iCs/>
          <w:sz w:val="22"/>
          <w:szCs w:val="22"/>
        </w:rPr>
        <w:t xml:space="preserve">盧建旭（作者前作，未出版工作稿，未公開發表）。027〈誰在行政行動〉、028〈裁量何在〉、029〈不可外包的行政〉、030〈本體論—結構論—風險層—規範論〉。</w:t>
      </w:r>
    </w:p>
    <w:p>
      <w:pPr>
        <w:spacing w:after="160" w:line="360"/>
      </w:pPr>
      <w:r>
        <w:rPr>
          <w:rFonts w:ascii="微軟正黑體" w:cs="微軟正黑體" w:eastAsia="微軟正黑體" w:hAnsi="微軟正黑體"/>
          <w:b w:val="false"/>
          <w:bCs w:val="false"/>
          <w:i/>
          <w:iCs/>
          <w:sz w:val="22"/>
          <w:szCs w:val="22"/>
        </w:rPr>
        <w:t xml:space="preserve">Skitka, L. J., Mosier, K. L., &amp; Burdick, M. (1999). Does automation bias decision-making? International Journal of Human-Computer Studies, 51(5), 991–1006.〔本文借用「自動化偏誤」概念說明第一線人員可能之組織行為侷限，屬理論性延伸引用，非本案已直接驗證之發現，見七、（一）。〕</w:t>
      </w:r>
    </w:p>
    <w:p>
      <w:pPr>
        <w:spacing w:after="160" w:line="360"/>
      </w:pPr>
      <w:r>
        <w:rPr>
          <w:rFonts w:ascii="微軟正黑體" w:cs="微軟正黑體" w:eastAsia="微軟正黑體" w:hAnsi="微軟正黑體"/>
          <w:b w:val="false"/>
          <w:bCs w:val="false"/>
          <w:i/>
          <w:iCs/>
          <w:sz w:val="22"/>
          <w:szCs w:val="22"/>
        </w:rPr>
        <w:t xml:space="preserve">Seligman, M. E. P., &amp; Maier, S. F. (1967). Failure to escape traumatic shock. Journal of Experimental Psychology, 74(1), 1–9.〔習得性無助概念之原始出處，本文轉引自林于婷（2022）對「心理強制」之論證脈絡，見七、（一）。〕</w:t>
      </w:r>
    </w:p>
    <w:p>
      <w:pPr>
        <w:spacing w:after="160" w:line="360"/>
      </w:pPr>
      <w:r>
        <w:rPr>
          <w:rFonts w:ascii="微軟正黑體" w:cs="微軟正黑體" w:eastAsia="微軟正黑體" w:hAnsi="微軟正黑體"/>
          <w:b w:val="false"/>
          <w:bCs w:val="false"/>
          <w:i/>
          <w:iCs/>
          <w:sz w:val="22"/>
          <w:szCs w:val="22"/>
        </w:rPr>
        <w:t xml:space="preserve">Hiroto, D. S. (1974). Locus of control and learned helplessness. Journal of Experimental Psychology, 102(2), 187–193.〔習得性無助概念之延伸實證研究，本文轉引自林于婷（2022）對「心理強制」之論證脈絡，見七、（一）。〕</w:t>
      </w:r>
    </w:p>
    <w:sectPr>
      <w:pgSz w:w="16838" w:h="11906" w:orient="landscape"/>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2026-08-23T19:38:08.441Z</dcterms:created>
  <dcterms:modified xsi:type="dcterms:W3CDTF">2026-08-23T19:38:08.473Z</dcterms:modified>
</cp:coreProperties>
</file>

<file path=docProps/custom.xml><?xml version="1.0" encoding="utf-8"?>
<Properties xmlns="http://schemas.openxmlformats.org/officeDocument/2006/custom-properties" xmlns:vt="http://schemas.openxmlformats.org/officeDocument/2006/docPropsVTypes"/>
</file>