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32"/>
          <w:szCs w:val="32"/>
        </w:rPr>
        <w:t xml:space="preserve">人工智慧時代公共行政之「生成—裁量—權威」理論架構</w:t>
      </w:r>
    </w:p>
    <w:p>
      <w:pPr>
        <w:spacing w:after="200"/>
        <w:jc w:val="center"/>
      </w:pPr>
      <w:r>
        <w:rPr>
          <w:i/>
          <w:iCs/>
          <w:sz w:val="26"/>
          <w:szCs w:val="26"/>
        </w:rPr>
        <w:t xml:space="preserve">從分散式行政行動到公共權威的最終再介入能力：最終修訂版</w:t>
      </w:r>
    </w:p>
    <w:p>
      <w:pPr>
        <w:spacing w:after="400"/>
        <w:jc w:val="center"/>
      </w:pPr>
      <w:r>
        <w:rPr>
          <w:color w:val="666666"/>
          <w:sz w:val="20"/>
          <w:szCs w:val="20"/>
        </w:rPr>
        <w:t xml:space="preserve">（第二輪審查意見修正後通過版）</w:t>
      </w:r>
    </w:p>
    <w:p>
      <w:pPr>
        <w:pStyle w:val="Heading1"/>
      </w:pPr>
      <w:r>
        <w:t xml:space="preserve">摘要</w:t>
      </w:r>
    </w:p>
    <w:p>
      <w:pPr>
        <w:spacing w:after="200" w:line="360"/>
        <w:ind w:firstLine="480"/>
      </w:pPr>
      <w:r>
        <w:t xml:space="preserve">本文整合「分散式行政行動」（Distributed Administrative Action, DAA）、「裁量場」（Field of Discretion）與「最終再介入能力」（Ultimate Capacity for Public Reintervention, UCPR），提出一套解釋人工智慧如何重構公共行政的中層理論架構。本文不再將 AI 視為單純工具，也不將行政結果還原為最終簽核者的個人意志，而是主張行政結果由法定位置、判斷位置、計算機制與結構條件共同生成。生成結構的分散，進一步使裁量由個案決策點轉移並分布於資料選擇、模型轉譯、介面引導與人類覆核等節點。為避免技術中介造成公共權威的實質外部化，公共機關必須保有理解、重新判斷、修正、否決、說明、承認例外與承擔責任的制度能力，即 UCPR。本文以荷蘭 SyRI（Systeem Risico Indicatie）福利詐欺偵測系統作為 UCPR 缺失的反面教材，並對照加拿大演算法影響評估（Algorithmic Impact Assessment, AIA）框架與歐盟《人工智慧法》（AI Act）高風險系統規範，說明制度工具如何維持公共再介入能力。本文並將組織設計、採購契約與資料分布偏移的動態更新機制納入同一治理模型。核心命題是：生成可以分散，但必須可追溯；裁量可以分布，但必須可見；權威可以被技術中介，但必須可再介入。</w:t>
      </w:r>
    </w:p>
    <w:p>
      <w:pPr>
        <w:spacing w:after="200"/>
      </w:pPr>
      <w:r>
        <w:rPr>
          <w:b/>
          <w:bCs/>
        </w:rPr>
        <w:t xml:space="preserve">關鍵詞：</w:t>
      </w:r>
      <w:r>
        <w:t xml:space="preserve">分散式行政行動（DAA）、裁量場、最終再介入能力（UCPR）、演算法行政、公共權威、演算法影響評估（AIA）</w:t>
      </w:r>
    </w:p>
    <w:p>
      <w:pPr>
        <w:pStyle w:val="Heading1"/>
      </w:pPr>
      <w:r>
        <w:t xml:space="preserve">壹、緒論：AI 時代公共行政的危機與理論整合缺口</w:t>
      </w:r>
    </w:p>
    <w:p>
      <w:pPr>
        <w:pStyle w:val="Heading2"/>
      </w:pPr>
      <w:r>
        <w:t xml:space="preserve">一、既有研究分歧：數位裁量、問責與行政法正當程序</w:t>
      </w:r>
    </w:p>
    <w:p>
      <w:pPr>
        <w:spacing w:after="200" w:line="360"/>
        <w:ind w:firstLine="480"/>
      </w:pPr>
      <w:r>
        <w:t xml:space="preserve">現有研究已分別發展數位與演算法裁量、公共部門 AI 問責，以及自動化行政與行政法正當程序等研究傳統。這些傳統各自貢獻重要洞見：數位裁量研究揭示決策點的前移與隱匿；問責研究強調責任鏈的斷裂風險；行政法研究則聚焦正當程序、說明理由義務與司法審查可能性。然而，這些研究傳統之間仍缺乏一套能說明「行政結果如何生成—裁量如何重新配置—公共權威如何維持」之因果連動關係的整合模型。本文因此不主張既有文獻普遍忽略 AI 問題，而是指出不同研究傳統之間仍存在整合上的缺口。</w:t>
      </w:r>
    </w:p>
    <w:p>
      <w:pPr>
        <w:pStyle w:val="Heading2"/>
      </w:pPr>
      <w:r>
        <w:t xml:space="preserve">二、研究問題：生成、裁量與權威的因果連動</w:t>
      </w:r>
    </w:p>
    <w:p>
      <w:pPr>
        <w:spacing w:after="200" w:line="360"/>
        <w:ind w:firstLine="480"/>
      </w:pPr>
      <w:r>
        <w:t xml:space="preserve">本文提出三個相互扣合的問題：第一，當 AI 深度參與行政過程時，行政結果如何生成？第二，當資料、模型與介面參與結果形成時，裁量位於何處？第三，當生成與裁量均高度分散後，公共體系必須保留何種能力，才能避免公共判斷被實質外部化？本文主張，唯有將「生成結構」（DAA）、「裁量分布」（裁量場）與「再介入能力」（UCPR）串聯為一條理論與制度鏈，才能同時解釋經驗現象並提供規範指引。</w:t>
      </w:r>
    </w:p>
    <w:p>
      <w:pPr>
        <w:pStyle w:val="Heading1"/>
      </w:pPr>
      <w:r>
        <w:t xml:space="preserve">貳、分散式行政行動（DAA）：行政結果的四層生成機制</w:t>
      </w:r>
    </w:p>
    <w:p>
      <w:pPr>
        <w:pStyle w:val="Heading2"/>
      </w:pPr>
      <w:r>
        <w:t xml:space="preserve">一、DAA 的理論核心：區分「生成貢獻」與「規範責任」</w:t>
      </w:r>
    </w:p>
    <w:p>
      <w:pPr>
        <w:spacing w:after="200" w:line="360"/>
        <w:ind w:firstLine="480"/>
      </w:pPr>
      <w:r>
        <w:t xml:space="preserve">分散式行政行動（Distributed Administrative Action, DAA）的分析焦點不是回答「誰才是真正的行動者」，而是回答「行政結果如何由多重位置與條件共同生成」。其理論特色在於明確區分「生成貢獻」與「規範性責任」：技術與結構可以高度參與行政結果的生成，但這不表示法律與政治責任可以移轉給演算法或私人供應商。此一區分使理論既能描述分散式現實，又能堅持公共責任不可外包的規範底線。</w:t>
      </w:r>
    </w:p>
    <w:p>
      <w:pPr>
        <w:pStyle w:val="Heading2"/>
      </w:pPr>
      <w:r>
        <w:t xml:space="preserve">二、四層構成分析：法定位置、判斷位置、計算機制、結構條件</w:t>
      </w:r>
    </w:p>
    <w:p>
      <w:pPr>
        <w:spacing w:after="120" w:line="360"/>
        <w:ind w:firstLine="480"/>
      </w:pPr>
      <w:r>
        <w:t xml:space="preserve">DAA 的四層構成包括：</w:t>
      </w:r>
    </w:p>
    <w:p>
      <w:pPr>
        <w:spacing w:after="120" w:line="360"/>
        <w:ind w:firstLine="480"/>
      </w:pPr>
      <w:r>
        <w:t xml:space="preserve">第一，法定行動位置：決定法律授權、職權歸屬與最終責任承擔。此層回答「誰在法律上有權作成此決定、誰必須承擔責任」。</w:t>
      </w:r>
    </w:p>
    <w:p>
      <w:pPr>
        <w:spacing w:after="120" w:line="360"/>
        <w:ind w:firstLine="480"/>
      </w:pPr>
      <w:r>
        <w:t xml:space="preserve">第二，判斷行動位置：指實際審查、選擇、覆核或作出行政判斷的功能位置。此層關注「誰實際在進行判斷工作」。</w:t>
      </w:r>
    </w:p>
    <w:p>
      <w:pPr>
        <w:spacing w:after="120" w:line="360"/>
        <w:ind w:firstLine="480"/>
      </w:pPr>
      <w:r>
        <w:t xml:space="preserve">第三，計算機制：包括資料處理、特徵選擇、風險規則、模型、門檻與排序。此層形塑「哪些資訊被看見、如何被分類與排序」。</w:t>
      </w:r>
    </w:p>
    <w:p>
      <w:pPr>
        <w:spacing w:after="200" w:line="360"/>
        <w:ind w:firstLine="480"/>
      </w:pPr>
      <w:r>
        <w:t xml:space="preserve">第四，結構條件：包括資料來源、採購安排、組織誘因、KPI、資源配置、介面設計與救濟程序。此層預先界定生成與裁量得以運作的制度與物質環境。</w:t>
      </w:r>
    </w:p>
    <w:p>
      <w:pPr>
        <w:spacing w:after="200" w:line="360"/>
        <w:ind w:firstLine="480"/>
      </w:pPr>
      <w:r>
        <w:t xml:space="preserve">四層是分析上的功能位置，而非四類彼此排他的行動者。同一公務員可能同時占據法定與判斷位置；同一廠商也可能同時參與資料處理、模型設計與維護。DAA 因此提供一種「生成地圖」，使研究者與實務者能追蹤行政結果的多重來源，而不必陷入「誰才是真正行動者」的二元爭辯。</w:t>
      </w:r>
    </w:p>
    <w:p>
      <w:pPr>
        <w:pStyle w:val="Heading1"/>
      </w:pPr>
      <w:r>
        <w:t xml:space="preserve">參、從「單點裁量」到「裁量場」：裁量空間的前移與重新配置</w:t>
      </w:r>
    </w:p>
    <w:p>
      <w:pPr>
        <w:pStyle w:val="Heading2"/>
      </w:pPr>
      <w:r>
        <w:t xml:space="preserve">一、傳統個案裁量的失焦與概念澄清</w:t>
      </w:r>
    </w:p>
    <w:p>
      <w:pPr>
        <w:spacing w:after="200" w:line="360"/>
        <w:ind w:firstLine="480"/>
      </w:pPr>
      <w:r>
        <w:t xml:space="preserve">本文以「裁量場」（Field of Discretion）取代「裁量是否存在於最後決策者」的二元問題。此處必須先澄清概念：本文所稱「裁量場」並非直接援引皮耶·布爾迪厄（Pierre Bourdieu）的「場域理論」（Field Theory）或組織制度論中的「制度場域」（Institutional Field）。布爾迪厄的場域強調行動者之間的權力鬥爭、資本轉換與慣習（habitus）；本文的「裁量場」則純粹指涉「裁量點的分散空間與動態網絡」——即裁量不再集中於單一時空節點，而分布於資料選擇、模型轉譯、介面引導與人類覆核等相互關聯的節點上。若讀者將兩者混淆，將誤解本文的分析焦點。本文亦不排除未來進一步吸納法社會學視角，說明裁量如何從「時空節點」演化為「關係網絡」，但此非本文核心主張。</w:t>
      </w:r>
    </w:p>
    <w:p>
      <w:pPr>
        <w:pStyle w:val="Heading2"/>
      </w:pPr>
      <w:r>
        <w:t xml:space="preserve">二、裁量場的四個動態節點</w:t>
      </w:r>
    </w:p>
    <w:p>
      <w:pPr>
        <w:spacing w:after="120" w:line="360"/>
        <w:ind w:firstLine="480"/>
      </w:pPr>
      <w:r>
        <w:t xml:space="preserve">AI 行政中的裁量可分布於四個關鍵節點：</w:t>
      </w:r>
    </w:p>
    <w:p>
      <w:pPr>
        <w:spacing w:after="120" w:line="360"/>
        <w:ind w:firstLine="480"/>
      </w:pPr>
      <w:r>
        <w:t xml:space="preserve">（一）前置配置：涉及資料來源、分類架構與政策目標的選擇。這些選擇在系統部署前即已固定，往往決定「誰會被看見為可疑對象」。</w:t>
      </w:r>
    </w:p>
    <w:p>
      <w:pPr>
        <w:spacing w:after="120" w:line="360"/>
        <w:ind w:firstLine="480"/>
      </w:pPr>
      <w:r>
        <w:t xml:space="preserve">（二）模型轉譯：涉及特徵工程、損失函數、風險規則與門檻設定。此節點將政策意圖轉譯為可計算的規則，同時也可能引入偏見或簡化。</w:t>
      </w:r>
    </w:p>
    <w:p>
      <w:pPr>
        <w:spacing w:after="120" w:line="360"/>
        <w:ind w:firstLine="480"/>
      </w:pPr>
      <w:r>
        <w:t xml:space="preserve">（三）介面引導：涉及排序、預設值、警示與資訊可見性。介面設計可實質引導（甚至限制）人類覆核者的注意力與判斷空間。</w:t>
      </w:r>
    </w:p>
    <w:p>
      <w:pPr>
        <w:spacing w:after="200" w:line="360"/>
        <w:ind w:firstLine="480"/>
      </w:pPr>
      <w:r>
        <w:t xml:space="preserve">（四）人類覆核：涉及承辦人是否具備理解、質疑與推翻系統輸出的實質能力。形式上保留「人類最後簽核」並不當然等於保留實質裁量。</w:t>
      </w:r>
    </w:p>
    <w:p>
      <w:pPr>
        <w:pStyle w:val="Heading2"/>
      </w:pPr>
      <w:r>
        <w:t xml:space="preserve">三、實質裁量能力的條件性命題</w:t>
      </w:r>
    </w:p>
    <w:p>
      <w:pPr>
        <w:spacing w:after="200" w:line="360"/>
        <w:ind w:firstLine="480"/>
      </w:pPr>
      <w:r>
        <w:t xml:space="preserve">本文將實質裁量能力理解為：法律上的決定權限，必須與資訊可得性、理解能力、推翻能力、組織支持及低推翻成本共同存在。若推翻系統建議的資訊成本、理由說明成本或組織懲罰過高，人類覆核可能只剩形式性存在。後續研究可將此發展為條件性、可供經驗檢驗的命題，而非直接宣稱所有 AI 系統必然造成裁量前移。</w:t>
      </w:r>
    </w:p>
    <w:p>
      <w:pPr>
        <w:pStyle w:val="Heading1"/>
      </w:pPr>
      <w:r>
        <w:t xml:space="preserve">肆、實證情境剖析：荷蘭 SyRI 案的 DAA 解構與警訊</w:t>
      </w:r>
    </w:p>
    <w:p>
      <w:pPr>
        <w:pStyle w:val="Heading2"/>
      </w:pPr>
      <w:r>
        <w:t xml:space="preserve">一、SyRI 系統的架構與運作脈絡</w:t>
      </w:r>
    </w:p>
    <w:p>
      <w:pPr>
        <w:spacing w:after="200" w:line="360"/>
        <w:ind w:firstLine="480"/>
      </w:pPr>
      <w:r>
        <w:t xml:space="preserve">荷蘭 SyRI（Systeem Risico Indicatie，風險指示系統）社會福利詐欺偵測系統連結多個政府資料庫，透過預設規則與風險指標產出高風險名單，再由地方政府啟動後續調查。2020 年 2 月，海牙地方法院裁定 SyRI 立法違反《歐洲人權公約》第 8 條（尊重私人與家庭生活權），因其透明度與可驗證性不足，未能在公共利益與私人生活權之間取得公平平衡，系統因此被停止使用。SyRI 因而是一個已被司法判定違法的「失敗／違法案例」。</w:t>
      </w:r>
    </w:p>
    <w:p>
      <w:pPr>
        <w:pStyle w:val="Heading2"/>
      </w:pPr>
      <w:r>
        <w:t xml:space="preserve">二、從 DAA 看 SyRI：被隱形的生成層與被固化的裁量</w:t>
      </w:r>
    </w:p>
    <w:p>
      <w:pPr>
        <w:spacing w:after="200" w:line="360"/>
        <w:ind w:firstLine="480"/>
      </w:pPr>
      <w:r>
        <w:t xml:space="preserve">若僅從最後的調查員或行政機關觀察，很容易忽略資料連結範圍、風險規則、門檻設定、介面呈現與組織資源配置對「誰會被看見為可疑對象」的前端影響。從 DAA 視角看，SyRI 顯示行政結果無法還原為單一意志：法律授權決定行動的合法位置；第一線人員決定如何處理系統輸出；計算機制形塑高風險分類；資料、政策目標與組織條件則預先界定可見資訊與案件優先順序。真正影響行政結果的重要選擇，可能早在個案審查之前就已被固定。</w:t>
      </w:r>
    </w:p>
    <w:p>
      <w:pPr>
        <w:pStyle w:val="Heading2"/>
      </w:pPr>
      <w:r>
        <w:t xml:space="preserve">三、教訓：權威外部化與 UCPR 缺失的後果——反面教材</w:t>
      </w:r>
    </w:p>
    <w:p>
      <w:pPr>
        <w:spacing w:after="200" w:line="360"/>
        <w:ind w:firstLine="480"/>
      </w:pPr>
      <w:r>
        <w:t xml:space="preserve">SyRI 作為最終再介入能力（Ultimate Capacity for Public Reintervention, UCPR）缺失的經典反面教材，揭示兩項核心風險：一是「裁量前移」——關鍵選擇被鎖死在設計與部署階段，個案層級幾乎無法挑戰；二是「權威外部化」——公共機關對系統內部邏輯缺乏實質理解與控制能力，導致司法與行政救濟均難以有效介入。法院特別指出系統「不夠透明與可控制」，正是 UCPR 中「認知能力」與「決策能力」同時缺位的具體表現。此一案例警示：當公共體系無法理解、挑戰、修正或停止生成條件時，形式上的人類監督可能掩蓋實質的公共權威外部化。</w:t>
      </w:r>
    </w:p>
    <w:p>
      <w:pPr>
        <w:pStyle w:val="Heading2"/>
      </w:pPr>
      <w:r>
        <w:t xml:space="preserve">四、正面對照：加拿大 AIA 與歐盟 AI Act 的制度嘗試</w:t>
      </w:r>
    </w:p>
    <w:p>
      <w:pPr>
        <w:spacing w:after="200" w:line="360"/>
        <w:ind w:firstLine="480"/>
      </w:pPr>
      <w:r>
        <w:t xml:space="preserve">相較於 SyRI 的失敗，加拿大與歐盟的制度設計提供了維持 UCPR 的正面參照。加拿大《自動化決策指令》（Directive on Automated Decision-Making）強制要求聯邦機關在部署自動化決策系統前完成「演算法影響評估」（Algorithmic Impact Assessment, AIA）。AIA 透過問卷評估系統風險等級（Level I 至 IV），並依等級課予相應的透明度、人工覆核、偏見測試與文件揭露義務；評估結果須公開於開放政府入口網站。運輸部、退伍軍人事務部、移民難民公民部等機關已公開多份 AIA，顯示制度已開始運作。此一機制將「理解系統及其限制」的認知能力，以及「事前風險分級與緩解」的決策能力，提前嵌入採購與部署流程。</w:t>
      </w:r>
    </w:p>
    <w:p>
      <w:pPr>
        <w:spacing w:after="200" w:line="360"/>
        <w:ind w:firstLine="480"/>
      </w:pPr>
      <w:r>
        <w:t xml:space="preserve">歐盟《人工智慧法》（AI Act）則將「評估自然人之公共援助福利與服務資格」（包括授予、減少、撤銷或追回）明確列為高風險 AI 系統（Annex III）。高風險系統必須履行嚴格義務：風險管理系統、資料治理、技術文件、透明度、人工監督、準確性與穩健性要求，以及上市前符合性評估。對可能限制基本權或造成不可逆傷害的系統，更要求強化人工決定、獨立審查與即時中止能力。這些規範直接回應 UCPR 的三大面向——認知（技術文件與透明度）、決策（人工監督與中止權）、課責（符合性評估與救濟途徑）——並將其提升為具法律拘束力的制度要求。</w:t>
      </w:r>
    </w:p>
    <w:p>
      <w:pPr>
        <w:spacing w:after="200" w:line="360"/>
        <w:ind w:firstLine="480"/>
      </w:pPr>
      <w:r>
        <w:t xml:space="preserve">兩相對照，SyRI 展示了「缺少 UCPR 時的後果」；加拿大 AIA 與歐盟 AI Act 則展示了「如何透過制度工具預先配置結構條件，以維持公共再介入能力」。本文因此主張：正面案例的價值不在於證明 AI 必然成功，而在於證明 UCPR 可以被制度化、可被操作、可被監督。然而，正面制度工具並非萬能。加拿大 AIA 與歐盟 AI Act 在實務執行上亦面臨「表格化／形式化風險」（check-the-box mentality）與監管量能不足等批判——若評估淪為勾選清單、人工監督流於形式，或監管機關缺乏實質審查資源，則制度本身可能轉型為「形式合規」（formality compliance），反而掩蓋實質的權威外部化。因此，制度設計必須同時關注「執行品質」與「持續監督」，才能真正維持 UCPR。</w:t>
      </w:r>
    </w:p>
    <w:p>
      <w:pPr>
        <w:pStyle w:val="Heading1"/>
      </w:pPr>
      <w:r>
        <w:t xml:space="preserve">伍、維持公共權威的治理鏈：結構條件的制度化預控</w:t>
      </w:r>
    </w:p>
    <w:p>
      <w:pPr>
        <w:spacing w:after="200" w:line="360"/>
        <w:ind w:firstLine="480"/>
      </w:pPr>
      <w:r>
        <w:t xml:space="preserve">DAA 的第四層「結構條件」不能被視為背景，而應成為制度干預的核心。本文將三類制度工具整合為同一治理鏈。</w:t>
      </w:r>
    </w:p>
    <w:p>
      <w:pPr>
        <w:pStyle w:val="Heading2"/>
      </w:pPr>
      <w:r>
        <w:t xml:space="preserve">一、組織設計與演算法影響評估（AIA）</w:t>
      </w:r>
    </w:p>
    <w:p>
      <w:pPr>
        <w:spacing w:after="200" w:line="360"/>
        <w:ind w:firstLine="480"/>
      </w:pPr>
      <w:r>
        <w:t xml:space="preserve">組織設計的功能是把公平性、法律風險與實務知識提前嵌入問題定義、採購、部署與複審。具體工具包括：跨部門 AI 治理委員會、資料治理與偏見審計機制、強制性 AIA（如加拿大模式）、獨立監督機構，以及個人與集體救濟程序。這些機制使「結構條件」本身成為可治理、可問責的對象，而非不可見的背景。</w:t>
      </w:r>
    </w:p>
    <w:p>
      <w:pPr>
        <w:pStyle w:val="Heading2"/>
      </w:pPr>
      <w:r>
        <w:t xml:space="preserve">二、採購契約作為治理裝置</w:t>
      </w:r>
    </w:p>
    <w:p>
      <w:pPr>
        <w:spacing w:after="200" w:line="360"/>
        <w:ind w:firstLine="480"/>
      </w:pPr>
      <w:r>
        <w:t xml:space="preserve">從 DAA 觀點看，採購契約不是單純的商業管理工具，而是政府對結構條件進行預先配置的治理裝置。契約應涵蓋：透明度與文件揭露義務、公平性測試要求、政府與第三方審計權、資料使用限制、修正義務、熔斷權（kill switch），以及責任不可轉移條款。這些條款同時將 UCPR 所要求的理解、檢查、修正與否決能力制度化，使公共機關即使在技術高度依賴外部供應商時，仍能保有再介入的法律與契約基礎。</w:t>
      </w:r>
    </w:p>
    <w:p>
      <w:pPr>
        <w:pStyle w:val="Heading2"/>
      </w:pPr>
      <w:r>
        <w:t xml:space="preserve">三、動態治理：資料漂移的監控與持續更新機制</w:t>
      </w:r>
    </w:p>
    <w:p>
      <w:pPr>
        <w:spacing w:after="200" w:line="360"/>
        <w:ind w:firstLine="480"/>
      </w:pPr>
      <w:r>
        <w:t xml:space="preserve">部署後的資料漂移（data drift）、概念漂移（concept drift）與預測漂移（prediction drift）說明結構條件具有時間性。契約因此應從一次性交付轉向持續治理：建立監控指標、觸發閾值、分級通報、重新訓練、更新驗證、版本管理與定期契約修訂。當資料環境發生結構性變化時，原有性能與公平性基準本身也可能失效，政府必須保有重新設定基準、要求修正甚至停止系統的能力。此一動態面向使 UCPR 不只是靜態的「保留權限」，而是必須隨時間持續行使的制度實踐。</w:t>
      </w:r>
    </w:p>
    <w:p>
      <w:pPr>
        <w:pStyle w:val="Heading1"/>
      </w:pPr>
      <w:r>
        <w:t xml:space="preserve">陸、最終再介入能力（UCPR）：重構 AI 時代的公共權威</w:t>
      </w:r>
    </w:p>
    <w:p>
      <w:pPr>
        <w:pStyle w:val="Heading2"/>
      </w:pPr>
      <w:r>
        <w:t xml:space="preserve">一、權威的重構：分層風險控管與非外包原則</w:t>
      </w:r>
    </w:p>
    <w:p>
      <w:pPr>
        <w:spacing w:after="200" w:line="360"/>
        <w:ind w:firstLine="480"/>
      </w:pPr>
      <w:r>
        <w:t xml:space="preserve">本文主張「公共判斷不可外包」不應被理解為任何行政活動都不得使用自動化，而應依行政活動的風險與權利影響建立分層要求。對純行政輔助工作，可允許高度自動化，但仍須保留基本紀錄與監督；對影響資格、給付或程序地位的決定，應要求實質人工覆核、理由與救濟；對可能限制基本權或造成不可逆傷害的高風險決定，則應要求強化人工決定、獨立審查與即時中止能力。UCPR 因此不是公共行政正當性的唯一來源，而是 AI 高度介入下公共權威得以維持的必要制度能力。</w:t>
      </w:r>
    </w:p>
    <w:p>
      <w:pPr>
        <w:pStyle w:val="Heading2"/>
      </w:pPr>
      <w:r>
        <w:t xml:space="preserve">二、UCPR 的三大核心面向</w:t>
      </w:r>
    </w:p>
    <w:p>
      <w:pPr>
        <w:spacing w:after="120" w:line="360"/>
        <w:ind w:firstLine="480"/>
      </w:pPr>
      <w:r>
        <w:t xml:space="preserve">UCPR 的核心至少包括三個面向：</w:t>
      </w:r>
    </w:p>
    <w:p>
      <w:pPr>
        <w:spacing w:after="120" w:line="360"/>
        <w:ind w:firstLine="480"/>
      </w:pPr>
      <w:r>
        <w:t xml:space="preserve">（一）認知能力：理解系統及其限制——包括取得技術文件、模型參數、訓練資料說明與偏見審計報告的能力。</w:t>
      </w:r>
    </w:p>
    <w:p>
      <w:pPr>
        <w:spacing w:after="120" w:line="360"/>
        <w:ind w:firstLine="480"/>
      </w:pPr>
      <w:r>
        <w:t xml:space="preserve">（二）決策能力：重新判斷、修正、否決與停止系統——包括不依賴廠商即可在合理時間內手動熔斷或關閉系統的操作能力。</w:t>
      </w:r>
    </w:p>
    <w:p>
      <w:pPr>
        <w:spacing w:after="200" w:line="360"/>
        <w:ind w:firstLine="480"/>
      </w:pPr>
      <w:r>
        <w:t xml:space="preserve">（三）課責能力：能說明理由、承認例外、提供救濟並承擔責任——包括對受影響個人提供可理解的理由，以及在司法或行政救濟程序中有效抗辯或承認錯誤的能力。</w:t>
      </w:r>
    </w:p>
    <w:p>
      <w:pPr>
        <w:pStyle w:val="Heading2"/>
      </w:pPr>
      <w:r>
        <w:t xml:space="preserve">三、法理對接：UCPR 作為正當法律程序的實質要件</w:t>
      </w:r>
    </w:p>
    <w:p>
      <w:pPr>
        <w:spacing w:after="200" w:line="360"/>
        <w:ind w:firstLine="480"/>
      </w:pPr>
      <w:r>
        <w:t xml:space="preserve">從行政法法理視角，UCPR 不僅是行政組織的「管理能力」，更是滿足「實質正當法律程序」與「司法審查可能性」的前提條件。在英美法系脈絡中，此對應於 due process 所要求的公平程序與可審查性；在歐陸法系與臺灣行政法傳統中，則對應於「正當法律程序」原則，以及禁止「裁量怠惰」（fettering of discretion，或稱裁量權之不當拘束）、遵守「不當聯結禁止」與履行「說明理由義務」（duty to provide reasons）等核心法理。當關鍵裁量已被前移至模型設計與介面引導階段，而公共機關又缺乏理解與推翻能力時，形式上的「人類簽核」可能構成實質上的裁量怠惰；系統輸出若無法轉譯為可審查的理由，亦將使司法審查流於形式。</w:t>
      </w:r>
    </w:p>
    <w:p>
      <w:pPr>
        <w:spacing w:after="200" w:line="360"/>
        <w:ind w:firstLine="480"/>
      </w:pPr>
      <w:r>
        <w:t xml:space="preserve">因此，UCPR 可被理解為：在 AI 中介環境下，確保「禁止裁量怠惰」、「說明理由義務」與「有效司法審查」仍能發揮實質功能的制度基礎設施。無論在英美法或歐陸法傳統中，這些保障的核心關切是一致的——行政決定必須可被理解、可被挑戰、可被問責。沒有 UCPR，傳統行政法的程序保障將可能被技術黑箱掏空；有了 UCPR，這些保障才有可能在分散式生成結構中繼續運作。此一法理對接使 UCPR 不只是公共行政的管理建議，而是行政法正當性條件在技術時代的必要演化。</w:t>
      </w:r>
    </w:p>
    <w:p>
      <w:pPr>
        <w:pStyle w:val="Heading1"/>
      </w:pPr>
      <w:r>
        <w:t xml:space="preserve">柒、結論：理論總結、實證命題與研究議程</w:t>
      </w:r>
    </w:p>
    <w:p>
      <w:pPr>
        <w:pStyle w:val="Heading2"/>
      </w:pPr>
      <w:r>
        <w:t xml:space="preserve">一、「生成—裁量—權威—制度」統一模型</w:t>
      </w:r>
    </w:p>
    <w:p>
      <w:pPr>
        <w:spacing w:after="160" w:line="360"/>
        <w:ind w:firstLine="480"/>
      </w:pPr>
      <w:r>
        <w:t xml:space="preserve">整體而言，本文形成一條完整的理論與制度鏈。以下以圖表呈現「生成—裁量—權威—制度」的因果連動與治理邏輯：</w:t>
      </w:r>
    </w:p>
    <w:p>
      <w:pPr>
        <w:spacing w:after="80" w:before="120"/>
        <w:jc w:val="center"/>
      </w:pPr>
      <w:r>
        <w:rPr>
          <w:b/>
          <w:bCs/>
          <w:sz w:val="20"/>
          <w:szCs w:val="20"/>
        </w:rPr>
        <w:t xml:space="preserve">圖1　「生成—裁量—權威—制度」統一模型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00"/>
        <w:gridCol w:w="2200"/>
        <w:gridCol w:w="400"/>
        <w:gridCol w:w="2200"/>
        <w:gridCol w:w="400"/>
        <w:gridCol w:w="2200"/>
      </w:tblGrid>
      <w:tr>
        <w:tc>
          <w:tcPr>
            <w:tcW w:type="dxa" w:w="2200"/>
            <w:tcBorders>
              <w:top w:val="single" w:color="2E5090" w:sz="1"/>
              <w:left w:val="single" w:color="2E5090" w:sz="1"/>
              <w:bottom w:val="single" w:color="2E5090" w:sz="1"/>
              <w:right w:val="single" w:color="2E5090" w:sz="1"/>
            </w:tcBorders>
            <w:shd w:fill="1B4F7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生成層
(DAA)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2E5090"/>
                <w:sz w:val="28"/>
                <w:szCs w:val="28"/>
              </w:rPr>
              <w:t xml:space="preserve">→</w:t>
            </w:r>
          </w:p>
        </w:tc>
        <w:tc>
          <w:tcPr>
            <w:tcW w:type="dxa" w:w="2200"/>
            <w:tcBorders>
              <w:top w:val="single" w:color="2E5090" w:sz="1"/>
              <w:left w:val="single" w:color="2E5090" w:sz="1"/>
              <w:bottom w:val="single" w:color="2E5090" w:sz="1"/>
              <w:right w:val="single" w:color="2E5090" w:sz="1"/>
            </w:tcBorders>
            <w:shd w:fill="2874A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裁量層
(裁量場)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2E5090"/>
                <w:sz w:val="28"/>
                <w:szCs w:val="28"/>
              </w:rPr>
              <w:t xml:space="preserve">→</w:t>
            </w:r>
          </w:p>
        </w:tc>
        <w:tc>
          <w:tcPr>
            <w:tcW w:type="dxa" w:w="2200"/>
            <w:tcBorders>
              <w:top w:val="single" w:color="2E5090" w:sz="1"/>
              <w:left w:val="single" w:color="2E5090" w:sz="1"/>
              <w:bottom w:val="single" w:color="2E5090" w:sz="1"/>
              <w:right w:val="single" w:color="2E5090" w:sz="1"/>
            </w:tcBorders>
            <w:shd w:fill="1A5276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權威層
(UCPR)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2E5090"/>
                <w:sz w:val="28"/>
                <w:szCs w:val="28"/>
              </w:rPr>
              <w:t xml:space="preserve">→</w:t>
            </w:r>
          </w:p>
        </w:tc>
        <w:tc>
          <w:tcPr>
            <w:tcW w:type="dxa" w:w="2200"/>
            <w:tcBorders>
              <w:top w:val="single" w:color="2E5090" w:sz="1"/>
              <w:left w:val="single" w:color="2E5090" w:sz="1"/>
              <w:bottom w:val="single" w:color="2E5090" w:sz="1"/>
              <w:right w:val="single" w:color="2E5090" w:sz="1"/>
            </w:tcBorders>
            <w:shd w:fill="154360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制度層
(治理鏈)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法定位置
判斷位置
計算機制
結構條件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前置配置
模型轉譯
介面引導
人類覆核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認知能力
決策能力
課責能力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組織設計
採購契約
漂移監控
救濟程序</w:t>
            </w:r>
          </w:p>
        </w:tc>
      </w:tr>
    </w:tbl>
    <w:p>
      <w:pPr>
        <w:spacing w:after="200" w:before="60"/>
        <w:jc w:val="center"/>
      </w:pPr>
      <w:r>
        <w:rPr>
          <w:i/>
          <w:iCs/>
          <w:color w:val="555555"/>
          <w:sz w:val="16"/>
          <w:szCs w:val="16"/>
        </w:rPr>
        <w:t xml:space="preserve">核心命題：生成可分散但須可追溯；裁量可分布但須可見；權威可被技術中介但須可再介入</w:t>
      </w:r>
    </w:p>
    <w:p>
      <w:pPr>
        <w:spacing w:after="80" w:line="360"/>
        <w:ind w:firstLine="480"/>
      </w:pPr>
      <w:r>
        <w:t xml:space="preserve">生成層：行政結果由法定位置、判斷位置、計算機制與結構條件共同生成。</w:t>
      </w:r>
    </w:p>
    <w:p>
      <w:pPr>
        <w:spacing w:after="80" w:line="360"/>
        <w:ind w:firstLine="480"/>
      </w:pPr>
      <w:r>
        <w:t xml:space="preserve">裁量層：生成結構的改變，使選擇從單一個案決策點前移並分布於資料、模型、介面與覆核節點。</w:t>
      </w:r>
    </w:p>
    <w:p>
      <w:pPr>
        <w:spacing w:after="80" w:line="360"/>
        <w:ind w:firstLine="480"/>
      </w:pPr>
      <w:r>
        <w:t xml:space="preserve">權威層：若公共體系無法理解、挑戰、修正或停止這些生成條件，形式上的人類監督可能掩蓋實質的公共權威外部化。</w:t>
      </w:r>
    </w:p>
    <w:p>
      <w:pPr>
        <w:spacing w:after="200" w:line="360"/>
        <w:ind w:firstLine="480"/>
      </w:pPr>
      <w:r>
        <w:t xml:space="preserve">制度層：因此必須透過組織治理、AIA、採購契約、偏見審計、漂移監控、更新義務與救濟程序，維持 UCPR。</w:t>
      </w:r>
    </w:p>
    <w:p>
      <w:pPr>
        <w:pStyle w:val="Heading2"/>
      </w:pPr>
      <w:r>
        <w:t xml:space="preserve">二、可供經驗檢驗的研究命題（Operationalized Propositions）</w:t>
      </w:r>
    </w:p>
    <w:p>
      <w:pPr>
        <w:spacing w:after="120" w:line="360"/>
        <w:ind w:firstLine="480"/>
      </w:pPr>
      <w:r>
        <w:t xml:space="preserve">依據此模型，本文提出三個方向性命題，並進一步操作化為可測量指標，供後續量化或質性研究檢驗：</w:t>
      </w:r>
    </w:p>
    <w:p>
      <w:pPr>
        <w:spacing w:after="120" w:line="360"/>
        <w:ind w:firstLine="480"/>
      </w:pPr>
      <w:r>
        <w:t xml:space="preserve">命題一（裁量前移）：在法律授權與組織資源大致相近的條件下，越多前端資料、門檻與排序選擇被技術系統固定化，裁量越可能由個案決策點前移至設計與部署節點。</w:t>
      </w:r>
    </w:p>
    <w:p>
      <w:pPr>
        <w:spacing w:after="80" w:line="360"/>
        <w:ind w:firstLine="480"/>
      </w:pPr>
      <w:r>
        <w:t xml:space="preserve">操作化指標建議：系統部署前已固定的參數比例（如風險門檻是否可由個案承辦人調整）；介面預設值是否傾向「核准系統建議」；承辦人可修改的特徵或權重數量。</w:t>
      </w:r>
    </w:p>
    <w:p>
      <w:pPr>
        <w:spacing w:after="120" w:line="360"/>
        <w:ind w:firstLine="480"/>
      </w:pPr>
      <w:r>
        <w:t xml:space="preserve">命題二（形式覆核弱化）：當承辦人取得的資訊不足、推翻成本提高或組織誘因鼓勵遵從時，形式人類監督越可能弱化為象徵性覆核。</w:t>
      </w:r>
    </w:p>
    <w:p>
      <w:pPr>
        <w:spacing w:after="80" w:line="360"/>
        <w:ind w:firstLine="480"/>
      </w:pPr>
      <w:r>
        <w:t xml:space="preserve">操作化指標建議：「推翻成本」可測量為——承辦人撰寫推翻理由所需平均時間；系統是否要求預設核准或額外審批才能推翻；推翻後是否觸發上級複審或績效扣分；組織 KPI 是否將「系統建議採納率」列為考核項目。</w:t>
      </w:r>
    </w:p>
    <w:p>
      <w:pPr>
        <w:spacing w:after="120" w:line="360"/>
        <w:ind w:firstLine="480"/>
      </w:pPr>
      <w:r>
        <w:t xml:space="preserve">命題三（權威外部化）：當公共機關缺乏文件取得、審計、重新訓練、契約修訂與熔斷能力時，技術供應關係越可能造成公共判斷能力的實質外部化。</w:t>
      </w:r>
    </w:p>
    <w:p>
      <w:pPr>
        <w:spacing w:after="200" w:line="360"/>
        <w:ind w:firstLine="480"/>
      </w:pPr>
      <w:r>
        <w:t xml:space="preserve">操作化指標建議：「實質再介入能力」可測量為——機關是否擁有原始碼或模型參數的存取權限；是否能不依賴廠商在 24 小時內手動熔斷／關閉系統；契約是否包含強制修正義務與第三方審計權；過去一年內是否實際行使過重新訓練或契約修訂權。</w:t>
      </w:r>
    </w:p>
    <w:p>
      <w:pPr>
        <w:pStyle w:val="Heading2"/>
      </w:pPr>
      <w:r>
        <w:t xml:space="preserve">三、未來研究方向與政策啟示</w:t>
      </w:r>
    </w:p>
    <w:p>
      <w:pPr>
        <w:spacing w:after="200" w:line="360"/>
        <w:ind w:firstLine="480"/>
      </w:pPr>
      <w:r>
        <w:t xml:space="preserve">本文最終並非主張 AI 必然削弱公共行政，而是指出公共行政的核心問題已從「是否使用 AI」轉變為「誰參與了行政結果的生成、裁量被配置在哪裡，以及公共體系是否仍能在必要時重新介入」。未來研究可沿三條路徑推進：一是跨國比較不同制度設計（如加拿大 AIA、歐盟 AI Act、各國採購實務）對 UCPR 的影響；二是以深度訪談與問卷測量「推翻成本」與「實質再介入能力」的組織差異；三是追蹤資料漂移監控機制在實際部署後的運作效果。政策上，公共機關應將 UCPR 視為採購、組織設計與救濟程序的核心設計原則，而非事後補救措施。</w:t>
      </w:r>
    </w:p>
    <w:p>
      <w:pPr>
        <w:spacing w:after="200" w:line="360"/>
        <w:ind w:firstLine="480"/>
      </w:pPr>
      <w:r>
        <w:t xml:space="preserve">因此，生成可以分散，但必須可追溯；裁量可以分布，但必須可見；權威可以被技術中介，但必須可再介入。</w:t>
      </w:r>
    </w:p>
    <w:p>
      <w:pPr>
        <w:spacing w:after="120" w:before="400"/>
      </w:pPr>
      <w:r>
        <w:rPr>
          <w:b/>
          <w:bCs/>
          <w:sz w:val="20"/>
          <w:szCs w:val="20"/>
        </w:rPr>
        <w:t xml:space="preserve">【最終修訂說明】</w:t>
      </w:r>
    </w:p>
    <w:p>
      <w:pPr>
        <w:spacing w:after="80"/>
      </w:pPr>
      <w:r>
        <w:rPr>
          <w:sz w:val="20"/>
          <w:szCs w:val="20"/>
        </w:rPr>
        <w:t xml:space="preserve">本最終版依第二輪審查意見（修正後通過）完成以下微幅調整：</w:t>
      </w:r>
    </w:p>
    <w:p>
      <w:pPr>
        <w:spacing w:after="60"/>
      </w:pPr>
      <w:r>
        <w:rPr>
          <w:sz w:val="20"/>
          <w:szCs w:val="20"/>
        </w:rPr>
        <w:t xml:space="preserve">1. 於第柒章新增「圖1　生成—裁量—權威—制度統一模型」視覺化流程圖，提升理解效率與引用價值。</w:t>
      </w:r>
    </w:p>
    <w:p>
      <w:pPr>
        <w:spacing w:after="60"/>
      </w:pPr>
      <w:r>
        <w:rPr>
          <w:sz w:val="20"/>
          <w:szCs w:val="20"/>
        </w:rPr>
        <w:t xml:space="preserve">2. 於第肆章第四節結尾補上正面制度工具的「形式合規風險」警示，強化批判深度與客觀性。</w:t>
      </w:r>
    </w:p>
    <w:p>
      <w:pPr>
        <w:spacing w:after="60"/>
      </w:pPr>
      <w:r>
        <w:rPr>
          <w:sz w:val="20"/>
          <w:szCs w:val="20"/>
        </w:rPr>
        <w:t xml:space="preserve">3. 統一專有名詞首次出現格式（中文全稱＋英文全稱＋縮寫），並微調法理對接段落，融通英美 due process 與歐陸／臺灣正當法律程序、裁量怠惰等語境。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第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66666"/>
        <w:sz w:val="18"/>
        <w:szCs w:val="18"/>
      </w:rPr>
      <w:t xml:space="preserve">生成—裁量—權威理論架構（最終修訂版）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Times New Roman" w:cs="Times New Roman" w:eastAsia="Times New Roman" w:hAnsi="Times New Roman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2026-08-22T12:31:32.375Z</dcterms:created>
  <dcterms:modified xsi:type="dcterms:W3CDTF">2026-08-22T12:31:32.375Z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