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786" w:rsidRDefault="001269C0">
      <w:pPr>
        <w:spacing w:after="40"/>
        <w:rPr>
          <w:lang w:eastAsia="zh-TW"/>
        </w:rPr>
      </w:pPr>
      <w:r>
        <w:rPr>
          <w:rFonts w:ascii="Times New Roman" w:eastAsia="新細明體" w:hAnsi="Times New Roman"/>
          <w:b/>
          <w:color w:val="1A365D"/>
          <w:sz w:val="38"/>
          <w:lang w:eastAsia="zh-TW"/>
        </w:rPr>
        <w:t>029</w:t>
      </w:r>
      <w:proofErr w:type="gramStart"/>
      <w:r>
        <w:rPr>
          <w:rFonts w:ascii="Times New Roman" w:eastAsia="新細明體" w:hAnsi="Times New Roman"/>
          <w:b/>
          <w:color w:val="1A365D"/>
          <w:sz w:val="38"/>
          <w:lang w:eastAsia="zh-TW"/>
        </w:rPr>
        <w:t>｜</w:t>
      </w:r>
      <w:bookmarkStart w:id="0" w:name="_GoBack"/>
      <w:proofErr w:type="gramEnd"/>
      <w:r>
        <w:rPr>
          <w:rFonts w:ascii="Times New Roman" w:eastAsia="新細明體" w:hAnsi="Times New Roman"/>
          <w:b/>
          <w:color w:val="1A365D"/>
          <w:sz w:val="38"/>
          <w:lang w:eastAsia="zh-TW"/>
        </w:rPr>
        <w:t>不可外包的行政</w:t>
      </w:r>
    </w:p>
    <w:p w:rsidR="00CB0786" w:rsidRDefault="001269C0">
      <w:pPr>
        <w:spacing w:after="120"/>
        <w:rPr>
          <w:lang w:eastAsia="zh-TW"/>
        </w:rPr>
      </w:pPr>
      <w:r>
        <w:rPr>
          <w:rFonts w:ascii="Times New Roman" w:eastAsia="新細明體" w:hAnsi="Times New Roman"/>
          <w:b/>
          <w:color w:val="1A365D"/>
          <w:sz w:val="38"/>
          <w:lang w:eastAsia="zh-TW"/>
        </w:rPr>
        <w:t>人工智慧時代公共判斷的理論邊界</w:t>
      </w:r>
    </w:p>
    <w:bookmarkEnd w:id="0"/>
    <w:p w:rsidR="00CB0786" w:rsidRDefault="001269C0">
      <w:pPr>
        <w:spacing w:line="312" w:lineRule="auto"/>
        <w:rPr>
          <w:rFonts w:ascii="Times New Roman" w:eastAsia="新細明體" w:hAnsi="Times New Roman"/>
          <w:i/>
          <w:color w:val="4A5568"/>
          <w:sz w:val="23"/>
        </w:rPr>
      </w:pPr>
      <w:r>
        <w:rPr>
          <w:rFonts w:ascii="Times New Roman" w:eastAsia="新細明體" w:hAnsi="Times New Roman"/>
          <w:i/>
          <w:color w:val="4A5568"/>
          <w:sz w:val="23"/>
        </w:rPr>
        <w:t>The Non-Delegable Core of Public Administration: The Theoretical Limits of Delegation in the Age of Artificial Intelligence</w:t>
      </w:r>
    </w:p>
    <w:p w:rsidR="001269C0" w:rsidRDefault="001269C0">
      <w:pPr>
        <w:spacing w:line="312" w:lineRule="auto"/>
      </w:pPr>
      <w:r>
        <w:rPr>
          <w:rFonts w:ascii="新細明體" w:eastAsia="新細明體" w:hAnsi="新細明體" w:hint="eastAsia"/>
          <w:lang w:eastAsia="zh-TW"/>
        </w:rPr>
        <w:t>盧建旭 Lancelot Lu</w:t>
      </w:r>
    </w:p>
    <w:p w:rsidR="00CB0786" w:rsidRDefault="001269C0">
      <w:pPr>
        <w:spacing w:after="80" w:line="312" w:lineRule="auto"/>
        <w:rPr>
          <w:lang w:eastAsia="zh-TW"/>
        </w:rPr>
      </w:pPr>
      <w:r>
        <w:rPr>
          <w:rFonts w:ascii="Times New Roman" w:eastAsia="新細明體" w:hAnsi="Times New Roman"/>
          <w:b/>
          <w:color w:val="2C5282"/>
          <w:sz w:val="21"/>
          <w:lang w:eastAsia="zh-TW"/>
        </w:rPr>
        <w:t>純理論論文</w:t>
      </w:r>
      <w:proofErr w:type="gramStart"/>
      <w:r>
        <w:rPr>
          <w:rFonts w:ascii="Times New Roman" w:eastAsia="新細明體" w:hAnsi="Times New Roman"/>
          <w:b/>
          <w:color w:val="2C5282"/>
          <w:sz w:val="21"/>
          <w:lang w:eastAsia="zh-TW"/>
        </w:rPr>
        <w:t>｜</w:t>
      </w:r>
      <w:proofErr w:type="gramEnd"/>
      <w:r>
        <w:rPr>
          <w:rFonts w:ascii="Times New Roman" w:eastAsia="新細明體" w:hAnsi="Times New Roman"/>
          <w:b/>
          <w:color w:val="2C5282"/>
          <w:sz w:val="21"/>
          <w:lang w:eastAsia="zh-TW"/>
        </w:rPr>
        <w:t>規範論／權威邊界篇</w:t>
      </w:r>
      <w:proofErr w:type="gramStart"/>
      <w:r>
        <w:rPr>
          <w:rFonts w:ascii="Times New Roman" w:eastAsia="新細明體" w:hAnsi="Times New Roman"/>
          <w:b/>
          <w:color w:val="2C5282"/>
          <w:sz w:val="21"/>
          <w:lang w:eastAsia="zh-TW"/>
        </w:rPr>
        <w:t>（</w:t>
      </w:r>
      <w:proofErr w:type="gramEnd"/>
      <w:r>
        <w:rPr>
          <w:rFonts w:ascii="Times New Roman" w:eastAsia="新細明體" w:hAnsi="Times New Roman"/>
          <w:b/>
          <w:color w:val="2C5282"/>
          <w:sz w:val="21"/>
          <w:lang w:eastAsia="zh-TW"/>
        </w:rPr>
        <w:t>完整擴寫</w:t>
      </w:r>
      <w:r>
        <w:rPr>
          <w:rFonts w:ascii="Times New Roman" w:eastAsia="新細明體" w:hAnsi="Times New Roman"/>
          <w:b/>
          <w:color w:val="2C5282"/>
          <w:sz w:val="21"/>
        </w:rPr>
        <w:t>・</w:t>
      </w:r>
      <w:r>
        <w:rPr>
          <w:rFonts w:ascii="Times New Roman" w:eastAsia="新細明體" w:hAnsi="Times New Roman"/>
          <w:b/>
          <w:color w:val="2C5282"/>
          <w:sz w:val="21"/>
          <w:lang w:eastAsia="zh-TW"/>
        </w:rPr>
        <w:t>校正版）</w:t>
      </w:r>
    </w:p>
    <w:p w:rsidR="00CB0786" w:rsidRDefault="001269C0">
      <w:pPr>
        <w:spacing w:after="320"/>
        <w:rPr>
          <w:lang w:eastAsia="zh-TW"/>
        </w:rPr>
      </w:pPr>
      <w:r>
        <w:rPr>
          <w:rFonts w:ascii="Times New Roman" w:eastAsia="新細明體" w:hAnsi="Times New Roman"/>
          <w:b/>
          <w:color w:val="2C5282"/>
          <w:sz w:val="21"/>
          <w:lang w:eastAsia="zh-TW"/>
        </w:rPr>
        <w:t>【論文定位】</w:t>
      </w:r>
      <w:r>
        <w:rPr>
          <w:rFonts w:ascii="Times New Roman" w:eastAsia="新細明體" w:hAnsi="Times New Roman"/>
          <w:color w:val="2D3748"/>
          <w:sz w:val="21"/>
          <w:lang w:eastAsia="zh-TW"/>
        </w:rPr>
        <w:t>純理論推演。從「能力限制／</w:t>
      </w:r>
      <w:r>
        <w:rPr>
          <w:rFonts w:ascii="Times New Roman" w:eastAsia="新細明體" w:hAnsi="Times New Roman"/>
          <w:color w:val="2D3748"/>
          <w:sz w:val="21"/>
          <w:lang w:eastAsia="zh-TW"/>
        </w:rPr>
        <w:t>AI</w:t>
      </w:r>
      <w:r>
        <w:rPr>
          <w:rFonts w:ascii="Times New Roman" w:eastAsia="新細明體" w:hAnsi="Times New Roman"/>
          <w:color w:val="2D3748"/>
          <w:sz w:val="21"/>
          <w:lang w:eastAsia="zh-TW"/>
        </w:rPr>
        <w:t>禁區清單」升級為「規範轉換條件」與「公共權威</w:t>
      </w:r>
      <w:proofErr w:type="gramStart"/>
      <w:r>
        <w:rPr>
          <w:rFonts w:ascii="Times New Roman" w:eastAsia="新細明體" w:hAnsi="Times New Roman"/>
          <w:color w:val="2D3748"/>
          <w:sz w:val="21"/>
          <w:lang w:eastAsia="zh-TW"/>
        </w:rPr>
        <w:t>外部化</w:t>
      </w:r>
      <w:proofErr w:type="gramEnd"/>
      <w:r>
        <w:rPr>
          <w:rFonts w:ascii="Times New Roman" w:eastAsia="新細明體" w:hAnsi="Times New Roman"/>
          <w:color w:val="2D3748"/>
          <w:sz w:val="21"/>
          <w:lang w:eastAsia="zh-TW"/>
        </w:rPr>
        <w:t>」診斷，建立「公共判斷不可外包原則」。與</w:t>
      </w:r>
      <w:r>
        <w:rPr>
          <w:rFonts w:ascii="Times New Roman" w:eastAsia="新細明體" w:hAnsi="Times New Roman"/>
          <w:color w:val="2D3748"/>
          <w:sz w:val="21"/>
          <w:lang w:eastAsia="zh-TW"/>
        </w:rPr>
        <w:t>027</w:t>
      </w:r>
      <w:r>
        <w:rPr>
          <w:rFonts w:ascii="Times New Roman" w:eastAsia="新細明體" w:hAnsi="Times New Roman"/>
          <w:color w:val="2D3748"/>
          <w:sz w:val="21"/>
          <w:lang w:eastAsia="zh-TW"/>
        </w:rPr>
        <w:t>「分散式行政行動」、</w:t>
      </w:r>
      <w:r>
        <w:rPr>
          <w:rFonts w:ascii="Times New Roman" w:eastAsia="新細明體" w:hAnsi="Times New Roman"/>
          <w:color w:val="2D3748"/>
          <w:sz w:val="21"/>
          <w:lang w:eastAsia="zh-TW"/>
        </w:rPr>
        <w:t>028</w:t>
      </w:r>
      <w:r>
        <w:rPr>
          <w:rFonts w:ascii="Times New Roman" w:eastAsia="新細明體" w:hAnsi="Times New Roman"/>
          <w:color w:val="2D3748"/>
          <w:sz w:val="21"/>
          <w:lang w:eastAsia="zh-TW"/>
        </w:rPr>
        <w:t>「</w:t>
      </w:r>
      <w:proofErr w:type="gramStart"/>
      <w:r>
        <w:rPr>
          <w:rFonts w:ascii="Times New Roman" w:eastAsia="新細明體" w:hAnsi="Times New Roman"/>
          <w:color w:val="2D3748"/>
          <w:sz w:val="21"/>
          <w:lang w:eastAsia="zh-TW"/>
        </w:rPr>
        <w:t>裁量場</w:t>
      </w:r>
      <w:proofErr w:type="gramEnd"/>
      <w:r>
        <w:rPr>
          <w:rFonts w:ascii="Times New Roman" w:eastAsia="新細明體" w:hAnsi="Times New Roman"/>
          <w:color w:val="2D3748"/>
          <w:sz w:val="21"/>
          <w:lang w:eastAsia="zh-TW"/>
        </w:rPr>
        <w:t>」形成完整理論閉環：生成可分散、裁量可分布，權威的最終再介入能力不可外包。案例僅作說明性分析，非實證驗證。</w:t>
      </w:r>
    </w:p>
    <w:p w:rsidR="00CB0786" w:rsidRDefault="001269C0">
      <w:pPr>
        <w:spacing w:before="400" w:after="160"/>
        <w:rPr>
          <w:lang w:eastAsia="zh-TW"/>
        </w:rPr>
      </w:pPr>
      <w:r>
        <w:rPr>
          <w:rFonts w:ascii="Times New Roman" w:eastAsia="新細明體" w:hAnsi="Times New Roman"/>
          <w:b/>
          <w:color w:val="1A365D"/>
          <w:sz w:val="30"/>
          <w:lang w:eastAsia="zh-TW"/>
        </w:rPr>
        <w:t>摘要</w:t>
      </w:r>
    </w:p>
    <w:p w:rsidR="00CB0786" w:rsidRDefault="001269C0">
      <w:pPr>
        <w:spacing w:after="160" w:line="312" w:lineRule="auto"/>
        <w:rPr>
          <w:lang w:eastAsia="zh-TW"/>
        </w:rPr>
      </w:pPr>
      <w:r>
        <w:rPr>
          <w:rFonts w:ascii="Times New Roman" w:eastAsia="新細明體" w:hAnsi="Times New Roman"/>
          <w:lang w:eastAsia="zh-TW"/>
        </w:rPr>
        <w:t>當人工智慧系統深度參與行政過程，傳統「任務可移轉、權威不可移轉」的外包前提開始出現規範斷裂。本文主張，真正的危機不在於</w:t>
      </w:r>
      <w:r>
        <w:rPr>
          <w:rFonts w:ascii="Times New Roman" w:eastAsia="新細明體" w:hAnsi="Times New Roman"/>
          <w:lang w:eastAsia="zh-TW"/>
        </w:rPr>
        <w:t>AI</w:t>
      </w:r>
      <w:r>
        <w:rPr>
          <w:rFonts w:ascii="Times New Roman" w:eastAsia="新細明體" w:hAnsi="Times New Roman"/>
          <w:lang w:eastAsia="zh-TW"/>
        </w:rPr>
        <w:t>「能不能做」，而在於行政組織可能逐步失去形成、修正與承擔公共判斷的制度能力，發生「公共權威</w:t>
      </w:r>
      <w:proofErr w:type="gramStart"/>
      <w:r>
        <w:rPr>
          <w:rFonts w:ascii="Times New Roman" w:eastAsia="新細明體" w:hAnsi="Times New Roman"/>
          <w:lang w:eastAsia="zh-TW"/>
        </w:rPr>
        <w:t>外部化</w:t>
      </w:r>
      <w:proofErr w:type="gramEnd"/>
      <w:r>
        <w:rPr>
          <w:rFonts w:ascii="Times New Roman" w:eastAsia="新細明體" w:hAnsi="Times New Roman"/>
          <w:lang w:eastAsia="zh-TW"/>
        </w:rPr>
        <w:t>」（</w:t>
      </w:r>
      <w:r>
        <w:rPr>
          <w:rFonts w:ascii="Times New Roman" w:eastAsia="新細明體" w:hAnsi="Times New Roman"/>
          <w:lang w:eastAsia="zh-TW"/>
        </w:rPr>
        <w:t>External</w:t>
      </w:r>
      <w:r>
        <w:rPr>
          <w:rFonts w:ascii="Times New Roman" w:eastAsia="新細明體" w:hAnsi="Times New Roman"/>
          <w:lang w:eastAsia="zh-TW"/>
        </w:rPr>
        <w:t>ization of Public Authority</w:t>
      </w:r>
      <w:r>
        <w:rPr>
          <w:rFonts w:ascii="Times New Roman" w:eastAsia="新細明體" w:hAnsi="Times New Roman"/>
          <w:lang w:eastAsia="zh-TW"/>
        </w:rPr>
        <w:t>）。本文建立「規範轉換條件」，說明一項看似技術性的工作在何種條件下轉化為公共判斷；提出公共權威的四個不可完全移轉條件（價值、理由、例外、責任）；並確立「公共判斷不可外包原則」</w:t>
      </w:r>
      <w:proofErr w:type="gramStart"/>
      <w:r>
        <w:rPr>
          <w:rFonts w:ascii="Times New Roman" w:eastAsia="新細明體" w:hAnsi="Times New Roman"/>
          <w:lang w:eastAsia="zh-TW"/>
        </w:rPr>
        <w:t>—</w:t>
      </w:r>
      <w:proofErr w:type="gramEnd"/>
      <w:r>
        <w:rPr>
          <w:rFonts w:ascii="Times New Roman" w:eastAsia="新細明體" w:hAnsi="Times New Roman"/>
          <w:lang w:eastAsia="zh-TW"/>
        </w:rPr>
        <w:t>—</w:t>
      </w:r>
      <w:r>
        <w:rPr>
          <w:rFonts w:ascii="Times New Roman" w:eastAsia="新細明體" w:hAnsi="Times New Roman"/>
          <w:lang w:eastAsia="zh-TW"/>
        </w:rPr>
        <w:t>非劃定技術禁區，而是要求公共體系保有最終重新判斷、說明理由、承認例外與承擔責任的制度位置與實質能力。本文以一項庇護／難民風險</w:t>
      </w:r>
      <w:proofErr w:type="gramStart"/>
      <w:r>
        <w:rPr>
          <w:rFonts w:ascii="Times New Roman" w:eastAsia="新細明體" w:hAnsi="Times New Roman"/>
          <w:lang w:eastAsia="zh-TW"/>
        </w:rPr>
        <w:t>初篩案例</w:t>
      </w:r>
      <w:proofErr w:type="gramEnd"/>
      <w:r>
        <w:rPr>
          <w:rFonts w:ascii="Times New Roman" w:eastAsia="新細明體" w:hAnsi="Times New Roman"/>
          <w:lang w:eastAsia="zh-TW"/>
        </w:rPr>
        <w:t>展示規範轉換條件如何具體判定，並主動回應人類中心主義、工具論與法律歸屬論</w:t>
      </w:r>
      <w:proofErr w:type="gramStart"/>
      <w:r>
        <w:rPr>
          <w:rFonts w:ascii="Times New Roman" w:eastAsia="新細明體" w:hAnsi="Times New Roman"/>
          <w:lang w:eastAsia="zh-TW"/>
        </w:rPr>
        <w:t>三種反</w:t>
      </w:r>
      <w:proofErr w:type="gramEnd"/>
      <w:r>
        <w:rPr>
          <w:rFonts w:ascii="Times New Roman" w:eastAsia="新細明體" w:hAnsi="Times New Roman"/>
          <w:lang w:eastAsia="zh-TW"/>
        </w:rPr>
        <w:t>論，與</w:t>
      </w:r>
      <w:r>
        <w:rPr>
          <w:rFonts w:ascii="Times New Roman" w:eastAsia="新細明體" w:hAnsi="Times New Roman"/>
          <w:lang w:eastAsia="zh-TW"/>
        </w:rPr>
        <w:t>027</w:t>
      </w:r>
      <w:r>
        <w:rPr>
          <w:rFonts w:ascii="Times New Roman" w:eastAsia="新細明體" w:hAnsi="Times New Roman"/>
          <w:lang w:eastAsia="zh-TW"/>
        </w:rPr>
        <w:t>、</w:t>
      </w:r>
      <w:r>
        <w:rPr>
          <w:rFonts w:ascii="Times New Roman" w:eastAsia="新細明體" w:hAnsi="Times New Roman"/>
          <w:lang w:eastAsia="zh-TW"/>
        </w:rPr>
        <w:t>028</w:t>
      </w:r>
      <w:r>
        <w:rPr>
          <w:rFonts w:ascii="Times New Roman" w:eastAsia="新細明體" w:hAnsi="Times New Roman"/>
          <w:lang w:eastAsia="zh-TW"/>
        </w:rPr>
        <w:t>形成規範論封頂。</w:t>
      </w:r>
    </w:p>
    <w:p w:rsidR="00CB0786" w:rsidRDefault="001269C0">
      <w:pPr>
        <w:spacing w:after="160" w:line="312" w:lineRule="auto"/>
        <w:rPr>
          <w:lang w:eastAsia="zh-TW"/>
        </w:rPr>
      </w:pPr>
      <w:r>
        <w:rPr>
          <w:rFonts w:ascii="Times New Roman" w:eastAsia="新細明體" w:hAnsi="Times New Roman"/>
          <w:b/>
          <w:sz w:val="21"/>
          <w:lang w:eastAsia="zh-TW"/>
        </w:rPr>
        <w:t>關鍵詞：公共權威</w:t>
      </w:r>
      <w:proofErr w:type="gramStart"/>
      <w:r>
        <w:rPr>
          <w:rFonts w:ascii="Times New Roman" w:eastAsia="新細明體" w:hAnsi="Times New Roman"/>
          <w:b/>
          <w:sz w:val="21"/>
          <w:lang w:eastAsia="zh-TW"/>
        </w:rPr>
        <w:t>外部化</w:t>
      </w:r>
      <w:proofErr w:type="gramEnd"/>
      <w:r>
        <w:rPr>
          <w:rFonts w:ascii="Times New Roman" w:eastAsia="新細明體" w:hAnsi="Times New Roman"/>
          <w:b/>
          <w:sz w:val="21"/>
          <w:lang w:eastAsia="zh-TW"/>
        </w:rPr>
        <w:t>；公共判斷</w:t>
      </w:r>
      <w:r>
        <w:rPr>
          <w:rFonts w:ascii="Times New Roman" w:eastAsia="新細明體" w:hAnsi="Times New Roman"/>
          <w:b/>
          <w:sz w:val="21"/>
          <w:lang w:eastAsia="zh-TW"/>
        </w:rPr>
        <w:t>不可外包原則；規範轉換條件；行政外包；人工智慧治理</w:t>
      </w:r>
    </w:p>
    <w:p w:rsidR="00CB0786" w:rsidRDefault="001269C0">
      <w:pPr>
        <w:spacing w:before="400" w:after="160"/>
        <w:rPr>
          <w:lang w:eastAsia="zh-TW"/>
        </w:rPr>
      </w:pPr>
      <w:r>
        <w:rPr>
          <w:rFonts w:ascii="Times New Roman" w:eastAsia="新細明體" w:hAnsi="Times New Roman"/>
          <w:b/>
          <w:color w:val="1A365D"/>
          <w:sz w:val="30"/>
          <w:lang w:eastAsia="zh-TW"/>
        </w:rPr>
        <w:t>一、問題提出：從業務委外到公共權威外部化</w:t>
      </w:r>
    </w:p>
    <w:p w:rsidR="00CB0786" w:rsidRDefault="001269C0">
      <w:pPr>
        <w:spacing w:after="160" w:line="312" w:lineRule="auto"/>
        <w:rPr>
          <w:lang w:eastAsia="zh-TW"/>
        </w:rPr>
      </w:pPr>
      <w:r>
        <w:rPr>
          <w:rFonts w:ascii="Times New Roman" w:eastAsia="新細明體" w:hAnsi="Times New Roman"/>
          <w:lang w:eastAsia="zh-TW"/>
        </w:rPr>
        <w:t>傳統公共行政學對外包（</w:t>
      </w:r>
      <w:r>
        <w:rPr>
          <w:rFonts w:ascii="Times New Roman" w:eastAsia="新細明體" w:hAnsi="Times New Roman"/>
          <w:lang w:eastAsia="zh-TW"/>
        </w:rPr>
        <w:t>outsourcing</w:t>
      </w:r>
      <w:r>
        <w:rPr>
          <w:rFonts w:ascii="Times New Roman" w:eastAsia="新細明體" w:hAnsi="Times New Roman"/>
          <w:lang w:eastAsia="zh-TW"/>
        </w:rPr>
        <w:t>）、民營化（</w:t>
      </w:r>
      <w:r>
        <w:rPr>
          <w:rFonts w:ascii="Times New Roman" w:eastAsia="新細明體" w:hAnsi="Times New Roman"/>
          <w:lang w:eastAsia="zh-TW"/>
        </w:rPr>
        <w:t>privatization</w:t>
      </w:r>
      <w:r>
        <w:rPr>
          <w:rFonts w:ascii="Times New Roman" w:eastAsia="新細明體" w:hAnsi="Times New Roman"/>
          <w:lang w:eastAsia="zh-TW"/>
        </w:rPr>
        <w:t>）與公私協力的討論，主要圍繞服務傳遞與技術性執行。核心假設是：任務與執行可以移轉，只要公共權威與最終責任仍留在國家</w:t>
      </w:r>
      <w:proofErr w:type="gramStart"/>
      <w:r>
        <w:rPr>
          <w:rFonts w:ascii="Times New Roman" w:eastAsia="新細明體" w:hAnsi="Times New Roman"/>
          <w:lang w:eastAsia="zh-TW"/>
        </w:rPr>
        <w:t>（</w:t>
      </w:r>
      <w:proofErr w:type="gramEnd"/>
      <w:r>
        <w:rPr>
          <w:rFonts w:ascii="Times New Roman" w:eastAsia="新細明體" w:hAnsi="Times New Roman"/>
          <w:lang w:eastAsia="zh-TW"/>
        </w:rPr>
        <w:t>Waldo, 1948/1984; Rohr, 1986</w:t>
      </w:r>
      <w:proofErr w:type="gramStart"/>
      <w:r>
        <w:rPr>
          <w:rFonts w:ascii="Times New Roman" w:eastAsia="新細明體" w:hAnsi="Times New Roman"/>
          <w:lang w:eastAsia="zh-TW"/>
        </w:rPr>
        <w:t>）</w:t>
      </w:r>
      <w:proofErr w:type="gramEnd"/>
      <w:r>
        <w:rPr>
          <w:rFonts w:ascii="Times New Roman" w:eastAsia="新細明體" w:hAnsi="Times New Roman"/>
          <w:lang w:eastAsia="zh-TW"/>
        </w:rPr>
        <w:t>。此一假設在人工智慧深度介入行政核心之前相對穩固，但即使在純粹的服務外包脈絡中，其穩固性也早已受到質疑：</w:t>
      </w:r>
      <w:r>
        <w:rPr>
          <w:rFonts w:ascii="Times New Roman" w:eastAsia="新細明體" w:hAnsi="Times New Roman"/>
          <w:lang w:eastAsia="zh-TW"/>
        </w:rPr>
        <w:t>Moe</w:t>
      </w:r>
      <w:r>
        <w:rPr>
          <w:rFonts w:ascii="Times New Roman" w:eastAsia="新細明體" w:hAnsi="Times New Roman"/>
          <w:lang w:eastAsia="zh-TW"/>
        </w:rPr>
        <w:t>（</w:t>
      </w:r>
      <w:r>
        <w:rPr>
          <w:rFonts w:ascii="Times New Roman" w:eastAsia="新細明體" w:hAnsi="Times New Roman"/>
          <w:lang w:eastAsia="zh-TW"/>
        </w:rPr>
        <w:t>1987</w:t>
      </w:r>
      <w:r>
        <w:rPr>
          <w:rFonts w:ascii="Times New Roman" w:eastAsia="新細明體" w:hAnsi="Times New Roman"/>
          <w:lang w:eastAsia="zh-TW"/>
        </w:rPr>
        <w:t>）即指出，民營化論者常低估公私</w:t>
      </w:r>
      <w:proofErr w:type="gramStart"/>
      <w:r>
        <w:rPr>
          <w:rFonts w:ascii="Times New Roman" w:eastAsia="新細明體" w:hAnsi="Times New Roman"/>
          <w:lang w:eastAsia="zh-TW"/>
        </w:rPr>
        <w:t>部門在究責</w:t>
      </w:r>
      <w:proofErr w:type="gramEnd"/>
      <w:r>
        <w:rPr>
          <w:rFonts w:ascii="Times New Roman" w:eastAsia="新細明體" w:hAnsi="Times New Roman"/>
          <w:lang w:eastAsia="zh-TW"/>
        </w:rPr>
        <w:t>結</w:t>
      </w:r>
      <w:r>
        <w:rPr>
          <w:rFonts w:ascii="Times New Roman" w:eastAsia="新細明體" w:hAnsi="Times New Roman"/>
          <w:lang w:eastAsia="zh-TW"/>
        </w:rPr>
        <w:t>構、正當程序與主權象徵上的根本差異，將「效率」等同於「治理正當性」；</w:t>
      </w:r>
      <w:proofErr w:type="spellStart"/>
      <w:r>
        <w:rPr>
          <w:rFonts w:ascii="Times New Roman" w:eastAsia="新細明體" w:hAnsi="Times New Roman"/>
          <w:lang w:eastAsia="zh-TW"/>
        </w:rPr>
        <w:t>Cordelli</w:t>
      </w:r>
      <w:proofErr w:type="spellEnd"/>
      <w:r>
        <w:rPr>
          <w:rFonts w:ascii="Times New Roman" w:eastAsia="新細明體" w:hAnsi="Times New Roman"/>
          <w:lang w:eastAsia="zh-TW"/>
        </w:rPr>
        <w:t>（</w:t>
      </w:r>
      <w:r>
        <w:rPr>
          <w:rFonts w:ascii="Times New Roman" w:eastAsia="新細明體" w:hAnsi="Times New Roman"/>
          <w:lang w:eastAsia="zh-TW"/>
        </w:rPr>
        <w:t>2020</w:t>
      </w:r>
      <w:r>
        <w:rPr>
          <w:rFonts w:ascii="Times New Roman" w:eastAsia="新細明體" w:hAnsi="Times New Roman"/>
          <w:lang w:eastAsia="zh-TW"/>
        </w:rPr>
        <w:t>）更從規範理論的高度主張，公共權力的私有化本身即構成一種「</w:t>
      </w:r>
      <w:proofErr w:type="gramStart"/>
      <w:r>
        <w:rPr>
          <w:rFonts w:ascii="Times New Roman" w:eastAsia="新細明體" w:hAnsi="Times New Roman"/>
          <w:lang w:eastAsia="zh-TW"/>
        </w:rPr>
        <w:t>準</w:t>
      </w:r>
      <w:proofErr w:type="gramEnd"/>
      <w:r>
        <w:rPr>
          <w:rFonts w:ascii="Times New Roman" w:eastAsia="新細明體" w:hAnsi="Times New Roman"/>
          <w:lang w:eastAsia="zh-TW"/>
        </w:rPr>
        <w:t>前政治狀態」的倒退，因為私人受託者行使強制力時，並不承擔與國家相同的</w:t>
      </w:r>
      <w:proofErr w:type="gramStart"/>
      <w:r>
        <w:rPr>
          <w:rFonts w:ascii="Times New Roman" w:eastAsia="新細明體" w:hAnsi="Times New Roman"/>
          <w:lang w:eastAsia="zh-TW"/>
        </w:rPr>
        <w:t>民主課責義</w:t>
      </w:r>
      <w:proofErr w:type="gramEnd"/>
      <w:r>
        <w:rPr>
          <w:rFonts w:ascii="Times New Roman" w:eastAsia="新細明體" w:hAnsi="Times New Roman"/>
          <w:lang w:eastAsia="zh-TW"/>
        </w:rPr>
        <w:lastRenderedPageBreak/>
        <w:t>務。本文之論證接續此一批判脈絡，但聚焦於</w:t>
      </w:r>
      <w:r>
        <w:rPr>
          <w:rFonts w:ascii="Times New Roman" w:eastAsia="新細明體" w:hAnsi="Times New Roman"/>
          <w:lang w:eastAsia="zh-TW"/>
        </w:rPr>
        <w:t>AI</w:t>
      </w:r>
      <w:r>
        <w:rPr>
          <w:rFonts w:ascii="Times New Roman" w:eastAsia="新細明體" w:hAnsi="Times New Roman"/>
          <w:lang w:eastAsia="zh-TW"/>
        </w:rPr>
        <w:t>造成的特殊質變：當生成式</w:t>
      </w:r>
      <w:r>
        <w:rPr>
          <w:rFonts w:ascii="Times New Roman" w:eastAsia="新細明體" w:hAnsi="Times New Roman"/>
          <w:lang w:eastAsia="zh-TW"/>
        </w:rPr>
        <w:t>AI</w:t>
      </w:r>
      <w:r>
        <w:rPr>
          <w:rFonts w:ascii="Times New Roman" w:eastAsia="新細明體" w:hAnsi="Times New Roman"/>
          <w:lang w:eastAsia="zh-TW"/>
        </w:rPr>
        <w:t>與機器學習系統被引進行政過程，政府開始將個案事實歸納、規範意涵詮釋、處分理由形成乃至風險評級移轉給演算法系統時，外包的本質發生質變</w:t>
      </w:r>
      <w:proofErr w:type="gramStart"/>
      <w:r>
        <w:rPr>
          <w:rFonts w:ascii="Times New Roman" w:eastAsia="新細明體" w:hAnsi="Times New Roman"/>
          <w:lang w:eastAsia="zh-TW"/>
        </w:rPr>
        <w:t>—</w:t>
      </w:r>
      <w:proofErr w:type="gramEnd"/>
      <w:r>
        <w:rPr>
          <w:rFonts w:ascii="Times New Roman" w:eastAsia="新細明體" w:hAnsi="Times New Roman"/>
          <w:lang w:eastAsia="zh-TW"/>
        </w:rPr>
        <w:t>—</w:t>
      </w:r>
      <w:r>
        <w:rPr>
          <w:rFonts w:ascii="Times New Roman" w:eastAsia="新細明體" w:hAnsi="Times New Roman"/>
          <w:lang w:eastAsia="zh-TW"/>
        </w:rPr>
        <w:t>從勞務與執行外包，轉變為公共判斷（</w:t>
      </w:r>
      <w:r>
        <w:rPr>
          <w:rFonts w:ascii="Times New Roman" w:eastAsia="新細明體" w:hAnsi="Times New Roman"/>
          <w:lang w:eastAsia="zh-TW"/>
        </w:rPr>
        <w:t>public judgment</w:t>
      </w:r>
      <w:r>
        <w:rPr>
          <w:rFonts w:ascii="Times New Roman" w:eastAsia="新細明體" w:hAnsi="Times New Roman"/>
          <w:lang w:eastAsia="zh-TW"/>
        </w:rPr>
        <w:t>）的</w:t>
      </w:r>
      <w:proofErr w:type="gramStart"/>
      <w:r>
        <w:rPr>
          <w:rFonts w:ascii="Times New Roman" w:eastAsia="新細明體" w:hAnsi="Times New Roman"/>
          <w:lang w:eastAsia="zh-TW"/>
        </w:rPr>
        <w:t>外部</w:t>
      </w:r>
      <w:proofErr w:type="gramEnd"/>
      <w:r>
        <w:rPr>
          <w:rFonts w:ascii="Times New Roman" w:eastAsia="新細明體" w:hAnsi="Times New Roman"/>
          <w:lang w:eastAsia="zh-TW"/>
        </w:rPr>
        <w:t>化</w:t>
      </w:r>
      <w:r>
        <w:rPr>
          <w:rFonts w:ascii="Times New Roman" w:eastAsia="新細明體" w:hAnsi="Times New Roman"/>
          <w:lang w:eastAsia="zh-TW"/>
        </w:rPr>
        <w:t>。</w:t>
      </w:r>
    </w:p>
    <w:p w:rsidR="00CB0786" w:rsidRDefault="001269C0">
      <w:pPr>
        <w:spacing w:after="160" w:line="312" w:lineRule="auto"/>
        <w:rPr>
          <w:lang w:eastAsia="zh-TW"/>
        </w:rPr>
      </w:pPr>
      <w:r>
        <w:rPr>
          <w:rFonts w:ascii="Times New Roman" w:eastAsia="新細明體" w:hAnsi="Times New Roman"/>
          <w:lang w:eastAsia="zh-TW"/>
        </w:rPr>
        <w:t>本文批判兩種簡化想像：一是「</w:t>
      </w:r>
      <w:r>
        <w:rPr>
          <w:rFonts w:ascii="Times New Roman" w:eastAsia="新細明體" w:hAnsi="Times New Roman"/>
          <w:lang w:eastAsia="zh-TW"/>
        </w:rPr>
        <w:t>AI</w:t>
      </w:r>
      <w:r>
        <w:rPr>
          <w:rFonts w:ascii="Times New Roman" w:eastAsia="新細明體" w:hAnsi="Times New Roman"/>
          <w:lang w:eastAsia="zh-TW"/>
        </w:rPr>
        <w:t>取代人」的技術決定論；二是「</w:t>
      </w:r>
      <w:r>
        <w:rPr>
          <w:rFonts w:ascii="Times New Roman" w:eastAsia="新細明體" w:hAnsi="Times New Roman"/>
          <w:lang w:eastAsia="zh-TW"/>
        </w:rPr>
        <w:t>AI</w:t>
      </w:r>
      <w:r>
        <w:rPr>
          <w:rFonts w:ascii="Times New Roman" w:eastAsia="新細明體" w:hAnsi="Times New Roman"/>
          <w:lang w:eastAsia="zh-TW"/>
        </w:rPr>
        <w:t>性能有限，只要保留人類最終核章即可」的能力限制論。真正的危機不在於</w:t>
      </w:r>
      <w:r>
        <w:rPr>
          <w:rFonts w:ascii="Times New Roman" w:eastAsia="新細明體" w:hAnsi="Times New Roman"/>
          <w:lang w:eastAsia="zh-TW"/>
        </w:rPr>
        <w:t>AI</w:t>
      </w:r>
      <w:r>
        <w:rPr>
          <w:rFonts w:ascii="Times New Roman" w:eastAsia="新細明體" w:hAnsi="Times New Roman"/>
          <w:lang w:eastAsia="zh-TW"/>
        </w:rPr>
        <w:t>「能不能做」，而在於行政組織可能逐步失去形成、修正與承擔公共判斷的制度能力，發生「公共權威</w:t>
      </w:r>
      <w:proofErr w:type="gramStart"/>
      <w:r>
        <w:rPr>
          <w:rFonts w:ascii="Times New Roman" w:eastAsia="新細明體" w:hAnsi="Times New Roman"/>
          <w:lang w:eastAsia="zh-TW"/>
        </w:rPr>
        <w:t>外部化</w:t>
      </w:r>
      <w:proofErr w:type="gramEnd"/>
      <w:r>
        <w:rPr>
          <w:rFonts w:ascii="Times New Roman" w:eastAsia="新細明體" w:hAnsi="Times New Roman"/>
          <w:lang w:eastAsia="zh-TW"/>
        </w:rPr>
        <w:t>」。</w:t>
      </w:r>
    </w:p>
    <w:p w:rsidR="00CB0786" w:rsidRDefault="001269C0">
      <w:pPr>
        <w:spacing w:after="160" w:line="312" w:lineRule="auto"/>
        <w:rPr>
          <w:lang w:eastAsia="zh-TW"/>
        </w:rPr>
      </w:pPr>
      <w:r>
        <w:rPr>
          <w:rFonts w:ascii="Times New Roman" w:eastAsia="新細明體" w:hAnsi="Times New Roman"/>
          <w:lang w:eastAsia="zh-TW"/>
        </w:rPr>
        <w:t>核心問題因此轉為：一項行政活動是否可以完全委託，不取決於它使用什麼技術，而取決於它是否開始參與公共價值選擇、權利分配、強制力正當化或不可逆後果的形成。此問題與</w:t>
      </w:r>
      <w:r>
        <w:rPr>
          <w:rFonts w:ascii="Times New Roman" w:eastAsia="新細明體" w:hAnsi="Times New Roman"/>
          <w:lang w:eastAsia="zh-TW"/>
        </w:rPr>
        <w:t>027</w:t>
      </w:r>
      <w:r>
        <w:rPr>
          <w:rFonts w:ascii="Times New Roman" w:eastAsia="新細明體" w:hAnsi="Times New Roman"/>
          <w:lang w:eastAsia="zh-TW"/>
        </w:rPr>
        <w:t>「分散式行政行動」、</w:t>
      </w:r>
      <w:r>
        <w:rPr>
          <w:rFonts w:ascii="Times New Roman" w:eastAsia="新細明體" w:hAnsi="Times New Roman"/>
          <w:lang w:eastAsia="zh-TW"/>
        </w:rPr>
        <w:t>028</w:t>
      </w:r>
      <w:r>
        <w:rPr>
          <w:rFonts w:ascii="Times New Roman" w:eastAsia="新細明體" w:hAnsi="Times New Roman"/>
          <w:lang w:eastAsia="zh-TW"/>
        </w:rPr>
        <w:t>「</w:t>
      </w:r>
      <w:proofErr w:type="gramStart"/>
      <w:r>
        <w:rPr>
          <w:rFonts w:ascii="Times New Roman" w:eastAsia="新細明體" w:hAnsi="Times New Roman"/>
          <w:lang w:eastAsia="zh-TW"/>
        </w:rPr>
        <w:t>裁量場</w:t>
      </w:r>
      <w:proofErr w:type="gramEnd"/>
      <w:r>
        <w:rPr>
          <w:rFonts w:ascii="Times New Roman" w:eastAsia="新細明體" w:hAnsi="Times New Roman"/>
          <w:lang w:eastAsia="zh-TW"/>
        </w:rPr>
        <w:t>」直接銜接：生成條件可分散、裁量可分布，但公共權威的最終再介入能力不可</w:t>
      </w:r>
      <w:proofErr w:type="gramStart"/>
      <w:r>
        <w:rPr>
          <w:rFonts w:ascii="Times New Roman" w:eastAsia="新細明體" w:hAnsi="Times New Roman"/>
          <w:lang w:eastAsia="zh-TW"/>
        </w:rPr>
        <w:t>外部</w:t>
      </w:r>
      <w:r>
        <w:rPr>
          <w:rFonts w:ascii="Times New Roman" w:eastAsia="新細明體" w:hAnsi="Times New Roman"/>
          <w:lang w:eastAsia="zh-TW"/>
        </w:rPr>
        <w:t>化</w:t>
      </w:r>
      <w:proofErr w:type="gramEnd"/>
      <w:r>
        <w:rPr>
          <w:rFonts w:ascii="Times New Roman" w:eastAsia="新細明體" w:hAnsi="Times New Roman"/>
          <w:lang w:eastAsia="zh-TW"/>
        </w:rPr>
        <w:t>。</w:t>
      </w:r>
    </w:p>
    <w:p w:rsidR="00CB0786" w:rsidRDefault="001269C0">
      <w:pPr>
        <w:spacing w:before="400" w:after="160"/>
        <w:rPr>
          <w:lang w:eastAsia="zh-TW"/>
        </w:rPr>
      </w:pPr>
      <w:r>
        <w:rPr>
          <w:rFonts w:ascii="Times New Roman" w:eastAsia="新細明體" w:hAnsi="Times New Roman"/>
          <w:b/>
          <w:color w:val="1A365D"/>
          <w:sz w:val="30"/>
          <w:lang w:eastAsia="zh-TW"/>
        </w:rPr>
        <w:t>二、既有行政委託理論的隱含前提與斷裂</w:t>
      </w:r>
    </w:p>
    <w:p w:rsidR="00CB0786" w:rsidRDefault="001269C0">
      <w:pPr>
        <w:spacing w:after="160" w:line="312" w:lineRule="auto"/>
        <w:rPr>
          <w:lang w:eastAsia="zh-TW"/>
        </w:rPr>
      </w:pPr>
      <w:r>
        <w:rPr>
          <w:rFonts w:ascii="Times New Roman" w:eastAsia="新細明體" w:hAnsi="Times New Roman"/>
        </w:rPr>
        <w:t>既有理論</w:t>
      </w:r>
      <w:r>
        <w:rPr>
          <w:rFonts w:ascii="Times New Roman" w:eastAsia="新細明體" w:hAnsi="Times New Roman"/>
        </w:rPr>
        <w:t>——outsourcing</w:t>
      </w:r>
      <w:r>
        <w:rPr>
          <w:rFonts w:ascii="Times New Roman" w:eastAsia="新細明體" w:hAnsi="Times New Roman"/>
        </w:rPr>
        <w:t>、</w:t>
      </w:r>
      <w:r>
        <w:rPr>
          <w:rFonts w:ascii="Times New Roman" w:eastAsia="新細明體" w:hAnsi="Times New Roman"/>
        </w:rPr>
        <w:t>privatization</w:t>
      </w:r>
      <w:r>
        <w:rPr>
          <w:rFonts w:ascii="Times New Roman" w:eastAsia="新細明體" w:hAnsi="Times New Roman"/>
        </w:rPr>
        <w:t>、新公共管理（</w:t>
      </w:r>
      <w:r>
        <w:rPr>
          <w:rFonts w:ascii="Times New Roman" w:eastAsia="新細明體" w:hAnsi="Times New Roman"/>
        </w:rPr>
        <w:t>NPM</w:t>
      </w:r>
      <w:r>
        <w:rPr>
          <w:rFonts w:ascii="Times New Roman" w:eastAsia="新細明體" w:hAnsi="Times New Roman"/>
        </w:rPr>
        <w:t>）、網絡治理、</w:t>
      </w:r>
      <w:r>
        <w:rPr>
          <w:rFonts w:ascii="Times New Roman" w:eastAsia="新細明體" w:hAnsi="Times New Roman"/>
        </w:rPr>
        <w:t>delegation</w:t>
      </w:r>
      <w:r>
        <w:rPr>
          <w:rFonts w:ascii="Times New Roman" w:eastAsia="新細明體" w:hAnsi="Times New Roman"/>
        </w:rPr>
        <w:t>與</w:t>
      </w:r>
      <w:r>
        <w:rPr>
          <w:rFonts w:ascii="Times New Roman" w:eastAsia="新細明體" w:hAnsi="Times New Roman"/>
        </w:rPr>
        <w:t>publicness——</w:t>
      </w:r>
      <w:r>
        <w:rPr>
          <w:rFonts w:ascii="Times New Roman" w:eastAsia="新細明體" w:hAnsi="Times New Roman"/>
        </w:rPr>
        <w:t>共享一項深層前提：任務、執行與生產可以外包，只要公共權威與最終責任仍留在國家。</w:t>
      </w:r>
      <w:r>
        <w:rPr>
          <w:rFonts w:ascii="Times New Roman" w:eastAsia="新細明體" w:hAnsi="Times New Roman"/>
          <w:lang w:eastAsia="zh-TW"/>
        </w:rPr>
        <w:t>Dwight Waldo</w:t>
      </w:r>
      <w:r>
        <w:rPr>
          <w:rFonts w:ascii="Times New Roman" w:eastAsia="新細明體" w:hAnsi="Times New Roman"/>
          <w:lang w:eastAsia="zh-TW"/>
        </w:rPr>
        <w:t>對公共性的強調、</w:t>
      </w:r>
      <w:r>
        <w:rPr>
          <w:rFonts w:ascii="Times New Roman" w:eastAsia="新細明體" w:hAnsi="Times New Roman"/>
          <w:lang w:eastAsia="zh-TW"/>
        </w:rPr>
        <w:t>John Rohr</w:t>
      </w:r>
      <w:r>
        <w:rPr>
          <w:rFonts w:ascii="Times New Roman" w:eastAsia="新細明體" w:hAnsi="Times New Roman"/>
          <w:lang w:eastAsia="zh-TW"/>
        </w:rPr>
        <w:t>的憲政行政論，以及</w:t>
      </w:r>
      <w:r>
        <w:rPr>
          <w:rFonts w:ascii="Times New Roman" w:eastAsia="新細明體" w:hAnsi="Times New Roman"/>
          <w:lang w:eastAsia="zh-TW"/>
        </w:rPr>
        <w:t>Moe</w:t>
      </w:r>
      <w:r>
        <w:rPr>
          <w:rFonts w:ascii="Times New Roman" w:eastAsia="新細明體" w:hAnsi="Times New Roman"/>
          <w:lang w:eastAsia="zh-TW"/>
        </w:rPr>
        <w:t>（</w:t>
      </w:r>
      <w:r>
        <w:rPr>
          <w:rFonts w:ascii="Times New Roman" w:eastAsia="新細明體" w:hAnsi="Times New Roman"/>
          <w:lang w:eastAsia="zh-TW"/>
        </w:rPr>
        <w:t>1987</w:t>
      </w:r>
      <w:r>
        <w:rPr>
          <w:rFonts w:ascii="Times New Roman" w:eastAsia="新細明體" w:hAnsi="Times New Roman"/>
          <w:lang w:eastAsia="zh-TW"/>
        </w:rPr>
        <w:t>）、</w:t>
      </w:r>
      <w:proofErr w:type="spellStart"/>
      <w:r>
        <w:rPr>
          <w:rFonts w:ascii="Times New Roman" w:eastAsia="新細明體" w:hAnsi="Times New Roman"/>
          <w:lang w:eastAsia="zh-TW"/>
        </w:rPr>
        <w:t>Cordelli</w:t>
      </w:r>
      <w:proofErr w:type="spellEnd"/>
      <w:r>
        <w:rPr>
          <w:rFonts w:ascii="Times New Roman" w:eastAsia="新細明體" w:hAnsi="Times New Roman"/>
          <w:lang w:eastAsia="zh-TW"/>
        </w:rPr>
        <w:t>（</w:t>
      </w:r>
      <w:r>
        <w:rPr>
          <w:rFonts w:ascii="Times New Roman" w:eastAsia="新細明體" w:hAnsi="Times New Roman"/>
          <w:lang w:eastAsia="zh-TW"/>
        </w:rPr>
        <w:t>2020</w:t>
      </w:r>
      <w:r>
        <w:rPr>
          <w:rFonts w:ascii="Times New Roman" w:eastAsia="新細明體" w:hAnsi="Times New Roman"/>
          <w:lang w:eastAsia="zh-TW"/>
        </w:rPr>
        <w:t>）等民營化批判文獻，皆在此前提上運作</w:t>
      </w:r>
      <w:r>
        <w:rPr>
          <w:rFonts w:ascii="Times New Roman" w:eastAsia="新細明體" w:hAnsi="Times New Roman"/>
          <w:lang w:eastAsia="zh-TW"/>
        </w:rPr>
        <w:t>——</w:t>
      </w:r>
      <w:r>
        <w:rPr>
          <w:rFonts w:ascii="Times New Roman" w:eastAsia="新細明體" w:hAnsi="Times New Roman"/>
          <w:lang w:eastAsia="zh-TW"/>
        </w:rPr>
        <w:t>即便對外包持批判立場的學者，其批判仍預設「權威」與「執行」在概念上可被清楚切割，爭論僅</w:t>
      </w:r>
      <w:r>
        <w:rPr>
          <w:rFonts w:ascii="Times New Roman" w:eastAsia="新細明體" w:hAnsi="Times New Roman"/>
          <w:lang w:eastAsia="zh-TW"/>
        </w:rPr>
        <w:t>在於切割的界線應劃在何處。</w:t>
      </w:r>
    </w:p>
    <w:p w:rsidR="00CB0786" w:rsidRDefault="001269C0">
      <w:pPr>
        <w:spacing w:after="160" w:line="312" w:lineRule="auto"/>
        <w:rPr>
          <w:lang w:eastAsia="zh-TW"/>
        </w:rPr>
      </w:pPr>
      <w:r>
        <w:rPr>
          <w:rFonts w:ascii="Times New Roman" w:eastAsia="新細明體" w:hAnsi="Times New Roman"/>
          <w:lang w:eastAsia="zh-TW"/>
        </w:rPr>
        <w:t>人工智慧造成的理論斷裂在於：當「理由形成本身」與「判斷生成」被嵌入演算法系統時，執行與判斷已無法清晰切割。技術執行開始實質轉化為公共理由與權威的塑造，傳統「任務可移轉、權威不可移轉」的區分因此出現規範缺口。必須重新追問：當判斷生成本身被</w:t>
      </w:r>
      <w:proofErr w:type="gramStart"/>
      <w:r>
        <w:rPr>
          <w:rFonts w:ascii="Times New Roman" w:eastAsia="新細明體" w:hAnsi="Times New Roman"/>
          <w:lang w:eastAsia="zh-TW"/>
        </w:rPr>
        <w:t>外部化</w:t>
      </w:r>
      <w:proofErr w:type="gramEnd"/>
      <w:r>
        <w:rPr>
          <w:rFonts w:ascii="Times New Roman" w:eastAsia="新細明體" w:hAnsi="Times New Roman"/>
          <w:lang w:eastAsia="zh-TW"/>
        </w:rPr>
        <w:t>時，公共權威還剩下什麼？</w:t>
      </w:r>
    </w:p>
    <w:p w:rsidR="00CB0786" w:rsidRDefault="001269C0">
      <w:pPr>
        <w:spacing w:after="160" w:line="312" w:lineRule="auto"/>
        <w:rPr>
          <w:lang w:eastAsia="zh-TW"/>
        </w:rPr>
      </w:pPr>
      <w:r>
        <w:rPr>
          <w:rFonts w:ascii="Times New Roman" w:eastAsia="新細明體" w:hAnsi="Times New Roman"/>
          <w:lang w:eastAsia="zh-TW"/>
        </w:rPr>
        <w:t>此一斷裂並非全盤否定既有理論，而是指出其在判斷生成被技術系統深度中介時，未能充分處理「權威如何被保存於可被民主與法律重新介入的結構」這一規範要求。</w:t>
      </w:r>
    </w:p>
    <w:p w:rsidR="00CB0786" w:rsidRDefault="001269C0">
      <w:pPr>
        <w:spacing w:before="400" w:after="160"/>
        <w:rPr>
          <w:lang w:eastAsia="zh-TW"/>
        </w:rPr>
      </w:pPr>
      <w:r>
        <w:rPr>
          <w:rFonts w:ascii="Times New Roman" w:eastAsia="新細明體" w:hAnsi="Times New Roman"/>
          <w:b/>
          <w:color w:val="1A365D"/>
          <w:sz w:val="30"/>
          <w:lang w:eastAsia="zh-TW"/>
        </w:rPr>
        <w:t>三、從技術執行到公共判斷：規範轉換條件</w:t>
      </w:r>
    </w:p>
    <w:p w:rsidR="00CB0786" w:rsidRDefault="001269C0">
      <w:pPr>
        <w:spacing w:after="160" w:line="312" w:lineRule="auto"/>
      </w:pPr>
      <w:proofErr w:type="spellStart"/>
      <w:r>
        <w:rPr>
          <w:rFonts w:ascii="Times New Roman" w:eastAsia="新細明體" w:hAnsi="Times New Roman"/>
        </w:rPr>
        <w:t>本文建立「規範轉換條件</w:t>
      </w:r>
      <w:proofErr w:type="spellEnd"/>
      <w:r>
        <w:rPr>
          <w:rFonts w:ascii="Times New Roman" w:eastAsia="新細明體" w:hAnsi="Times New Roman"/>
        </w:rPr>
        <w:t>」（</w:t>
      </w:r>
      <w:r>
        <w:rPr>
          <w:rFonts w:ascii="Times New Roman" w:eastAsia="新細明體" w:hAnsi="Times New Roman"/>
        </w:rPr>
        <w:t>C</w:t>
      </w:r>
      <w:r>
        <w:rPr>
          <w:rFonts w:ascii="Times New Roman" w:eastAsia="新細明體" w:hAnsi="Times New Roman"/>
        </w:rPr>
        <w:t>onditions of Normative Conversion</w:t>
      </w:r>
      <w:r>
        <w:rPr>
          <w:rFonts w:ascii="Times New Roman" w:eastAsia="新細明體" w:hAnsi="Times New Roman"/>
        </w:rPr>
        <w:t>）：一項原本看似純粹技術性的工作（資料篩選、風險評估、草案生成），在何種條件下會轉化為具有實質影響力的「公共判斷」。</w:t>
      </w:r>
    </w:p>
    <w:p w:rsidR="00CB0786" w:rsidRDefault="001269C0">
      <w:pPr>
        <w:spacing w:after="160" w:line="312" w:lineRule="auto"/>
        <w:rPr>
          <w:lang w:eastAsia="zh-TW"/>
        </w:rPr>
      </w:pPr>
      <w:r>
        <w:rPr>
          <w:rFonts w:ascii="Times New Roman" w:eastAsia="新細明體" w:hAnsi="Times New Roman"/>
          <w:lang w:eastAsia="zh-TW"/>
        </w:rPr>
        <w:t>當技術過程開始實質決定以下任一事項時，即發生規範轉換：</w:t>
      </w:r>
    </w:p>
    <w:p w:rsidR="00CB0786" w:rsidRDefault="001269C0">
      <w:pPr>
        <w:spacing w:after="160" w:line="312" w:lineRule="auto"/>
        <w:rPr>
          <w:lang w:eastAsia="zh-TW"/>
        </w:rPr>
      </w:pPr>
      <w:r>
        <w:rPr>
          <w:rFonts w:ascii="Times New Roman" w:eastAsia="新細明體" w:hAnsi="Times New Roman"/>
          <w:lang w:eastAsia="zh-TW"/>
        </w:rPr>
        <w:lastRenderedPageBreak/>
        <w:t>（</w:t>
      </w:r>
      <w:r>
        <w:rPr>
          <w:rFonts w:ascii="Times New Roman" w:eastAsia="新細明體" w:hAnsi="Times New Roman"/>
          <w:lang w:eastAsia="zh-TW"/>
        </w:rPr>
        <w:t>1</w:t>
      </w:r>
      <w:r>
        <w:rPr>
          <w:rFonts w:ascii="Times New Roman" w:eastAsia="新細明體" w:hAnsi="Times New Roman"/>
          <w:lang w:eastAsia="zh-TW"/>
        </w:rPr>
        <w:t>）價值衝突的權衡結果（例如安全與自由、效率與公平的優先順序）；（</w:t>
      </w:r>
      <w:r>
        <w:rPr>
          <w:rFonts w:ascii="Times New Roman" w:eastAsia="新細明體" w:hAnsi="Times New Roman"/>
          <w:lang w:eastAsia="zh-TW"/>
        </w:rPr>
        <w:t>2</w:t>
      </w:r>
      <w:r>
        <w:rPr>
          <w:rFonts w:ascii="Times New Roman" w:eastAsia="新細明體" w:hAnsi="Times New Roman"/>
          <w:lang w:eastAsia="zh-TW"/>
        </w:rPr>
        <w:t>）權利限制的邊界（例如誰被列為高風險、誰被排除資格）；（</w:t>
      </w:r>
      <w:r>
        <w:rPr>
          <w:rFonts w:ascii="Times New Roman" w:eastAsia="新細明體" w:hAnsi="Times New Roman"/>
          <w:lang w:eastAsia="zh-TW"/>
        </w:rPr>
        <w:t>3</w:t>
      </w:r>
      <w:r>
        <w:rPr>
          <w:rFonts w:ascii="Times New Roman" w:eastAsia="新細明體" w:hAnsi="Times New Roman"/>
          <w:lang w:eastAsia="zh-TW"/>
        </w:rPr>
        <w:t>）強制力的正當化理由（例如處分理由</w:t>
      </w:r>
      <w:proofErr w:type="gramStart"/>
      <w:r>
        <w:rPr>
          <w:rFonts w:ascii="Times New Roman" w:eastAsia="新細明體" w:hAnsi="Times New Roman"/>
          <w:lang w:eastAsia="zh-TW"/>
        </w:rPr>
        <w:t>由</w:t>
      </w:r>
      <w:proofErr w:type="gramEnd"/>
      <w:r>
        <w:rPr>
          <w:rFonts w:ascii="Times New Roman" w:eastAsia="新細明體" w:hAnsi="Times New Roman"/>
          <w:lang w:eastAsia="zh-TW"/>
        </w:rPr>
        <w:t>系統自動生成並被直接採納）；（</w:t>
      </w:r>
      <w:r>
        <w:rPr>
          <w:rFonts w:ascii="Times New Roman" w:eastAsia="新細明體" w:hAnsi="Times New Roman"/>
          <w:lang w:eastAsia="zh-TW"/>
        </w:rPr>
        <w:t>4</w:t>
      </w:r>
      <w:r>
        <w:rPr>
          <w:rFonts w:ascii="Times New Roman" w:eastAsia="新細明體" w:hAnsi="Times New Roman"/>
          <w:lang w:eastAsia="zh-TW"/>
        </w:rPr>
        <w:t>）不可逆傷害的分配（例如長期影響權益的評級或排序）。</w:t>
      </w:r>
    </w:p>
    <w:p w:rsidR="00CB0786" w:rsidRDefault="001269C0">
      <w:pPr>
        <w:spacing w:after="160" w:line="312" w:lineRule="auto"/>
        <w:rPr>
          <w:lang w:eastAsia="zh-TW"/>
        </w:rPr>
      </w:pPr>
      <w:r>
        <w:rPr>
          <w:rFonts w:ascii="Times New Roman" w:eastAsia="新細明體" w:hAnsi="Times New Roman"/>
          <w:lang w:eastAsia="zh-TW"/>
        </w:rPr>
        <w:t>此時，該技術過程不再只</w:t>
      </w:r>
      <w:r>
        <w:rPr>
          <w:rFonts w:ascii="Times New Roman" w:eastAsia="新細明體" w:hAnsi="Times New Roman"/>
          <w:lang w:eastAsia="zh-TW"/>
        </w:rPr>
        <w:t>是執行，而是參與了公共權威的構成。單純以「技術輔助」或「效率提升」來合理化完整移轉，已不足以維持正當性。規範轉換的關鍵不在於技術複雜度，而在於其是否開始塑造公共理由與權威本身。</w:t>
      </w:r>
    </w:p>
    <w:p w:rsidR="00CB0786" w:rsidRDefault="001269C0">
      <w:pPr>
        <w:spacing w:before="400" w:after="160"/>
        <w:rPr>
          <w:lang w:eastAsia="zh-TW"/>
        </w:rPr>
      </w:pPr>
      <w:r>
        <w:rPr>
          <w:rFonts w:ascii="Times New Roman" w:eastAsia="新細明體" w:hAnsi="Times New Roman"/>
          <w:b/>
          <w:color w:val="1A365D"/>
          <w:sz w:val="30"/>
          <w:lang w:eastAsia="zh-TW"/>
        </w:rPr>
        <w:t>四、公共權威的四個不可完全移轉條件</w:t>
      </w:r>
    </w:p>
    <w:p w:rsidR="00CB0786" w:rsidRDefault="001269C0">
      <w:pPr>
        <w:spacing w:after="160" w:line="312" w:lineRule="auto"/>
        <w:rPr>
          <w:lang w:eastAsia="zh-TW"/>
        </w:rPr>
      </w:pPr>
      <w:r>
        <w:rPr>
          <w:rFonts w:ascii="Times New Roman" w:eastAsia="新細明體" w:hAnsi="Times New Roman"/>
          <w:lang w:eastAsia="zh-TW"/>
        </w:rPr>
        <w:t>命題</w:t>
      </w:r>
      <w:proofErr w:type="gramStart"/>
      <w:r>
        <w:rPr>
          <w:rFonts w:ascii="Times New Roman" w:eastAsia="新細明體" w:hAnsi="Times New Roman"/>
          <w:lang w:eastAsia="zh-TW"/>
        </w:rPr>
        <w:t>一</w:t>
      </w:r>
      <w:proofErr w:type="gramEnd"/>
      <w:r>
        <w:rPr>
          <w:rFonts w:ascii="Times New Roman" w:eastAsia="新細明體" w:hAnsi="Times New Roman"/>
          <w:lang w:eastAsia="zh-TW"/>
        </w:rPr>
        <w:t>（價值不可完全移轉）：凡涉及無法由單一目標函數解決的公共價值衝突時，其權衡與選擇權利不得完全移轉給技術系統。單一目標函數無法窮盡公共價值的多元與衝突本質。</w:t>
      </w:r>
    </w:p>
    <w:p w:rsidR="00CB0786" w:rsidRDefault="001269C0">
      <w:pPr>
        <w:spacing w:after="160" w:line="312" w:lineRule="auto"/>
        <w:rPr>
          <w:lang w:eastAsia="zh-TW"/>
        </w:rPr>
      </w:pPr>
      <w:r>
        <w:rPr>
          <w:rFonts w:ascii="Times New Roman" w:eastAsia="新細明體" w:hAnsi="Times New Roman"/>
          <w:lang w:eastAsia="zh-TW"/>
        </w:rPr>
        <w:t>命題二（理由不可完全移轉）：當權力必須向人民提供正當化說明時，不能以「系統如此判斷」取代公共理由。理由形成是公共權威的核心實踐，而非可外</w:t>
      </w:r>
      <w:r>
        <w:rPr>
          <w:rFonts w:ascii="Times New Roman" w:eastAsia="新細明體" w:hAnsi="Times New Roman"/>
          <w:lang w:eastAsia="zh-TW"/>
        </w:rPr>
        <w:t>包的技術輸出</w:t>
      </w:r>
      <w:proofErr w:type="gramStart"/>
      <w:r>
        <w:rPr>
          <w:rFonts w:ascii="Times New Roman" w:eastAsia="新細明體" w:hAnsi="Times New Roman"/>
          <w:lang w:eastAsia="zh-TW"/>
        </w:rPr>
        <w:t>—</w:t>
      </w:r>
      <w:proofErr w:type="gramEnd"/>
      <w:r>
        <w:rPr>
          <w:rFonts w:ascii="Times New Roman" w:eastAsia="新細明體" w:hAnsi="Times New Roman"/>
          <w:lang w:eastAsia="zh-TW"/>
        </w:rPr>
        <w:t>—</w:t>
      </w:r>
      <w:r>
        <w:rPr>
          <w:rFonts w:ascii="Times New Roman" w:eastAsia="新細明體" w:hAnsi="Times New Roman"/>
          <w:lang w:eastAsia="zh-TW"/>
        </w:rPr>
        <w:t>這與</w:t>
      </w:r>
      <w:r>
        <w:rPr>
          <w:rFonts w:ascii="Times New Roman" w:eastAsia="新細明體" w:hAnsi="Times New Roman"/>
          <w:lang w:eastAsia="zh-TW"/>
        </w:rPr>
        <w:t>Citron</w:t>
      </w:r>
      <w:r>
        <w:rPr>
          <w:rFonts w:ascii="Times New Roman" w:eastAsia="新細明體" w:hAnsi="Times New Roman"/>
          <w:lang w:eastAsia="zh-TW"/>
        </w:rPr>
        <w:t>與</w:t>
      </w:r>
      <w:r>
        <w:rPr>
          <w:rFonts w:ascii="Times New Roman" w:eastAsia="新細明體" w:hAnsi="Times New Roman"/>
          <w:lang w:eastAsia="zh-TW"/>
        </w:rPr>
        <w:t>Pasquale</w:t>
      </w:r>
      <w:r>
        <w:rPr>
          <w:rFonts w:ascii="Times New Roman" w:eastAsia="新細明體" w:hAnsi="Times New Roman"/>
          <w:lang w:eastAsia="zh-TW"/>
        </w:rPr>
        <w:t>（</w:t>
      </w:r>
      <w:r>
        <w:rPr>
          <w:rFonts w:ascii="Times New Roman" w:eastAsia="新細明體" w:hAnsi="Times New Roman"/>
          <w:lang w:eastAsia="zh-TW"/>
        </w:rPr>
        <w:t>2014</w:t>
      </w:r>
      <w:r>
        <w:rPr>
          <w:rFonts w:ascii="Times New Roman" w:eastAsia="新細明體" w:hAnsi="Times New Roman"/>
          <w:lang w:eastAsia="zh-TW"/>
        </w:rPr>
        <w:t>）對「評分社會」的批判方向一致：她們指出，自動化評分系統雖然普及且後果重大，卻往往不透明且缺乏監督，唯有將美國正當程序傳統的基本保障（可測試性、可挑戰性）引入評分機制，才能避免評分系統把</w:t>
      </w:r>
      <w:proofErr w:type="gramStart"/>
      <w:r>
        <w:rPr>
          <w:rFonts w:ascii="Times New Roman" w:eastAsia="新細明體" w:hAnsi="Times New Roman"/>
          <w:lang w:eastAsia="zh-TW"/>
        </w:rPr>
        <w:t>有偏誤</w:t>
      </w:r>
      <w:proofErr w:type="gramEnd"/>
      <w:r>
        <w:rPr>
          <w:rFonts w:ascii="Times New Roman" w:eastAsia="新細明體" w:hAnsi="Times New Roman"/>
          <w:lang w:eastAsia="zh-TW"/>
        </w:rPr>
        <w:t>、恣意的資料「</w:t>
      </w:r>
      <w:proofErr w:type="gramStart"/>
      <w:r>
        <w:rPr>
          <w:rFonts w:ascii="Times New Roman" w:eastAsia="新細明體" w:hAnsi="Times New Roman"/>
          <w:lang w:eastAsia="zh-TW"/>
        </w:rPr>
        <w:t>洗</w:t>
      </w:r>
      <w:proofErr w:type="gramEnd"/>
      <w:r>
        <w:rPr>
          <w:rFonts w:ascii="Times New Roman" w:eastAsia="新細明體" w:hAnsi="Times New Roman"/>
          <w:lang w:eastAsia="zh-TW"/>
        </w:rPr>
        <w:t>白」成具有高度污名效果的分數；本文之命題二可視為將此一正當程序關切，從個別評分系統擴大至一般性的「理由形成」規範要求。</w:t>
      </w:r>
    </w:p>
    <w:p w:rsidR="00CB0786" w:rsidRDefault="001269C0">
      <w:pPr>
        <w:spacing w:after="160" w:line="312" w:lineRule="auto"/>
        <w:rPr>
          <w:lang w:eastAsia="zh-TW"/>
        </w:rPr>
      </w:pPr>
      <w:r>
        <w:rPr>
          <w:rFonts w:ascii="Times New Roman" w:eastAsia="新細明體" w:hAnsi="Times New Roman"/>
          <w:lang w:eastAsia="zh-TW"/>
        </w:rPr>
        <w:t>命題三（例外不可完全封閉）：必須保留重新開啟規則、承認特殊情境與</w:t>
      </w:r>
      <w:r>
        <w:rPr>
          <w:rFonts w:ascii="Times New Roman" w:eastAsia="新細明體" w:hAnsi="Times New Roman"/>
          <w:lang w:eastAsia="zh-TW"/>
        </w:rPr>
        <w:t>the right to an exception</w:t>
      </w:r>
      <w:r>
        <w:rPr>
          <w:rFonts w:ascii="Times New Roman" w:eastAsia="新細明體" w:hAnsi="Times New Roman"/>
          <w:lang w:eastAsia="zh-TW"/>
        </w:rPr>
        <w:t>的能力。完</w:t>
      </w:r>
      <w:r>
        <w:rPr>
          <w:rFonts w:ascii="Times New Roman" w:eastAsia="新細明體" w:hAnsi="Times New Roman"/>
          <w:lang w:eastAsia="zh-TW"/>
        </w:rPr>
        <w:t>全封閉的規則系統無法回應「範疇外」的人道與正義考量。</w:t>
      </w:r>
    </w:p>
    <w:p w:rsidR="00CB0786" w:rsidRDefault="001269C0">
      <w:pPr>
        <w:spacing w:after="160" w:line="312" w:lineRule="auto"/>
        <w:rPr>
          <w:lang w:eastAsia="zh-TW"/>
        </w:rPr>
      </w:pPr>
      <w:r>
        <w:rPr>
          <w:rFonts w:ascii="Times New Roman" w:eastAsia="新細明體" w:hAnsi="Times New Roman"/>
          <w:lang w:eastAsia="zh-TW"/>
        </w:rPr>
        <w:t>命題四（責任不可完全移轉）：技術系統可參與生成，但不能成為公共責任的最終終點。演算法合</w:t>
      </w:r>
      <w:proofErr w:type="gramStart"/>
      <w:r>
        <w:rPr>
          <w:rFonts w:ascii="Times New Roman" w:eastAsia="新細明體" w:hAnsi="Times New Roman"/>
          <w:lang w:eastAsia="zh-TW"/>
        </w:rPr>
        <w:t>規</w:t>
      </w:r>
      <w:proofErr w:type="gramEnd"/>
      <w:r>
        <w:rPr>
          <w:rFonts w:ascii="Times New Roman" w:eastAsia="新細明體" w:hAnsi="Times New Roman"/>
          <w:lang w:eastAsia="zh-TW"/>
        </w:rPr>
        <w:t>不能成為免責的充分條件。</w:t>
      </w:r>
    </w:p>
    <w:p w:rsidR="00CB0786" w:rsidRDefault="001269C0">
      <w:pPr>
        <w:spacing w:after="160" w:line="312" w:lineRule="auto"/>
        <w:rPr>
          <w:lang w:eastAsia="zh-TW"/>
        </w:rPr>
      </w:pPr>
      <w:r>
        <w:rPr>
          <w:rFonts w:ascii="Times New Roman" w:eastAsia="新細明體" w:hAnsi="Times New Roman"/>
          <w:lang w:eastAsia="zh-TW"/>
        </w:rPr>
        <w:t>這四條件不是「</w:t>
      </w:r>
      <w:r>
        <w:rPr>
          <w:rFonts w:ascii="Times New Roman" w:eastAsia="新細明體" w:hAnsi="Times New Roman"/>
          <w:lang w:eastAsia="zh-TW"/>
        </w:rPr>
        <w:t>AI</w:t>
      </w:r>
      <w:r>
        <w:rPr>
          <w:rFonts w:ascii="Times New Roman" w:eastAsia="新細明體" w:hAnsi="Times New Roman"/>
          <w:lang w:eastAsia="zh-TW"/>
        </w:rPr>
        <w:t>禁區清單」，而是判斷一項活動是否已開始構成公共權威的規範標準。它們與</w:t>
      </w:r>
      <w:r>
        <w:rPr>
          <w:rFonts w:ascii="Times New Roman" w:eastAsia="新細明體" w:hAnsi="Times New Roman"/>
          <w:lang w:eastAsia="zh-TW"/>
        </w:rPr>
        <w:t>027</w:t>
      </w:r>
      <w:r>
        <w:rPr>
          <w:rFonts w:ascii="Times New Roman" w:eastAsia="新細明體" w:hAnsi="Times New Roman"/>
          <w:lang w:eastAsia="zh-TW"/>
        </w:rPr>
        <w:t>的四層構成、</w:t>
      </w:r>
      <w:r>
        <w:rPr>
          <w:rFonts w:ascii="Times New Roman" w:eastAsia="新細明體" w:hAnsi="Times New Roman"/>
          <w:lang w:eastAsia="zh-TW"/>
        </w:rPr>
        <w:t>028</w:t>
      </w:r>
      <w:r>
        <w:rPr>
          <w:rFonts w:ascii="Times New Roman" w:eastAsia="新細明體" w:hAnsi="Times New Roman"/>
          <w:lang w:eastAsia="zh-TW"/>
        </w:rPr>
        <w:t>的四節點分布相互對應：生成可分散、裁量可分布，但這四類判斷的最終重新介入能力不可</w:t>
      </w:r>
      <w:proofErr w:type="gramStart"/>
      <w:r>
        <w:rPr>
          <w:rFonts w:ascii="Times New Roman" w:eastAsia="新細明體" w:hAnsi="Times New Roman"/>
          <w:lang w:eastAsia="zh-TW"/>
        </w:rPr>
        <w:t>外部化</w:t>
      </w:r>
      <w:proofErr w:type="gramEnd"/>
      <w:r>
        <w:rPr>
          <w:rFonts w:ascii="Times New Roman" w:eastAsia="新細明體" w:hAnsi="Times New Roman"/>
          <w:lang w:eastAsia="zh-TW"/>
        </w:rPr>
        <w:t>。</w:t>
      </w:r>
    </w:p>
    <w:p w:rsidR="00CB0786" w:rsidRDefault="001269C0">
      <w:pPr>
        <w:spacing w:before="280" w:after="160"/>
      </w:pPr>
      <w:r>
        <w:rPr>
          <w:rFonts w:ascii="Times New Roman" w:eastAsia="新細明體" w:hAnsi="Times New Roman"/>
          <w:b/>
          <w:color w:val="1A365D"/>
          <w:sz w:val="26"/>
        </w:rPr>
        <w:t>4.1</w:t>
      </w:r>
      <w:r>
        <w:rPr>
          <w:rFonts w:ascii="Times New Roman" w:eastAsia="新細明體" w:hAnsi="Times New Roman"/>
          <w:b/>
          <w:color w:val="1A365D"/>
          <w:sz w:val="26"/>
        </w:rPr>
        <w:t xml:space="preserve">　</w:t>
      </w:r>
      <w:proofErr w:type="spellStart"/>
      <w:r>
        <w:rPr>
          <w:rFonts w:ascii="Times New Roman" w:eastAsia="新細明體" w:hAnsi="Times New Roman"/>
          <w:b/>
          <w:color w:val="1A365D"/>
          <w:sz w:val="26"/>
        </w:rPr>
        <w:t>操作化分析矩陣</w:t>
      </w:r>
      <w:proofErr w:type="spellEnd"/>
    </w:p>
    <w:tbl>
      <w:tblPr>
        <w:tblStyle w:val="aff2"/>
        <w:tblW w:w="0" w:type="auto"/>
        <w:jc w:val="center"/>
        <w:tblLook w:val="04A0" w:firstRow="1" w:lastRow="0" w:firstColumn="1" w:lastColumn="0" w:noHBand="0" w:noVBand="1"/>
      </w:tblPr>
      <w:tblGrid>
        <w:gridCol w:w="1195"/>
        <w:gridCol w:w="3130"/>
        <w:gridCol w:w="2492"/>
        <w:gridCol w:w="2471"/>
      </w:tblGrid>
      <w:tr w:rsidR="00CB0786">
        <w:trPr>
          <w:jc w:val="center"/>
        </w:trPr>
        <w:tc>
          <w:tcPr>
            <w:tcW w:w="1296" w:type="dxa"/>
            <w:shd w:val="clear" w:color="auto" w:fill="EBF8FF"/>
          </w:tcPr>
          <w:p w:rsidR="00CB0786" w:rsidRDefault="001269C0">
            <w:pPr>
              <w:spacing w:after="40" w:line="276" w:lineRule="auto"/>
            </w:pPr>
            <w:r>
              <w:rPr>
                <w:rFonts w:ascii="Times New Roman" w:eastAsia="新細明體" w:hAnsi="Times New Roman"/>
                <w:b/>
                <w:color w:val="2C5282"/>
                <w:sz w:val="19"/>
              </w:rPr>
              <w:t>條件</w:t>
            </w:r>
          </w:p>
        </w:tc>
        <w:tc>
          <w:tcPr>
            <w:tcW w:w="3456" w:type="dxa"/>
            <w:shd w:val="clear" w:color="auto" w:fill="EBF8FF"/>
          </w:tcPr>
          <w:p w:rsidR="00CB0786" w:rsidRDefault="001269C0">
            <w:pPr>
              <w:spacing w:after="40" w:line="276" w:lineRule="auto"/>
            </w:pPr>
            <w:r>
              <w:rPr>
                <w:rFonts w:ascii="Times New Roman" w:eastAsia="新細明體" w:hAnsi="Times New Roman"/>
                <w:b/>
                <w:color w:val="2C5282"/>
                <w:sz w:val="19"/>
              </w:rPr>
              <w:t>核心問題</w:t>
            </w:r>
          </w:p>
        </w:tc>
        <w:tc>
          <w:tcPr>
            <w:tcW w:w="2736" w:type="dxa"/>
            <w:shd w:val="clear" w:color="auto" w:fill="EBF8FF"/>
          </w:tcPr>
          <w:p w:rsidR="00CB0786" w:rsidRDefault="001269C0">
            <w:pPr>
              <w:spacing w:after="40" w:line="276" w:lineRule="auto"/>
            </w:pPr>
            <w:r>
              <w:rPr>
                <w:rFonts w:ascii="Times New Roman" w:eastAsia="新細明體" w:hAnsi="Times New Roman"/>
                <w:b/>
                <w:color w:val="2C5282"/>
                <w:sz w:val="19"/>
              </w:rPr>
              <w:t>可能證據</w:t>
            </w:r>
          </w:p>
        </w:tc>
        <w:tc>
          <w:tcPr>
            <w:tcW w:w="2736" w:type="dxa"/>
            <w:shd w:val="clear" w:color="auto" w:fill="EBF8FF"/>
          </w:tcPr>
          <w:p w:rsidR="00CB0786" w:rsidRDefault="001269C0">
            <w:pPr>
              <w:spacing w:after="40" w:line="276" w:lineRule="auto"/>
            </w:pPr>
            <w:r>
              <w:rPr>
                <w:rFonts w:ascii="Times New Roman" w:eastAsia="新細明體" w:hAnsi="Times New Roman"/>
                <w:b/>
                <w:color w:val="2C5282"/>
                <w:sz w:val="19"/>
              </w:rPr>
              <w:t>制度要求</w:t>
            </w:r>
          </w:p>
        </w:tc>
      </w:tr>
      <w:tr w:rsidR="00CB0786">
        <w:trPr>
          <w:jc w:val="center"/>
        </w:trPr>
        <w:tc>
          <w:tcPr>
            <w:tcW w:w="1296" w:type="dxa"/>
          </w:tcPr>
          <w:p w:rsidR="00CB0786" w:rsidRDefault="001269C0">
            <w:pPr>
              <w:spacing w:after="40" w:line="276" w:lineRule="auto"/>
            </w:pPr>
            <w:r>
              <w:rPr>
                <w:rFonts w:ascii="Times New Roman" w:eastAsia="新細明體" w:hAnsi="Times New Roman"/>
                <w:color w:val="2D3748"/>
                <w:sz w:val="19"/>
              </w:rPr>
              <w:t>價值</w:t>
            </w:r>
          </w:p>
        </w:tc>
        <w:tc>
          <w:tcPr>
            <w:tcW w:w="3456" w:type="dxa"/>
          </w:tcPr>
          <w:p w:rsidR="00CB0786" w:rsidRDefault="001269C0">
            <w:pPr>
              <w:spacing w:after="40" w:line="276" w:lineRule="auto"/>
              <w:rPr>
                <w:lang w:eastAsia="zh-TW"/>
              </w:rPr>
            </w:pPr>
            <w:r>
              <w:rPr>
                <w:rFonts w:ascii="Times New Roman" w:eastAsia="新細明體" w:hAnsi="Times New Roman"/>
                <w:color w:val="2D3748"/>
                <w:sz w:val="19"/>
                <w:lang w:eastAsia="zh-TW"/>
              </w:rPr>
              <w:t>是否存在無法單目標化的價值衝突？</w:t>
            </w:r>
          </w:p>
        </w:tc>
        <w:tc>
          <w:tcPr>
            <w:tcW w:w="2736" w:type="dxa"/>
          </w:tcPr>
          <w:p w:rsidR="00CB0786" w:rsidRDefault="001269C0">
            <w:pPr>
              <w:spacing w:after="40" w:line="276" w:lineRule="auto"/>
              <w:rPr>
                <w:lang w:eastAsia="zh-TW"/>
              </w:rPr>
            </w:pPr>
            <w:r>
              <w:rPr>
                <w:rFonts w:ascii="Times New Roman" w:eastAsia="新細明體" w:hAnsi="Times New Roman"/>
                <w:color w:val="2D3748"/>
                <w:sz w:val="19"/>
                <w:lang w:eastAsia="zh-TW"/>
              </w:rPr>
              <w:t>政策目標文件、衝突案例</w:t>
            </w:r>
          </w:p>
        </w:tc>
        <w:tc>
          <w:tcPr>
            <w:tcW w:w="2736" w:type="dxa"/>
          </w:tcPr>
          <w:p w:rsidR="00CB0786" w:rsidRDefault="001269C0">
            <w:pPr>
              <w:spacing w:after="40" w:line="276" w:lineRule="auto"/>
              <w:rPr>
                <w:lang w:eastAsia="zh-TW"/>
              </w:rPr>
            </w:pPr>
            <w:r>
              <w:rPr>
                <w:rFonts w:ascii="Times New Roman" w:eastAsia="新細明體" w:hAnsi="Times New Roman"/>
                <w:color w:val="2D3748"/>
                <w:sz w:val="19"/>
                <w:lang w:eastAsia="zh-TW"/>
              </w:rPr>
              <w:t>保留價值權衡的制度位置</w:t>
            </w:r>
          </w:p>
        </w:tc>
      </w:tr>
      <w:tr w:rsidR="00CB0786">
        <w:trPr>
          <w:jc w:val="center"/>
        </w:trPr>
        <w:tc>
          <w:tcPr>
            <w:tcW w:w="1296" w:type="dxa"/>
            <w:shd w:val="clear" w:color="auto" w:fill="F7FAFC"/>
          </w:tcPr>
          <w:p w:rsidR="00CB0786" w:rsidRDefault="001269C0">
            <w:pPr>
              <w:spacing w:after="40" w:line="276" w:lineRule="auto"/>
            </w:pPr>
            <w:proofErr w:type="spellStart"/>
            <w:r>
              <w:rPr>
                <w:rFonts w:ascii="Times New Roman" w:eastAsia="新細明體" w:hAnsi="Times New Roman"/>
                <w:color w:val="2D3748"/>
                <w:sz w:val="19"/>
              </w:rPr>
              <w:t>理由</w:t>
            </w:r>
            <w:proofErr w:type="spellEnd"/>
          </w:p>
        </w:tc>
        <w:tc>
          <w:tcPr>
            <w:tcW w:w="3456" w:type="dxa"/>
            <w:shd w:val="clear" w:color="auto" w:fill="F7FAFC"/>
          </w:tcPr>
          <w:p w:rsidR="00CB0786" w:rsidRDefault="001269C0">
            <w:pPr>
              <w:spacing w:after="40" w:line="276" w:lineRule="auto"/>
              <w:rPr>
                <w:lang w:eastAsia="zh-TW"/>
              </w:rPr>
            </w:pPr>
            <w:r>
              <w:rPr>
                <w:rFonts w:ascii="Times New Roman" w:eastAsia="新細明體" w:hAnsi="Times New Roman"/>
                <w:color w:val="2D3748"/>
                <w:sz w:val="19"/>
                <w:lang w:eastAsia="zh-TW"/>
              </w:rPr>
              <w:t>理由是否可由系統輸出直接取代？</w:t>
            </w:r>
          </w:p>
        </w:tc>
        <w:tc>
          <w:tcPr>
            <w:tcW w:w="2736" w:type="dxa"/>
            <w:shd w:val="clear" w:color="auto" w:fill="F7FAFC"/>
          </w:tcPr>
          <w:p w:rsidR="00CB0786" w:rsidRDefault="001269C0">
            <w:pPr>
              <w:spacing w:after="40" w:line="276" w:lineRule="auto"/>
              <w:rPr>
                <w:lang w:eastAsia="zh-TW"/>
              </w:rPr>
            </w:pPr>
            <w:r>
              <w:rPr>
                <w:rFonts w:ascii="Times New Roman" w:eastAsia="新細明體" w:hAnsi="Times New Roman"/>
                <w:color w:val="2D3748"/>
                <w:sz w:val="19"/>
                <w:lang w:eastAsia="zh-TW"/>
              </w:rPr>
              <w:t>處分書、理由生成紀錄</w:t>
            </w:r>
          </w:p>
        </w:tc>
        <w:tc>
          <w:tcPr>
            <w:tcW w:w="2736" w:type="dxa"/>
            <w:shd w:val="clear" w:color="auto" w:fill="F7FAFC"/>
          </w:tcPr>
          <w:p w:rsidR="00CB0786" w:rsidRDefault="001269C0">
            <w:pPr>
              <w:spacing w:after="40" w:line="276" w:lineRule="auto"/>
              <w:rPr>
                <w:lang w:eastAsia="zh-TW"/>
              </w:rPr>
            </w:pPr>
            <w:r>
              <w:rPr>
                <w:rFonts w:ascii="Times New Roman" w:eastAsia="新細明體" w:hAnsi="Times New Roman"/>
                <w:color w:val="2D3748"/>
                <w:sz w:val="19"/>
                <w:lang w:eastAsia="zh-TW"/>
              </w:rPr>
              <w:t>強制人類可理解的理由形成</w:t>
            </w:r>
          </w:p>
        </w:tc>
      </w:tr>
      <w:tr w:rsidR="00CB0786">
        <w:trPr>
          <w:jc w:val="center"/>
        </w:trPr>
        <w:tc>
          <w:tcPr>
            <w:tcW w:w="1296" w:type="dxa"/>
          </w:tcPr>
          <w:p w:rsidR="00CB0786" w:rsidRDefault="001269C0">
            <w:pPr>
              <w:spacing w:after="40" w:line="276" w:lineRule="auto"/>
            </w:pPr>
            <w:proofErr w:type="spellStart"/>
            <w:r>
              <w:rPr>
                <w:rFonts w:ascii="Times New Roman" w:eastAsia="新細明體" w:hAnsi="Times New Roman"/>
                <w:color w:val="2D3748"/>
                <w:sz w:val="19"/>
              </w:rPr>
              <w:t>例外</w:t>
            </w:r>
            <w:proofErr w:type="spellEnd"/>
          </w:p>
        </w:tc>
        <w:tc>
          <w:tcPr>
            <w:tcW w:w="3456" w:type="dxa"/>
          </w:tcPr>
          <w:p w:rsidR="00CB0786" w:rsidRDefault="001269C0">
            <w:pPr>
              <w:spacing w:after="40" w:line="276" w:lineRule="auto"/>
              <w:rPr>
                <w:lang w:eastAsia="zh-TW"/>
              </w:rPr>
            </w:pPr>
            <w:r>
              <w:rPr>
                <w:rFonts w:ascii="Times New Roman" w:eastAsia="新細明體" w:hAnsi="Times New Roman"/>
                <w:color w:val="2D3748"/>
                <w:sz w:val="19"/>
                <w:lang w:eastAsia="zh-TW"/>
              </w:rPr>
              <w:t>是否保留重新開啟規則的能力？</w:t>
            </w:r>
          </w:p>
        </w:tc>
        <w:tc>
          <w:tcPr>
            <w:tcW w:w="2736" w:type="dxa"/>
          </w:tcPr>
          <w:p w:rsidR="00CB0786" w:rsidRDefault="001269C0">
            <w:pPr>
              <w:spacing w:after="40" w:line="276" w:lineRule="auto"/>
            </w:pPr>
            <w:proofErr w:type="spellStart"/>
            <w:r>
              <w:rPr>
                <w:rFonts w:ascii="Times New Roman" w:eastAsia="新細明體" w:hAnsi="Times New Roman"/>
                <w:color w:val="2D3748"/>
                <w:sz w:val="19"/>
              </w:rPr>
              <w:t>例外申請與處理紀錄</w:t>
            </w:r>
            <w:proofErr w:type="spellEnd"/>
          </w:p>
        </w:tc>
        <w:tc>
          <w:tcPr>
            <w:tcW w:w="2736" w:type="dxa"/>
          </w:tcPr>
          <w:p w:rsidR="00CB0786" w:rsidRDefault="001269C0">
            <w:pPr>
              <w:spacing w:after="40" w:line="276" w:lineRule="auto"/>
            </w:pPr>
            <w:r>
              <w:rPr>
                <w:rFonts w:ascii="Times New Roman" w:eastAsia="新細明體" w:hAnsi="Times New Roman"/>
                <w:color w:val="2D3748"/>
                <w:sz w:val="19"/>
              </w:rPr>
              <w:t>制度化例外開啟程序</w:t>
            </w:r>
          </w:p>
        </w:tc>
      </w:tr>
      <w:tr w:rsidR="00CB0786">
        <w:trPr>
          <w:jc w:val="center"/>
        </w:trPr>
        <w:tc>
          <w:tcPr>
            <w:tcW w:w="1296" w:type="dxa"/>
            <w:shd w:val="clear" w:color="auto" w:fill="F7FAFC"/>
          </w:tcPr>
          <w:p w:rsidR="00CB0786" w:rsidRDefault="001269C0">
            <w:pPr>
              <w:spacing w:after="40" w:line="276" w:lineRule="auto"/>
            </w:pPr>
            <w:r>
              <w:rPr>
                <w:rFonts w:ascii="Times New Roman" w:eastAsia="新細明體" w:hAnsi="Times New Roman"/>
                <w:color w:val="2D3748"/>
                <w:sz w:val="19"/>
              </w:rPr>
              <w:lastRenderedPageBreak/>
              <w:t>責任</w:t>
            </w:r>
          </w:p>
        </w:tc>
        <w:tc>
          <w:tcPr>
            <w:tcW w:w="3456" w:type="dxa"/>
            <w:shd w:val="clear" w:color="auto" w:fill="F7FAFC"/>
          </w:tcPr>
          <w:p w:rsidR="00CB0786" w:rsidRDefault="001269C0">
            <w:pPr>
              <w:spacing w:after="40" w:line="276" w:lineRule="auto"/>
              <w:rPr>
                <w:lang w:eastAsia="zh-TW"/>
              </w:rPr>
            </w:pPr>
            <w:r>
              <w:rPr>
                <w:rFonts w:ascii="Times New Roman" w:eastAsia="新細明體" w:hAnsi="Times New Roman"/>
                <w:color w:val="2D3748"/>
                <w:sz w:val="19"/>
                <w:lang w:eastAsia="zh-TW"/>
              </w:rPr>
              <w:t>最終責任是否可指向技術系統？</w:t>
            </w:r>
          </w:p>
        </w:tc>
        <w:tc>
          <w:tcPr>
            <w:tcW w:w="2736" w:type="dxa"/>
            <w:shd w:val="clear" w:color="auto" w:fill="F7FAFC"/>
          </w:tcPr>
          <w:p w:rsidR="00CB0786" w:rsidRDefault="001269C0">
            <w:pPr>
              <w:spacing w:after="40" w:line="276" w:lineRule="auto"/>
            </w:pPr>
            <w:proofErr w:type="spellStart"/>
            <w:r>
              <w:rPr>
                <w:rFonts w:ascii="Times New Roman" w:eastAsia="新細明體" w:hAnsi="Times New Roman"/>
                <w:color w:val="2D3748"/>
                <w:sz w:val="19"/>
              </w:rPr>
              <w:t>課責機制、救濟管道</w:t>
            </w:r>
            <w:proofErr w:type="spellEnd"/>
          </w:p>
        </w:tc>
        <w:tc>
          <w:tcPr>
            <w:tcW w:w="2736" w:type="dxa"/>
            <w:shd w:val="clear" w:color="auto" w:fill="F7FAFC"/>
          </w:tcPr>
          <w:p w:rsidR="00CB0786" w:rsidRDefault="001269C0">
            <w:pPr>
              <w:spacing w:after="40" w:line="276" w:lineRule="auto"/>
              <w:rPr>
                <w:lang w:eastAsia="zh-TW"/>
              </w:rPr>
            </w:pPr>
            <w:r>
              <w:rPr>
                <w:rFonts w:ascii="Times New Roman" w:eastAsia="新細明體" w:hAnsi="Times New Roman"/>
                <w:color w:val="2D3748"/>
                <w:sz w:val="19"/>
                <w:lang w:eastAsia="zh-TW"/>
              </w:rPr>
              <w:t>最終責任節點不可消失</w:t>
            </w:r>
          </w:p>
        </w:tc>
      </w:tr>
    </w:tbl>
    <w:p w:rsidR="00CB0786" w:rsidRDefault="00CB0786">
      <w:pPr>
        <w:spacing w:after="80"/>
        <w:rPr>
          <w:lang w:eastAsia="zh-TW"/>
        </w:rPr>
      </w:pPr>
    </w:p>
    <w:p w:rsidR="00CB0786" w:rsidRDefault="001269C0">
      <w:pPr>
        <w:spacing w:before="280" w:after="160"/>
        <w:rPr>
          <w:lang w:eastAsia="zh-TW"/>
        </w:rPr>
      </w:pPr>
      <w:r>
        <w:rPr>
          <w:rFonts w:ascii="Times New Roman" w:eastAsia="新細明體" w:hAnsi="Times New Roman"/>
          <w:b/>
          <w:color w:val="1A365D"/>
          <w:sz w:val="26"/>
          <w:lang w:eastAsia="zh-TW"/>
        </w:rPr>
        <w:t>4.2</w:t>
      </w:r>
      <w:r>
        <w:rPr>
          <w:rFonts w:ascii="Times New Roman" w:eastAsia="新細明體" w:hAnsi="Times New Roman"/>
          <w:b/>
          <w:color w:val="1A365D"/>
          <w:sz w:val="26"/>
          <w:lang w:eastAsia="zh-TW"/>
        </w:rPr>
        <w:t xml:space="preserve">　分析性示例：庇護申請之風險初篩</w:t>
      </w:r>
    </w:p>
    <w:p w:rsidR="00CB0786" w:rsidRDefault="001269C0">
      <w:pPr>
        <w:spacing w:after="160" w:line="312" w:lineRule="auto"/>
        <w:rPr>
          <w:lang w:eastAsia="zh-TW"/>
        </w:rPr>
      </w:pPr>
      <w:r>
        <w:rPr>
          <w:rFonts w:ascii="Times New Roman" w:eastAsia="新細明體" w:hAnsi="Times New Roman"/>
          <w:lang w:eastAsia="zh-TW"/>
        </w:rPr>
        <w:t>以下案例並非實證研究，而是用以展示四個不可完全移轉條件如何具體判定的分析性示例。以庇護（難民資格）申請之</w:t>
      </w:r>
      <w:r>
        <w:rPr>
          <w:rFonts w:ascii="Times New Roman" w:eastAsia="新細明體" w:hAnsi="Times New Roman"/>
          <w:lang w:eastAsia="zh-TW"/>
        </w:rPr>
        <w:t>AI</w:t>
      </w:r>
      <w:r>
        <w:rPr>
          <w:rFonts w:ascii="Times New Roman" w:eastAsia="新細明體" w:hAnsi="Times New Roman"/>
          <w:lang w:eastAsia="zh-TW"/>
        </w:rPr>
        <w:t>風險</w:t>
      </w:r>
      <w:proofErr w:type="gramStart"/>
      <w:r>
        <w:rPr>
          <w:rFonts w:ascii="Times New Roman" w:eastAsia="新細明體" w:hAnsi="Times New Roman"/>
          <w:lang w:eastAsia="zh-TW"/>
        </w:rPr>
        <w:t>初篩系統</w:t>
      </w:r>
      <w:proofErr w:type="gramEnd"/>
      <w:r>
        <w:rPr>
          <w:rFonts w:ascii="Times New Roman" w:eastAsia="新細明體" w:hAnsi="Times New Roman"/>
          <w:lang w:eastAsia="zh-TW"/>
        </w:rPr>
        <w:t>為例：</w:t>
      </w:r>
    </w:p>
    <w:p w:rsidR="00CB0786" w:rsidRDefault="001269C0">
      <w:pPr>
        <w:pStyle w:val="a0"/>
        <w:spacing w:after="80" w:line="300" w:lineRule="auto"/>
        <w:rPr>
          <w:lang w:eastAsia="zh-TW"/>
        </w:rPr>
      </w:pPr>
      <w:r>
        <w:rPr>
          <w:rFonts w:ascii="Times New Roman" w:eastAsia="新細明體" w:hAnsi="Times New Roman"/>
          <w:sz w:val="21"/>
          <w:lang w:eastAsia="zh-TW"/>
        </w:rPr>
        <w:t>價值條件：系統若僅以「處理效率」與「國境安全風險分數」作為單一目標函數進行案件排序，將無法窮盡庇護制度所涉及的多重價值</w:t>
      </w:r>
      <w:proofErr w:type="gramStart"/>
      <w:r>
        <w:rPr>
          <w:rFonts w:ascii="Times New Roman" w:eastAsia="新細明體" w:hAnsi="Times New Roman"/>
          <w:sz w:val="21"/>
          <w:lang w:eastAsia="zh-TW"/>
        </w:rPr>
        <w:t>—</w:t>
      </w:r>
      <w:proofErr w:type="gramEnd"/>
      <w:r>
        <w:rPr>
          <w:rFonts w:ascii="Times New Roman" w:eastAsia="新細明體" w:hAnsi="Times New Roman"/>
          <w:sz w:val="21"/>
          <w:lang w:eastAsia="zh-TW"/>
        </w:rPr>
        <w:t>—</w:t>
      </w:r>
      <w:r>
        <w:rPr>
          <w:rFonts w:ascii="Times New Roman" w:eastAsia="新細明體" w:hAnsi="Times New Roman"/>
          <w:sz w:val="21"/>
          <w:lang w:eastAsia="zh-TW"/>
        </w:rPr>
        <w:t>人道保護義務、國家安全考量、資源分配公平性彼此衝突，此一衝突的權衡若完全交由排序演算法決定申請人是否「優先審查」或「延後處理」，即已構成價值條件的規範轉換，須保留人類決策者介入權衡的制度位置。</w:t>
      </w:r>
    </w:p>
    <w:p w:rsidR="00CB0786" w:rsidRDefault="001269C0">
      <w:pPr>
        <w:pStyle w:val="a0"/>
        <w:spacing w:after="80" w:line="300" w:lineRule="auto"/>
        <w:rPr>
          <w:lang w:eastAsia="zh-TW"/>
        </w:rPr>
      </w:pPr>
      <w:r>
        <w:rPr>
          <w:rFonts w:ascii="Times New Roman" w:eastAsia="新細明體" w:hAnsi="Times New Roman"/>
          <w:sz w:val="21"/>
          <w:lang w:eastAsia="zh-TW"/>
        </w:rPr>
        <w:t>理由條件：若系統僅輸出「風險分數：</w:t>
      </w:r>
      <w:r>
        <w:rPr>
          <w:rFonts w:ascii="Times New Roman" w:eastAsia="新細明體" w:hAnsi="Times New Roman"/>
          <w:sz w:val="21"/>
          <w:lang w:eastAsia="zh-TW"/>
        </w:rPr>
        <w:t>82</w:t>
      </w:r>
      <w:r>
        <w:rPr>
          <w:rFonts w:ascii="Times New Roman" w:eastAsia="新細明體" w:hAnsi="Times New Roman"/>
          <w:sz w:val="21"/>
          <w:lang w:eastAsia="zh-TW"/>
        </w:rPr>
        <w:t>，建議延後審查」而不揭露具體貢獻因子（例如來源國、過境路線、文件完整度），承辦人員將難以形成可向申請人說明的正當化理由，此時理由形成實質上已被系統取代，違反命</w:t>
      </w:r>
      <w:r>
        <w:rPr>
          <w:rFonts w:ascii="Times New Roman" w:eastAsia="新細明體" w:hAnsi="Times New Roman"/>
          <w:sz w:val="21"/>
          <w:lang w:eastAsia="zh-TW"/>
        </w:rPr>
        <w:t>題二。</w:t>
      </w:r>
    </w:p>
    <w:p w:rsidR="00CB0786" w:rsidRDefault="001269C0">
      <w:pPr>
        <w:pStyle w:val="a0"/>
        <w:spacing w:after="80" w:line="300" w:lineRule="auto"/>
        <w:rPr>
          <w:lang w:eastAsia="zh-TW"/>
        </w:rPr>
      </w:pPr>
      <w:r>
        <w:rPr>
          <w:rFonts w:ascii="Times New Roman" w:eastAsia="新細明體" w:hAnsi="Times New Roman"/>
          <w:sz w:val="21"/>
          <w:lang w:eastAsia="zh-TW"/>
        </w:rPr>
        <w:t>例外條件：若系統之風險分類規則未保留「顯示個人化人道急迫情況」（例如立即人身安全威脅）的例外通道，而所有案件一律依風險分數排序處理，則構成例外條件的封閉，剝奪申請人主張特殊情境的權利。</w:t>
      </w:r>
    </w:p>
    <w:p w:rsidR="00CB0786" w:rsidRDefault="001269C0">
      <w:pPr>
        <w:pStyle w:val="a0"/>
        <w:spacing w:after="80" w:line="300" w:lineRule="auto"/>
        <w:rPr>
          <w:lang w:eastAsia="zh-TW"/>
        </w:rPr>
      </w:pPr>
      <w:r>
        <w:rPr>
          <w:rFonts w:ascii="Times New Roman" w:eastAsia="新細明體" w:hAnsi="Times New Roman"/>
          <w:sz w:val="21"/>
          <w:lang w:eastAsia="zh-TW"/>
        </w:rPr>
        <w:t>責任條件：若審查機關以「系統評分如此」作為延遲審查決定的正當化理由，而拒絕承擔決定責任，則構成命題四所指之責任移轉</w:t>
      </w:r>
      <w:proofErr w:type="gramStart"/>
      <w:r>
        <w:rPr>
          <w:rFonts w:ascii="Times New Roman" w:eastAsia="新細明體" w:hAnsi="Times New Roman"/>
          <w:sz w:val="21"/>
          <w:lang w:eastAsia="zh-TW"/>
        </w:rPr>
        <w:t>—</w:t>
      </w:r>
      <w:proofErr w:type="gramEnd"/>
      <w:r>
        <w:rPr>
          <w:rFonts w:ascii="Times New Roman" w:eastAsia="新細明體" w:hAnsi="Times New Roman"/>
          <w:sz w:val="21"/>
          <w:lang w:eastAsia="zh-TW"/>
        </w:rPr>
        <w:t>—</w:t>
      </w:r>
      <w:r>
        <w:rPr>
          <w:rFonts w:ascii="Times New Roman" w:eastAsia="新細明體" w:hAnsi="Times New Roman"/>
          <w:sz w:val="21"/>
          <w:lang w:eastAsia="zh-TW"/>
        </w:rPr>
        <w:t>即使系統本身設計良好，制度仍須保留「無論系統建議為何，最終決定與說明理由之責任歸屬於具名官員」</w:t>
      </w:r>
      <w:proofErr w:type="gramStart"/>
      <w:r>
        <w:rPr>
          <w:rFonts w:ascii="Times New Roman" w:eastAsia="新細明體" w:hAnsi="Times New Roman"/>
          <w:sz w:val="21"/>
          <w:lang w:eastAsia="zh-TW"/>
        </w:rPr>
        <w:t>的課責結</w:t>
      </w:r>
      <w:proofErr w:type="gramEnd"/>
      <w:r>
        <w:rPr>
          <w:rFonts w:ascii="Times New Roman" w:eastAsia="新細明體" w:hAnsi="Times New Roman"/>
          <w:sz w:val="21"/>
          <w:lang w:eastAsia="zh-TW"/>
        </w:rPr>
        <w:t>構。</w:t>
      </w:r>
    </w:p>
    <w:p w:rsidR="00CB0786" w:rsidRDefault="001269C0">
      <w:pPr>
        <w:spacing w:after="160" w:line="312" w:lineRule="auto"/>
        <w:rPr>
          <w:lang w:eastAsia="zh-TW"/>
        </w:rPr>
      </w:pPr>
      <w:r>
        <w:rPr>
          <w:rFonts w:ascii="Times New Roman" w:eastAsia="新細明體" w:hAnsi="Times New Roman"/>
          <w:lang w:eastAsia="zh-TW"/>
        </w:rPr>
        <w:t>此一示例顯示，四個條件並非孤立判</w:t>
      </w:r>
      <w:proofErr w:type="gramStart"/>
      <w:r>
        <w:rPr>
          <w:rFonts w:ascii="Times New Roman" w:eastAsia="新細明體" w:hAnsi="Times New Roman"/>
          <w:lang w:eastAsia="zh-TW"/>
        </w:rPr>
        <w:t>準</w:t>
      </w:r>
      <w:proofErr w:type="gramEnd"/>
      <w:r>
        <w:rPr>
          <w:rFonts w:ascii="Times New Roman" w:eastAsia="新細明體" w:hAnsi="Times New Roman"/>
          <w:lang w:eastAsia="zh-TW"/>
        </w:rPr>
        <w:t>，而是往往同時發生：一旦價值權衡被單目標化，理由揭露不足與</w:t>
      </w:r>
      <w:r>
        <w:rPr>
          <w:rFonts w:ascii="Times New Roman" w:eastAsia="新細明體" w:hAnsi="Times New Roman"/>
          <w:lang w:eastAsia="zh-TW"/>
        </w:rPr>
        <w:t>例外封閉往往隨之而來，最終共同導致責任的實質移轉</w:t>
      </w:r>
      <w:proofErr w:type="gramStart"/>
      <w:r>
        <w:rPr>
          <w:rFonts w:ascii="Times New Roman" w:eastAsia="新細明體" w:hAnsi="Times New Roman"/>
          <w:lang w:eastAsia="zh-TW"/>
        </w:rPr>
        <w:t>—</w:t>
      </w:r>
      <w:proofErr w:type="gramEnd"/>
      <w:r>
        <w:rPr>
          <w:rFonts w:ascii="Times New Roman" w:eastAsia="新細明體" w:hAnsi="Times New Roman"/>
          <w:lang w:eastAsia="zh-TW"/>
        </w:rPr>
        <w:t>—</w:t>
      </w:r>
      <w:r>
        <w:rPr>
          <w:rFonts w:ascii="Times New Roman" w:eastAsia="新細明體" w:hAnsi="Times New Roman"/>
          <w:lang w:eastAsia="zh-TW"/>
        </w:rPr>
        <w:t>這正是本文主張「規範轉換」須整體評估，而非逐項打勾的理由。</w:t>
      </w:r>
    </w:p>
    <w:p w:rsidR="00CB0786" w:rsidRDefault="001269C0">
      <w:pPr>
        <w:spacing w:before="400" w:after="160"/>
        <w:rPr>
          <w:lang w:eastAsia="zh-TW"/>
        </w:rPr>
      </w:pPr>
      <w:r>
        <w:rPr>
          <w:rFonts w:ascii="Times New Roman" w:eastAsia="新細明體" w:hAnsi="Times New Roman"/>
          <w:b/>
          <w:color w:val="1A365D"/>
          <w:sz w:val="30"/>
          <w:lang w:eastAsia="zh-TW"/>
        </w:rPr>
        <w:t>五、公共判斷不可外包原則</w:t>
      </w:r>
    </w:p>
    <w:p w:rsidR="00CB0786" w:rsidRDefault="001269C0">
      <w:pPr>
        <w:spacing w:after="160" w:line="312" w:lineRule="auto"/>
        <w:rPr>
          <w:lang w:eastAsia="zh-TW"/>
        </w:rPr>
      </w:pPr>
      <w:r>
        <w:rPr>
          <w:rFonts w:ascii="Times New Roman" w:eastAsia="新細明體" w:hAnsi="Times New Roman"/>
          <w:lang w:eastAsia="zh-TW"/>
        </w:rPr>
        <w:t>正式理論命題：非「劃定</w:t>
      </w:r>
      <w:r>
        <w:rPr>
          <w:rFonts w:ascii="Times New Roman" w:eastAsia="新細明體" w:hAnsi="Times New Roman"/>
          <w:lang w:eastAsia="zh-TW"/>
        </w:rPr>
        <w:t>AI</w:t>
      </w:r>
      <w:r>
        <w:rPr>
          <w:rFonts w:ascii="Times New Roman" w:eastAsia="新細明體" w:hAnsi="Times New Roman"/>
          <w:lang w:eastAsia="zh-TW"/>
        </w:rPr>
        <w:t>禁區」，而是要求公共體系必須保有最終重新判斷、說明理由、承認例外與承擔責任的制度位置與實質能力。</w:t>
      </w:r>
    </w:p>
    <w:p w:rsidR="00CB0786" w:rsidRDefault="001269C0">
      <w:pPr>
        <w:spacing w:after="160" w:line="312" w:lineRule="auto"/>
        <w:rPr>
          <w:lang w:eastAsia="zh-TW"/>
        </w:rPr>
      </w:pPr>
      <w:r>
        <w:rPr>
          <w:rFonts w:ascii="Times New Roman" w:eastAsia="新細明體" w:hAnsi="Times New Roman"/>
          <w:lang w:eastAsia="zh-TW"/>
        </w:rPr>
        <w:t>此原則同時是診斷工具（識別公共權威外部化的發生）與規範紅線（防止最終介入能力流失）。它並不禁止</w:t>
      </w:r>
      <w:r>
        <w:rPr>
          <w:rFonts w:ascii="Times New Roman" w:eastAsia="新細明體" w:hAnsi="Times New Roman"/>
          <w:lang w:eastAsia="zh-TW"/>
        </w:rPr>
        <w:t>AI</w:t>
      </w:r>
      <w:r>
        <w:rPr>
          <w:rFonts w:ascii="Times New Roman" w:eastAsia="新細明體" w:hAnsi="Times New Roman"/>
          <w:lang w:eastAsia="zh-TW"/>
        </w:rPr>
        <w:t>深度參與行政行動或裁量配置，而是要求：無論生成如何分散、裁量如何分布，公共體系必須保留能理解、否決、修正與承擔理由的制度節點。</w:t>
      </w:r>
    </w:p>
    <w:p w:rsidR="00CB0786" w:rsidRDefault="001269C0">
      <w:pPr>
        <w:spacing w:after="160" w:line="312" w:lineRule="auto"/>
        <w:rPr>
          <w:lang w:eastAsia="zh-TW"/>
        </w:rPr>
      </w:pPr>
      <w:r>
        <w:rPr>
          <w:rFonts w:ascii="Times New Roman" w:eastAsia="新細明體" w:hAnsi="Times New Roman"/>
          <w:lang w:eastAsia="zh-TW"/>
        </w:rPr>
        <w:t>此原則與比較法上的相關制</w:t>
      </w:r>
      <w:r>
        <w:rPr>
          <w:rFonts w:ascii="Times New Roman" w:eastAsia="新細明體" w:hAnsi="Times New Roman"/>
          <w:lang w:eastAsia="zh-TW"/>
        </w:rPr>
        <w:t>度形成呼應，但性質有別：美國最高法院於</w:t>
      </w:r>
      <w:r>
        <w:rPr>
          <w:rFonts w:ascii="Times New Roman" w:eastAsia="新細明體" w:hAnsi="Times New Roman"/>
          <w:lang w:eastAsia="zh-TW"/>
        </w:rPr>
        <w:t xml:space="preserve">J. </w:t>
      </w:r>
      <w:r>
        <w:rPr>
          <w:rFonts w:ascii="Times New Roman" w:eastAsia="新細明體" w:hAnsi="Times New Roman"/>
        </w:rPr>
        <w:t>W. Hampton, Jr. &amp; Co. v. United States, 276 U.S. 394 (</w:t>
      </w:r>
      <w:proofErr w:type="gramStart"/>
      <w:r>
        <w:rPr>
          <w:rFonts w:ascii="Times New Roman" w:eastAsia="新細明體" w:hAnsi="Times New Roman"/>
        </w:rPr>
        <w:t>1928)</w:t>
      </w:r>
      <w:r>
        <w:rPr>
          <w:rFonts w:ascii="Times New Roman" w:eastAsia="新細明體" w:hAnsi="Times New Roman"/>
        </w:rPr>
        <w:t>確立的</w:t>
      </w:r>
      <w:proofErr w:type="gramEnd"/>
      <w:r>
        <w:rPr>
          <w:rFonts w:ascii="Times New Roman" w:eastAsia="新細明體" w:hAnsi="Times New Roman"/>
        </w:rPr>
        <w:t>「不可授權原則」（</w:t>
      </w:r>
      <w:r>
        <w:rPr>
          <w:rFonts w:ascii="Times New Roman" w:eastAsia="新細明體" w:hAnsi="Times New Roman"/>
        </w:rPr>
        <w:t>nondelegation doctrine</w:t>
      </w:r>
      <w:r>
        <w:rPr>
          <w:rFonts w:ascii="Times New Roman" w:eastAsia="新細明體" w:hAnsi="Times New Roman"/>
        </w:rPr>
        <w:t>）與「可理解原則」（</w:t>
      </w:r>
      <w:r>
        <w:rPr>
          <w:rFonts w:ascii="Times New Roman" w:eastAsia="新細明體" w:hAnsi="Times New Roman"/>
        </w:rPr>
        <w:t>intelligible principle</w:t>
      </w:r>
      <w:r>
        <w:rPr>
          <w:rFonts w:ascii="Times New Roman" w:eastAsia="新細明體" w:hAnsi="Times New Roman"/>
        </w:rPr>
        <w:t>）測試，處理的是國會向行政機關授權立法權的憲法界線；德國學理上的「重要性理論」（</w:t>
      </w:r>
      <w:r>
        <w:rPr>
          <w:rFonts w:ascii="Times New Roman" w:eastAsia="新細明體" w:hAnsi="Times New Roman"/>
        </w:rPr>
        <w:t>Wesentlichkeitstheorie</w:t>
      </w:r>
      <w:r>
        <w:rPr>
          <w:rFonts w:ascii="Times New Roman" w:eastAsia="新細明體" w:hAnsi="Times New Roman"/>
        </w:rPr>
        <w:t>）</w:t>
      </w:r>
      <w:proofErr w:type="spellStart"/>
      <w:r>
        <w:rPr>
          <w:rFonts w:ascii="Times New Roman" w:eastAsia="新細明體" w:hAnsi="Times New Roman"/>
        </w:rPr>
        <w:t>則要求對基本權利具有重大影響的事項，</w:t>
      </w:r>
      <w:r>
        <w:rPr>
          <w:rFonts w:ascii="Times New Roman" w:eastAsia="新細明體" w:hAnsi="Times New Roman"/>
        </w:rPr>
        <w:lastRenderedPageBreak/>
        <w:t>須由立法者以法律自行規定，不得完全委由行政命令處理</w:t>
      </w:r>
      <w:proofErr w:type="spellEnd"/>
      <w:r>
        <w:rPr>
          <w:rFonts w:ascii="Times New Roman" w:eastAsia="新細明體" w:hAnsi="Times New Roman"/>
        </w:rPr>
        <w:t>。</w:t>
      </w:r>
      <w:r>
        <w:rPr>
          <w:rFonts w:ascii="Times New Roman" w:eastAsia="新細明體" w:hAnsi="Times New Roman"/>
          <w:lang w:eastAsia="zh-TW"/>
        </w:rPr>
        <w:t>本文</w:t>
      </w:r>
      <w:r>
        <w:rPr>
          <w:rFonts w:ascii="Times New Roman" w:eastAsia="新細明體" w:hAnsi="Times New Roman"/>
          <w:lang w:eastAsia="zh-TW"/>
        </w:rPr>
        <w:t>之「公共判斷不可外包原則」與這兩項理論的共同關懷，在於防止實質決定權透過形式上的授權或外包而規避應有的正當化程序；但本文聚焦於人工智慧時代特有的「判斷生成外部化」問題</w:t>
      </w:r>
      <w:r>
        <w:rPr>
          <w:rFonts w:ascii="Times New Roman" w:eastAsia="新細明體" w:hAnsi="Times New Roman"/>
          <w:lang w:eastAsia="zh-TW"/>
        </w:rPr>
        <w:t>——</w:t>
      </w:r>
      <w:r>
        <w:rPr>
          <w:rFonts w:ascii="Times New Roman" w:eastAsia="新細明體" w:hAnsi="Times New Roman"/>
          <w:lang w:eastAsia="zh-TW"/>
        </w:rPr>
        <w:t>即技術系統本身（而非另一層級的政府機關或私人受託者）成為實質判斷的生成地點，這是</w:t>
      </w:r>
      <w:r>
        <w:rPr>
          <w:rFonts w:ascii="Times New Roman" w:eastAsia="新細明體" w:hAnsi="Times New Roman"/>
          <w:lang w:eastAsia="zh-TW"/>
        </w:rPr>
        <w:t>nondelegation doctrine</w:t>
      </w:r>
      <w:r>
        <w:rPr>
          <w:rFonts w:ascii="Times New Roman" w:eastAsia="新細明體" w:hAnsi="Times New Roman"/>
          <w:lang w:eastAsia="zh-TW"/>
        </w:rPr>
        <w:t>與</w:t>
      </w:r>
      <w:proofErr w:type="spellStart"/>
      <w:r>
        <w:rPr>
          <w:rFonts w:ascii="Times New Roman" w:eastAsia="新細明體" w:hAnsi="Times New Roman"/>
          <w:lang w:eastAsia="zh-TW"/>
        </w:rPr>
        <w:t>Wesentlichkeitstheorie</w:t>
      </w:r>
      <w:proofErr w:type="spellEnd"/>
      <w:r>
        <w:rPr>
          <w:rFonts w:ascii="Times New Roman" w:eastAsia="新細明體" w:hAnsi="Times New Roman"/>
          <w:lang w:eastAsia="zh-TW"/>
        </w:rPr>
        <w:t>在其原初脈絡中未曾設想的情境，也是本文命題超越一般立法委任問題、聚焦</w:t>
      </w:r>
      <w:r>
        <w:rPr>
          <w:rFonts w:ascii="Times New Roman" w:eastAsia="新細明體" w:hAnsi="Times New Roman"/>
          <w:lang w:eastAsia="zh-TW"/>
        </w:rPr>
        <w:t>AI</w:t>
      </w:r>
      <w:r>
        <w:rPr>
          <w:rFonts w:ascii="Times New Roman" w:eastAsia="新細明體" w:hAnsi="Times New Roman"/>
          <w:lang w:eastAsia="zh-TW"/>
        </w:rPr>
        <w:t>治理的原創之處。</w:t>
      </w:r>
    </w:p>
    <w:p w:rsidR="00CB0786" w:rsidRDefault="001269C0">
      <w:pPr>
        <w:spacing w:before="400" w:after="160"/>
        <w:rPr>
          <w:lang w:eastAsia="zh-TW"/>
        </w:rPr>
      </w:pPr>
      <w:r>
        <w:rPr>
          <w:rFonts w:ascii="Times New Roman" w:eastAsia="新細明體" w:hAnsi="Times New Roman"/>
          <w:b/>
          <w:color w:val="1A365D"/>
          <w:sz w:val="30"/>
          <w:lang w:eastAsia="zh-TW"/>
        </w:rPr>
        <w:t>六、</w:t>
      </w:r>
      <w:proofErr w:type="gramStart"/>
      <w:r>
        <w:rPr>
          <w:rFonts w:ascii="Times New Roman" w:eastAsia="新細明體" w:hAnsi="Times New Roman"/>
          <w:b/>
          <w:color w:val="1A365D"/>
          <w:sz w:val="30"/>
          <w:lang w:eastAsia="zh-TW"/>
        </w:rPr>
        <w:t>反論與</w:t>
      </w:r>
      <w:proofErr w:type="gramEnd"/>
      <w:r>
        <w:rPr>
          <w:rFonts w:ascii="Times New Roman" w:eastAsia="新細明體" w:hAnsi="Times New Roman"/>
          <w:b/>
          <w:color w:val="1A365D"/>
          <w:sz w:val="30"/>
          <w:lang w:eastAsia="zh-TW"/>
        </w:rPr>
        <w:t>理論邊界</w:t>
      </w:r>
    </w:p>
    <w:p w:rsidR="00CB0786" w:rsidRDefault="001269C0">
      <w:pPr>
        <w:spacing w:after="160" w:line="312" w:lineRule="auto"/>
        <w:rPr>
          <w:lang w:eastAsia="zh-TW"/>
        </w:rPr>
      </w:pPr>
      <w:r>
        <w:rPr>
          <w:rFonts w:ascii="Times New Roman" w:eastAsia="新細明體" w:hAnsi="Times New Roman"/>
          <w:lang w:eastAsia="zh-TW"/>
        </w:rPr>
        <w:t>反論</w:t>
      </w:r>
      <w:proofErr w:type="gramStart"/>
      <w:r>
        <w:rPr>
          <w:rFonts w:ascii="Times New Roman" w:eastAsia="新細明體" w:hAnsi="Times New Roman"/>
          <w:lang w:eastAsia="zh-TW"/>
        </w:rPr>
        <w:t>一</w:t>
      </w:r>
      <w:proofErr w:type="gramEnd"/>
      <w:r>
        <w:rPr>
          <w:rFonts w:ascii="Times New Roman" w:eastAsia="新細明體" w:hAnsi="Times New Roman"/>
          <w:lang w:eastAsia="zh-TW"/>
        </w:rPr>
        <w:t>（人類中心主義指控）：要求不可外包是否只是出於生物學上的</w:t>
      </w:r>
      <w:r>
        <w:rPr>
          <w:rFonts w:ascii="Times New Roman" w:eastAsia="新細明體" w:hAnsi="Times New Roman"/>
          <w:lang w:eastAsia="zh-TW"/>
        </w:rPr>
        <w:t>「人類偏好」或「同</w:t>
      </w:r>
      <w:proofErr w:type="gramStart"/>
      <w:r>
        <w:rPr>
          <w:rFonts w:ascii="Times New Roman" w:eastAsia="新細明體" w:hAnsi="Times New Roman"/>
          <w:lang w:eastAsia="zh-TW"/>
        </w:rPr>
        <w:t>理心迷思</w:t>
      </w:r>
      <w:proofErr w:type="gramEnd"/>
      <w:r>
        <w:rPr>
          <w:rFonts w:ascii="Times New Roman" w:eastAsia="新細明體" w:hAnsi="Times New Roman"/>
          <w:lang w:eastAsia="zh-TW"/>
        </w:rPr>
        <w:t>」？</w:t>
      </w:r>
    </w:p>
    <w:p w:rsidR="00CB0786" w:rsidRDefault="001269C0">
      <w:pPr>
        <w:spacing w:after="160" w:line="312" w:lineRule="auto"/>
        <w:rPr>
          <w:lang w:eastAsia="zh-TW"/>
        </w:rPr>
      </w:pPr>
      <w:r>
        <w:rPr>
          <w:rFonts w:ascii="Times New Roman" w:eastAsia="新細明體" w:hAnsi="Times New Roman"/>
          <w:lang w:eastAsia="zh-TW"/>
        </w:rPr>
        <w:t>回應：重點不在於人類個體的生物屬性，而在於公共權威必須存在於能被民主程序、制度規則與法律責任重新介入、爭辯與修正的結構之中。不可外包是結構性要求，而非物種偏好。</w:t>
      </w:r>
    </w:p>
    <w:p w:rsidR="00CB0786" w:rsidRDefault="001269C0">
      <w:pPr>
        <w:spacing w:after="160" w:line="312" w:lineRule="auto"/>
        <w:rPr>
          <w:lang w:eastAsia="zh-TW"/>
        </w:rPr>
      </w:pPr>
      <w:proofErr w:type="gramStart"/>
      <w:r>
        <w:rPr>
          <w:rFonts w:ascii="Times New Roman" w:eastAsia="新細明體" w:hAnsi="Times New Roman"/>
          <w:lang w:eastAsia="zh-TW"/>
        </w:rPr>
        <w:t>反論</w:t>
      </w:r>
      <w:proofErr w:type="gramEnd"/>
      <w:r>
        <w:rPr>
          <w:rFonts w:ascii="Times New Roman" w:eastAsia="新細明體" w:hAnsi="Times New Roman"/>
          <w:lang w:eastAsia="zh-TW"/>
        </w:rPr>
        <w:t>二（工具論）：</w:t>
      </w:r>
      <w:r>
        <w:rPr>
          <w:rFonts w:ascii="Times New Roman" w:eastAsia="新細明體" w:hAnsi="Times New Roman"/>
          <w:lang w:eastAsia="zh-TW"/>
        </w:rPr>
        <w:t>AI</w:t>
      </w:r>
      <w:r>
        <w:rPr>
          <w:rFonts w:ascii="Times New Roman" w:eastAsia="新細明體" w:hAnsi="Times New Roman"/>
          <w:lang w:eastAsia="zh-TW"/>
        </w:rPr>
        <w:t>只是工具，所有責任仍歸於使用者或機關。</w:t>
      </w:r>
    </w:p>
    <w:p w:rsidR="00CB0786" w:rsidRDefault="001269C0">
      <w:pPr>
        <w:spacing w:after="160" w:line="312" w:lineRule="auto"/>
        <w:rPr>
          <w:lang w:eastAsia="zh-TW"/>
        </w:rPr>
      </w:pPr>
      <w:r>
        <w:rPr>
          <w:rFonts w:ascii="Times New Roman" w:eastAsia="新細明體" w:hAnsi="Times New Roman"/>
          <w:lang w:eastAsia="zh-TW"/>
        </w:rPr>
        <w:t>回應：此說正確強調最終責任不可消失，但若上游配置已實質塑造判斷空間，僅保留最終核章而無權使上游可見並可介入，則權威可能空洞化。</w:t>
      </w:r>
    </w:p>
    <w:p w:rsidR="00CB0786" w:rsidRDefault="001269C0">
      <w:pPr>
        <w:spacing w:after="160" w:line="312" w:lineRule="auto"/>
        <w:rPr>
          <w:lang w:eastAsia="zh-TW"/>
        </w:rPr>
      </w:pPr>
      <w:proofErr w:type="gramStart"/>
      <w:r>
        <w:rPr>
          <w:rFonts w:ascii="Times New Roman" w:eastAsia="新細明體" w:hAnsi="Times New Roman"/>
          <w:lang w:eastAsia="zh-TW"/>
        </w:rPr>
        <w:t>反論</w:t>
      </w:r>
      <w:proofErr w:type="gramEnd"/>
      <w:r>
        <w:rPr>
          <w:rFonts w:ascii="Times New Roman" w:eastAsia="新細明體" w:hAnsi="Times New Roman"/>
          <w:lang w:eastAsia="zh-TW"/>
        </w:rPr>
        <w:t>三（法律歸屬論）：行政法本來就以機關作為責任主體，技術參與不會改變主體結構。</w:t>
      </w:r>
    </w:p>
    <w:p w:rsidR="00CB0786" w:rsidRDefault="001269C0">
      <w:pPr>
        <w:spacing w:after="160" w:line="312" w:lineRule="auto"/>
        <w:rPr>
          <w:lang w:eastAsia="zh-TW"/>
        </w:rPr>
      </w:pPr>
      <w:r>
        <w:rPr>
          <w:rFonts w:ascii="Times New Roman" w:eastAsia="新細明體" w:hAnsi="Times New Roman"/>
          <w:lang w:eastAsia="zh-TW"/>
        </w:rPr>
        <w:t>回應：機關作為最終責任節點必須保留，但若只看見機關而看不見生成過程的多重貢獻，將造成責任落差。分散式生成要求的是「在保留最終節點的同時揭露上游配置」，而非取消節點。</w:t>
      </w:r>
    </w:p>
    <w:p w:rsidR="00CB0786" w:rsidRDefault="001269C0">
      <w:pPr>
        <w:spacing w:before="400" w:after="160"/>
        <w:rPr>
          <w:lang w:eastAsia="zh-TW"/>
        </w:rPr>
      </w:pPr>
      <w:r>
        <w:rPr>
          <w:rFonts w:ascii="Times New Roman" w:eastAsia="新細明體" w:hAnsi="Times New Roman"/>
          <w:b/>
          <w:color w:val="1A365D"/>
          <w:sz w:val="30"/>
          <w:lang w:eastAsia="zh-TW"/>
        </w:rPr>
        <w:t>七、與</w:t>
      </w:r>
      <w:r>
        <w:rPr>
          <w:rFonts w:ascii="Times New Roman" w:eastAsia="新細明體" w:hAnsi="Times New Roman"/>
          <w:b/>
          <w:color w:val="1A365D"/>
          <w:sz w:val="30"/>
          <w:lang w:eastAsia="zh-TW"/>
        </w:rPr>
        <w:t>027</w:t>
      </w:r>
      <w:r>
        <w:rPr>
          <w:rFonts w:ascii="Times New Roman" w:eastAsia="新細明體" w:hAnsi="Times New Roman"/>
          <w:b/>
          <w:color w:val="1A365D"/>
          <w:sz w:val="30"/>
          <w:lang w:eastAsia="zh-TW"/>
        </w:rPr>
        <w:t>、</w:t>
      </w:r>
      <w:r>
        <w:rPr>
          <w:rFonts w:ascii="Times New Roman" w:eastAsia="新細明體" w:hAnsi="Times New Roman"/>
          <w:b/>
          <w:color w:val="1A365D"/>
          <w:sz w:val="30"/>
          <w:lang w:eastAsia="zh-TW"/>
        </w:rPr>
        <w:t>028</w:t>
      </w:r>
      <w:r>
        <w:rPr>
          <w:rFonts w:ascii="Times New Roman" w:eastAsia="新細明體" w:hAnsi="Times New Roman"/>
          <w:b/>
          <w:color w:val="1A365D"/>
          <w:sz w:val="30"/>
          <w:lang w:eastAsia="zh-TW"/>
        </w:rPr>
        <w:t>的理論閉環及制度意涵</w:t>
      </w:r>
    </w:p>
    <w:p w:rsidR="00CB0786" w:rsidRDefault="001269C0">
      <w:pPr>
        <w:spacing w:after="160" w:line="312" w:lineRule="auto"/>
        <w:rPr>
          <w:lang w:eastAsia="zh-TW"/>
        </w:rPr>
      </w:pPr>
      <w:r>
        <w:rPr>
          <w:rFonts w:ascii="Times New Roman" w:eastAsia="新細明體" w:hAnsi="Times New Roman"/>
          <w:lang w:eastAsia="zh-TW"/>
        </w:rPr>
        <w:t>027</w:t>
      </w:r>
      <w:r>
        <w:rPr>
          <w:rFonts w:ascii="Times New Roman" w:eastAsia="新細明體" w:hAnsi="Times New Roman"/>
          <w:lang w:eastAsia="zh-TW"/>
        </w:rPr>
        <w:t>回答「行動如何被共同生成」（分散式行政行動與四層構成）；</w:t>
      </w:r>
      <w:r>
        <w:rPr>
          <w:rFonts w:ascii="Times New Roman" w:eastAsia="新細明體" w:hAnsi="Times New Roman"/>
          <w:lang w:eastAsia="zh-TW"/>
        </w:rPr>
        <w:t>028</w:t>
      </w:r>
      <w:r>
        <w:rPr>
          <w:rFonts w:ascii="Times New Roman" w:eastAsia="新細明體" w:hAnsi="Times New Roman"/>
          <w:lang w:eastAsia="zh-TW"/>
        </w:rPr>
        <w:t>回答「裁量如何分布與可見」（裁量場、四節點、五面向可見性）；</w:t>
      </w:r>
      <w:r>
        <w:rPr>
          <w:rFonts w:ascii="Times New Roman" w:eastAsia="新細明體" w:hAnsi="Times New Roman"/>
          <w:lang w:eastAsia="zh-TW"/>
        </w:rPr>
        <w:t>029</w:t>
      </w:r>
      <w:r>
        <w:rPr>
          <w:rFonts w:ascii="Times New Roman" w:eastAsia="新細明體" w:hAnsi="Times New Roman"/>
          <w:lang w:eastAsia="zh-TW"/>
        </w:rPr>
        <w:t>回答「哪些判斷不可</w:t>
      </w:r>
      <w:proofErr w:type="gramStart"/>
      <w:r>
        <w:rPr>
          <w:rFonts w:ascii="Times New Roman" w:eastAsia="新細明體" w:hAnsi="Times New Roman"/>
          <w:lang w:eastAsia="zh-TW"/>
        </w:rPr>
        <w:t>外部化</w:t>
      </w:r>
      <w:proofErr w:type="gramEnd"/>
      <w:r>
        <w:rPr>
          <w:rFonts w:ascii="Times New Roman" w:eastAsia="新細明體" w:hAnsi="Times New Roman"/>
          <w:lang w:eastAsia="zh-TW"/>
        </w:rPr>
        <w:t>」（四條件與不可外包原則）。</w:t>
      </w:r>
    </w:p>
    <w:p w:rsidR="00CB0786" w:rsidRDefault="001269C0">
      <w:pPr>
        <w:spacing w:after="160" w:line="312" w:lineRule="auto"/>
        <w:rPr>
          <w:lang w:eastAsia="zh-TW"/>
        </w:rPr>
      </w:pPr>
      <w:r>
        <w:rPr>
          <w:rFonts w:ascii="Times New Roman" w:eastAsia="新細明體" w:hAnsi="Times New Roman"/>
          <w:lang w:eastAsia="zh-TW"/>
        </w:rPr>
        <w:t>三者共同構成完整的本體</w:t>
      </w:r>
      <w:proofErr w:type="gramStart"/>
      <w:r>
        <w:rPr>
          <w:rFonts w:ascii="Times New Roman" w:eastAsia="新細明體" w:hAnsi="Times New Roman"/>
          <w:lang w:eastAsia="zh-TW"/>
        </w:rPr>
        <w:t>—</w:t>
      </w:r>
      <w:proofErr w:type="gramEnd"/>
      <w:r>
        <w:rPr>
          <w:rFonts w:ascii="Times New Roman" w:eastAsia="新細明體" w:hAnsi="Times New Roman"/>
          <w:lang w:eastAsia="zh-TW"/>
        </w:rPr>
        <w:t>構造</w:t>
      </w:r>
      <w:r>
        <w:rPr>
          <w:rFonts w:ascii="Times New Roman" w:eastAsia="新細明體" w:hAnsi="Times New Roman"/>
          <w:lang w:eastAsia="zh-TW"/>
        </w:rPr>
        <w:t>—</w:t>
      </w:r>
      <w:r>
        <w:rPr>
          <w:rFonts w:ascii="Times New Roman" w:eastAsia="新細明體" w:hAnsi="Times New Roman"/>
          <w:lang w:eastAsia="zh-TW"/>
        </w:rPr>
        <w:t>規範軸線：生成可分散、裁量可分布，但公共權威的最終再介入能力不可外包。此一閉環使三部曲</w:t>
      </w:r>
      <w:r>
        <w:rPr>
          <w:rFonts w:ascii="Times New Roman" w:eastAsia="新細明體" w:hAnsi="Times New Roman"/>
          <w:lang w:eastAsia="zh-TW"/>
        </w:rPr>
        <w:t>超越單篇概念論文，成為具有系統性的理論架構。</w:t>
      </w:r>
    </w:p>
    <w:p w:rsidR="00CB0786" w:rsidRDefault="001269C0">
      <w:pPr>
        <w:spacing w:after="160" w:line="312" w:lineRule="auto"/>
        <w:rPr>
          <w:lang w:eastAsia="zh-TW"/>
        </w:rPr>
      </w:pPr>
      <w:r>
        <w:rPr>
          <w:rFonts w:ascii="Times New Roman" w:eastAsia="新細明體" w:hAnsi="Times New Roman"/>
          <w:lang w:eastAsia="zh-TW"/>
        </w:rPr>
        <w:t>制度意涵包括：高風險行政應用必須保留可有效行使的重新判斷與例外開啟機制；理由形成不得完全自動化至無法被人類理解與爭辯的程度；最終責任節點必須可識別且不可因技術中介而消失；採購與部署契約不得實質掏空行政機關對系統的控制</w:t>
      </w:r>
      <w:proofErr w:type="gramStart"/>
      <w:r>
        <w:rPr>
          <w:rFonts w:ascii="Times New Roman" w:eastAsia="新細明體" w:hAnsi="Times New Roman"/>
          <w:lang w:eastAsia="zh-TW"/>
        </w:rPr>
        <w:t>與課責能力</w:t>
      </w:r>
      <w:r>
        <w:rPr>
          <w:rFonts w:ascii="Times New Roman" w:eastAsia="新細明體" w:hAnsi="Times New Roman"/>
          <w:lang w:eastAsia="zh-TW"/>
        </w:rPr>
        <w:t>——</w:t>
      </w:r>
      <w:proofErr w:type="gramEnd"/>
      <w:r>
        <w:rPr>
          <w:rFonts w:ascii="Times New Roman" w:eastAsia="新細明體" w:hAnsi="Times New Roman"/>
          <w:lang w:eastAsia="zh-TW"/>
        </w:rPr>
        <w:t>此處採購契約的問題意識與</w:t>
      </w:r>
      <w:r>
        <w:rPr>
          <w:rFonts w:ascii="Times New Roman" w:eastAsia="新細明體" w:hAnsi="Times New Roman"/>
          <w:lang w:eastAsia="zh-TW"/>
        </w:rPr>
        <w:t>028</w:t>
      </w:r>
      <w:r>
        <w:rPr>
          <w:rFonts w:ascii="Times New Roman" w:eastAsia="新細明體" w:hAnsi="Times New Roman"/>
          <w:lang w:eastAsia="zh-TW"/>
        </w:rPr>
        <w:t>篇</w:t>
      </w:r>
      <w:r>
        <w:rPr>
          <w:rFonts w:ascii="Times New Roman" w:eastAsia="新細明體" w:hAnsi="Times New Roman"/>
          <w:lang w:eastAsia="zh-TW"/>
        </w:rPr>
        <w:t>4.2</w:t>
      </w:r>
      <w:r>
        <w:rPr>
          <w:rFonts w:ascii="Times New Roman" w:eastAsia="新細明體" w:hAnsi="Times New Roman"/>
          <w:lang w:eastAsia="zh-TW"/>
        </w:rPr>
        <w:t>節指出的「系統採購與外包契約」節點直接呼應，顯示三部曲之間存在多處具體的分析交會點，而非僅止於抽象的理論閉環宣示。</w:t>
      </w:r>
    </w:p>
    <w:p w:rsidR="00CB0786" w:rsidRDefault="001269C0">
      <w:pPr>
        <w:spacing w:before="400" w:after="160"/>
        <w:rPr>
          <w:lang w:eastAsia="zh-TW"/>
        </w:rPr>
      </w:pPr>
      <w:r>
        <w:rPr>
          <w:rFonts w:ascii="Times New Roman" w:eastAsia="新細明體" w:hAnsi="Times New Roman"/>
          <w:b/>
          <w:color w:val="1A365D"/>
          <w:sz w:val="30"/>
          <w:lang w:eastAsia="zh-TW"/>
        </w:rPr>
        <w:lastRenderedPageBreak/>
        <w:t>八、結論：公共行政的不可外包剩餘核心</w:t>
      </w:r>
    </w:p>
    <w:p w:rsidR="00CB0786" w:rsidRDefault="001269C0">
      <w:pPr>
        <w:spacing w:after="160" w:line="312" w:lineRule="auto"/>
        <w:rPr>
          <w:lang w:eastAsia="zh-TW"/>
        </w:rPr>
      </w:pPr>
      <w:r>
        <w:rPr>
          <w:rFonts w:ascii="Times New Roman" w:eastAsia="新細明體" w:hAnsi="Times New Roman"/>
          <w:i/>
          <w:lang w:eastAsia="zh-TW"/>
        </w:rPr>
        <w:t>人工智慧可以參與行政行動、重構行政裁量、深度</w:t>
      </w:r>
      <w:r>
        <w:rPr>
          <w:rFonts w:ascii="Times New Roman" w:eastAsia="新細明體" w:hAnsi="Times New Roman"/>
          <w:i/>
          <w:lang w:eastAsia="zh-TW"/>
        </w:rPr>
        <w:t>介入公共決定；但公共行政不能失去重新判斷、說明理由、承認例外與承擔後果的制度能力。這是人工智慧時代公共行政的最低理論定義，也是維繫國家統治正當性與憲政民主制度的本體論基石。</w:t>
      </w:r>
    </w:p>
    <w:p w:rsidR="00CB0786" w:rsidRDefault="001269C0">
      <w:pPr>
        <w:spacing w:after="160" w:line="312" w:lineRule="auto"/>
        <w:rPr>
          <w:lang w:eastAsia="zh-TW"/>
        </w:rPr>
      </w:pPr>
      <w:r>
        <w:rPr>
          <w:rFonts w:ascii="Times New Roman" w:eastAsia="新細明體" w:hAnsi="Times New Roman"/>
          <w:lang w:eastAsia="zh-TW"/>
        </w:rPr>
        <w:t>三部曲至此完成閉環。公共行政在人工智慧時代的剩餘核心，正是這不可外包的公共判斷能力。</w:t>
      </w:r>
    </w:p>
    <w:p w:rsidR="00CB0786" w:rsidRDefault="001269C0">
      <w:pPr>
        <w:spacing w:before="400" w:after="160"/>
      </w:pPr>
      <w:proofErr w:type="spellStart"/>
      <w:r>
        <w:rPr>
          <w:rFonts w:ascii="Times New Roman" w:eastAsia="新細明體" w:hAnsi="Times New Roman"/>
          <w:b/>
          <w:color w:val="1A365D"/>
          <w:sz w:val="30"/>
        </w:rPr>
        <w:t>參考文獻</w:t>
      </w:r>
      <w:proofErr w:type="spellEnd"/>
    </w:p>
    <w:p w:rsidR="00CB0786" w:rsidRDefault="001269C0">
      <w:pPr>
        <w:spacing w:after="120" w:line="288" w:lineRule="auto"/>
        <w:ind w:left="432" w:hanging="432"/>
      </w:pPr>
      <w:r>
        <w:rPr>
          <w:rFonts w:ascii="Times New Roman" w:eastAsia="新細明體" w:hAnsi="Times New Roman"/>
          <w:sz w:val="20"/>
        </w:rPr>
        <w:t xml:space="preserve">Bovens, M., &amp; Zouridis, S. (2002). From street-level to system-level bureaucracies: How information and communication </w:t>
      </w:r>
      <w:r>
        <w:rPr>
          <w:rFonts w:ascii="Times New Roman" w:eastAsia="新細明體" w:hAnsi="Times New Roman"/>
          <w:sz w:val="20"/>
        </w:rPr>
        <w:t>technology is transforming administrative discretion and constitutional control. Public Administration Review, 62(2), 174–184.</w:t>
      </w:r>
    </w:p>
    <w:p w:rsidR="00CB0786" w:rsidRDefault="001269C0">
      <w:pPr>
        <w:spacing w:after="120" w:line="288" w:lineRule="auto"/>
        <w:ind w:left="432" w:hanging="432"/>
      </w:pPr>
      <w:r>
        <w:rPr>
          <w:rFonts w:ascii="Times New Roman" w:eastAsia="新細明體" w:hAnsi="Times New Roman"/>
          <w:sz w:val="20"/>
        </w:rPr>
        <w:t>Citron, D. K., &amp; Pasquale, F. (2014). The scored society: Due process for automated predictions. Washington Law Review, 89(1), 1–</w:t>
      </w:r>
      <w:r>
        <w:rPr>
          <w:rFonts w:ascii="Times New Roman" w:eastAsia="新細明體" w:hAnsi="Times New Roman"/>
          <w:sz w:val="20"/>
        </w:rPr>
        <w:t>33.</w:t>
      </w:r>
    </w:p>
    <w:p w:rsidR="00CB0786" w:rsidRDefault="001269C0">
      <w:pPr>
        <w:spacing w:after="120" w:line="288" w:lineRule="auto"/>
        <w:ind w:left="432" w:hanging="432"/>
      </w:pPr>
      <w:r>
        <w:rPr>
          <w:rFonts w:ascii="Times New Roman" w:eastAsia="新細明體" w:hAnsi="Times New Roman"/>
          <w:sz w:val="20"/>
        </w:rPr>
        <w:t>Cordelli, C. (2020). The privatized state. Princeton University Press.</w:t>
      </w:r>
    </w:p>
    <w:p w:rsidR="00CB0786" w:rsidRDefault="001269C0">
      <w:pPr>
        <w:spacing w:after="120" w:line="288" w:lineRule="auto"/>
        <w:ind w:left="432" w:hanging="432"/>
      </w:pPr>
      <w:r>
        <w:rPr>
          <w:rFonts w:ascii="Times New Roman" w:eastAsia="新細明體" w:hAnsi="Times New Roman"/>
          <w:sz w:val="20"/>
        </w:rPr>
        <w:t>Davis, K. C. (1969). Discretionary justice: A preliminary inquiry. Louisiana State University Press.</w:t>
      </w:r>
    </w:p>
    <w:p w:rsidR="00CB0786" w:rsidRDefault="001269C0">
      <w:pPr>
        <w:spacing w:after="120" w:line="288" w:lineRule="auto"/>
        <w:ind w:left="432" w:hanging="432"/>
      </w:pPr>
      <w:r>
        <w:rPr>
          <w:rFonts w:ascii="Times New Roman" w:eastAsia="新細明體" w:hAnsi="Times New Roman"/>
          <w:sz w:val="20"/>
        </w:rPr>
        <w:t>J. W. Hampton, Jr. &amp; Co. v. United States, 276 U.S. 394 (1928).</w:t>
      </w:r>
    </w:p>
    <w:p w:rsidR="00CB0786" w:rsidRDefault="001269C0">
      <w:pPr>
        <w:spacing w:after="120" w:line="288" w:lineRule="auto"/>
        <w:ind w:left="432" w:hanging="432"/>
      </w:pPr>
      <w:r>
        <w:rPr>
          <w:rFonts w:ascii="Times New Roman" w:eastAsia="新細明體" w:hAnsi="Times New Roman"/>
          <w:sz w:val="20"/>
        </w:rPr>
        <w:t>Moe, R. C. (1987</w:t>
      </w:r>
      <w:r>
        <w:rPr>
          <w:rFonts w:ascii="Times New Roman" w:eastAsia="新細明體" w:hAnsi="Times New Roman"/>
          <w:sz w:val="20"/>
        </w:rPr>
        <w:t>). Exploring the limits of privatization. Public Administration Review, 47(6), 453–460.</w:t>
      </w:r>
    </w:p>
    <w:p w:rsidR="00CB0786" w:rsidRDefault="001269C0">
      <w:pPr>
        <w:spacing w:after="120" w:line="288" w:lineRule="auto"/>
        <w:ind w:left="432" w:hanging="432"/>
      </w:pPr>
      <w:r>
        <w:rPr>
          <w:rFonts w:ascii="Times New Roman" w:eastAsia="新細明體" w:hAnsi="Times New Roman"/>
          <w:sz w:val="20"/>
        </w:rPr>
        <w:t>Regulation (EU) 2024/1689 of the European Parliament and of the Council of 13 June 2024 laying down harmonised rules on artificial intelligence (Artificial Intelligence</w:t>
      </w:r>
      <w:r>
        <w:rPr>
          <w:rFonts w:ascii="Times New Roman" w:eastAsia="新細明體" w:hAnsi="Times New Roman"/>
          <w:sz w:val="20"/>
        </w:rPr>
        <w:t xml:space="preserve"> Act). Official Journal of the European Union, L 2024/1689.</w:t>
      </w:r>
    </w:p>
    <w:p w:rsidR="00CB0786" w:rsidRDefault="001269C0">
      <w:pPr>
        <w:spacing w:after="120" w:line="288" w:lineRule="auto"/>
        <w:ind w:left="432" w:hanging="432"/>
      </w:pPr>
      <w:r>
        <w:rPr>
          <w:rFonts w:ascii="Times New Roman" w:eastAsia="新細明體" w:hAnsi="Times New Roman"/>
          <w:sz w:val="20"/>
        </w:rPr>
        <w:t>Rohr, J. A. (1986). To run a constitution: The legitimacy of the administrative state. University Press of Kansas.</w:t>
      </w:r>
    </w:p>
    <w:p w:rsidR="00CB0786" w:rsidRDefault="001269C0">
      <w:pPr>
        <w:spacing w:after="120" w:line="288" w:lineRule="auto"/>
        <w:ind w:left="432" w:hanging="432"/>
      </w:pPr>
      <w:r>
        <w:rPr>
          <w:rFonts w:ascii="Times New Roman" w:eastAsia="新細明體" w:hAnsi="Times New Roman"/>
          <w:sz w:val="20"/>
        </w:rPr>
        <w:t>Treasury Board of Canada Secretariat. (2019). Directive on automated decision-mak</w:t>
      </w:r>
      <w:r>
        <w:rPr>
          <w:rFonts w:ascii="Times New Roman" w:eastAsia="新細明體" w:hAnsi="Times New Roman"/>
          <w:sz w:val="20"/>
        </w:rPr>
        <w:t>ing. Government of Canada.</w:t>
      </w:r>
    </w:p>
    <w:p w:rsidR="00CB0786" w:rsidRDefault="001269C0">
      <w:pPr>
        <w:spacing w:after="120" w:line="288" w:lineRule="auto"/>
        <w:ind w:left="432" w:hanging="432"/>
      </w:pPr>
      <w:r>
        <w:rPr>
          <w:rFonts w:ascii="Times New Roman" w:eastAsia="新細明體" w:hAnsi="Times New Roman"/>
          <w:sz w:val="20"/>
        </w:rPr>
        <w:t>Waldo, D. (1948/1984). The administrative state: A study of the political theory of American public administration (2nd ed.). Holmes &amp; Meier.</w:t>
      </w:r>
    </w:p>
    <w:p w:rsidR="00CB0786" w:rsidRDefault="001269C0">
      <w:pPr>
        <w:spacing w:after="120" w:line="288" w:lineRule="auto"/>
        <w:ind w:left="432" w:hanging="432"/>
      </w:pPr>
      <w:r>
        <w:rPr>
          <w:rFonts w:ascii="Times New Roman" w:eastAsia="新細明體" w:hAnsi="Times New Roman"/>
          <w:sz w:val="20"/>
        </w:rPr>
        <w:t xml:space="preserve">Young, M. M., Bullock, J. B., &amp; Lecy, J. D. (2019). Artificial discretion as a tool of </w:t>
      </w:r>
      <w:r>
        <w:rPr>
          <w:rFonts w:ascii="Times New Roman" w:eastAsia="新細明體" w:hAnsi="Times New Roman"/>
          <w:sz w:val="20"/>
        </w:rPr>
        <w:t>governance: A framework for understanding the impact of artificial intelligence on public administration. Perspectives on Public Management and Governance, 2(4), 301–313.</w:t>
      </w:r>
    </w:p>
    <w:p w:rsidR="00CB0786" w:rsidRDefault="001269C0">
      <w:pPr>
        <w:spacing w:after="120" w:line="288" w:lineRule="auto"/>
        <w:ind w:left="432" w:hanging="432"/>
      </w:pPr>
      <w:r>
        <w:rPr>
          <w:rFonts w:ascii="Times New Roman" w:eastAsia="新細明體" w:hAnsi="Times New Roman"/>
          <w:sz w:val="20"/>
        </w:rPr>
        <w:t>立法院第十屆第四會期第十四次會議。（</w:t>
      </w:r>
      <w:r>
        <w:rPr>
          <w:rFonts w:ascii="Times New Roman" w:eastAsia="新細明體" w:hAnsi="Times New Roman"/>
          <w:sz w:val="20"/>
        </w:rPr>
        <w:t>2025</w:t>
      </w:r>
      <w:r>
        <w:rPr>
          <w:rFonts w:ascii="Times New Roman" w:eastAsia="新細明體" w:hAnsi="Times New Roman"/>
          <w:sz w:val="20"/>
        </w:rPr>
        <w:t>年</w:t>
      </w:r>
      <w:r>
        <w:rPr>
          <w:rFonts w:ascii="Times New Roman" w:eastAsia="新細明體" w:hAnsi="Times New Roman"/>
          <w:sz w:val="20"/>
        </w:rPr>
        <w:t>12</w:t>
      </w:r>
      <w:r>
        <w:rPr>
          <w:rFonts w:ascii="Times New Roman" w:eastAsia="新細明體" w:hAnsi="Times New Roman"/>
          <w:sz w:val="20"/>
        </w:rPr>
        <w:t>月</w:t>
      </w:r>
      <w:r>
        <w:rPr>
          <w:rFonts w:ascii="Times New Roman" w:eastAsia="新細明體" w:hAnsi="Times New Roman"/>
          <w:sz w:val="20"/>
        </w:rPr>
        <w:t>23</w:t>
      </w:r>
      <w:r>
        <w:rPr>
          <w:rFonts w:ascii="Times New Roman" w:eastAsia="新細明體" w:hAnsi="Times New Roman"/>
          <w:sz w:val="20"/>
        </w:rPr>
        <w:t>日）。《人工智慧基本法》三讀通過。立法院公報（後續發布）。</w:t>
      </w:r>
    </w:p>
    <w:p w:rsidR="00CB0786" w:rsidRDefault="001269C0">
      <w:pPr>
        <w:spacing w:after="120" w:line="288" w:lineRule="auto"/>
        <w:ind w:left="432" w:hanging="432"/>
        <w:rPr>
          <w:lang w:eastAsia="zh-TW"/>
        </w:rPr>
      </w:pPr>
      <w:r>
        <w:rPr>
          <w:rFonts w:ascii="Times New Roman" w:eastAsia="新細明體" w:hAnsi="Times New Roman"/>
          <w:sz w:val="20"/>
          <w:lang w:eastAsia="zh-TW"/>
        </w:rPr>
        <w:t>張志偻（</w:t>
      </w:r>
      <w:r>
        <w:rPr>
          <w:rFonts w:ascii="Times New Roman" w:eastAsia="新細明體" w:hAnsi="Times New Roman"/>
          <w:sz w:val="20"/>
          <w:lang w:eastAsia="zh-TW"/>
        </w:rPr>
        <w:t>2025</w:t>
      </w:r>
      <w:r>
        <w:rPr>
          <w:rFonts w:ascii="Times New Roman" w:eastAsia="新細明體" w:hAnsi="Times New Roman"/>
          <w:sz w:val="20"/>
          <w:lang w:eastAsia="zh-TW"/>
        </w:rPr>
        <w:t>）。自動化行政決定之容許性</w:t>
      </w:r>
      <w:proofErr w:type="gramStart"/>
      <w:r>
        <w:rPr>
          <w:rFonts w:ascii="Times New Roman" w:eastAsia="新細明體" w:hAnsi="Times New Roman"/>
          <w:sz w:val="20"/>
          <w:lang w:eastAsia="zh-TW"/>
        </w:rPr>
        <w:t>─</w:t>
      </w:r>
      <w:proofErr w:type="gramEnd"/>
      <w:r>
        <w:rPr>
          <w:rFonts w:ascii="Times New Roman" w:eastAsia="新細明體" w:hAnsi="Times New Roman"/>
          <w:sz w:val="20"/>
          <w:lang w:eastAsia="zh-TW"/>
        </w:rPr>
        <w:t>─</w:t>
      </w:r>
      <w:r>
        <w:rPr>
          <w:rFonts w:ascii="Times New Roman" w:eastAsia="新細明體" w:hAnsi="Times New Roman"/>
          <w:sz w:val="20"/>
          <w:lang w:eastAsia="zh-TW"/>
        </w:rPr>
        <w:t>從行政程</w:t>
      </w:r>
      <w:r>
        <w:rPr>
          <w:rFonts w:ascii="Times New Roman" w:eastAsia="新細明體" w:hAnsi="Times New Roman"/>
          <w:sz w:val="20"/>
          <w:lang w:eastAsia="zh-TW"/>
        </w:rPr>
        <w:t>序法及個資保護法制的觀察面向。《國立中正大學法學集刊》，第</w:t>
      </w:r>
      <w:r>
        <w:rPr>
          <w:rFonts w:ascii="Times New Roman" w:eastAsia="新細明體" w:hAnsi="Times New Roman"/>
          <w:sz w:val="20"/>
          <w:lang w:eastAsia="zh-TW"/>
        </w:rPr>
        <w:t>88</w:t>
      </w:r>
      <w:r>
        <w:rPr>
          <w:rFonts w:ascii="Times New Roman" w:eastAsia="新細明體" w:hAnsi="Times New Roman"/>
          <w:sz w:val="20"/>
          <w:lang w:eastAsia="zh-TW"/>
        </w:rPr>
        <w:t>期，</w:t>
      </w:r>
      <w:r>
        <w:rPr>
          <w:rFonts w:ascii="Times New Roman" w:eastAsia="新細明體" w:hAnsi="Times New Roman"/>
          <w:sz w:val="20"/>
          <w:lang w:eastAsia="zh-TW"/>
        </w:rPr>
        <w:t>87</w:t>
      </w:r>
      <w:proofErr w:type="gramStart"/>
      <w:r>
        <w:rPr>
          <w:rFonts w:ascii="Times New Roman" w:eastAsia="新細明體" w:hAnsi="Times New Roman"/>
          <w:sz w:val="20"/>
          <w:lang w:eastAsia="zh-TW"/>
        </w:rPr>
        <w:t>–</w:t>
      </w:r>
      <w:proofErr w:type="gramEnd"/>
      <w:r>
        <w:rPr>
          <w:rFonts w:ascii="Times New Roman" w:eastAsia="新細明體" w:hAnsi="Times New Roman"/>
          <w:sz w:val="20"/>
          <w:lang w:eastAsia="zh-TW"/>
        </w:rPr>
        <w:t>174</w:t>
      </w:r>
      <w:r>
        <w:rPr>
          <w:rFonts w:ascii="Times New Roman" w:eastAsia="新細明體" w:hAnsi="Times New Roman"/>
          <w:sz w:val="20"/>
          <w:lang w:eastAsia="zh-TW"/>
        </w:rPr>
        <w:t>頁。</w:t>
      </w:r>
    </w:p>
    <w:p w:rsidR="00CB0786" w:rsidRDefault="001269C0">
      <w:pPr>
        <w:spacing w:before="320" w:after="160" w:line="312" w:lineRule="auto"/>
        <w:jc w:val="center"/>
      </w:pPr>
      <w:r>
        <w:rPr>
          <w:rFonts w:ascii="Times New Roman" w:eastAsia="新細明體" w:hAnsi="Times New Roman"/>
          <w:sz w:val="20"/>
        </w:rPr>
        <w:t xml:space="preserve">--- 029 </w:t>
      </w:r>
      <w:proofErr w:type="spellStart"/>
      <w:r>
        <w:rPr>
          <w:rFonts w:ascii="Times New Roman" w:eastAsia="新細明體" w:hAnsi="Times New Roman"/>
          <w:sz w:val="20"/>
        </w:rPr>
        <w:t>完整擴寫・校正版完</w:t>
      </w:r>
      <w:proofErr w:type="spellEnd"/>
      <w:r>
        <w:rPr>
          <w:rFonts w:ascii="Times New Roman" w:eastAsia="新細明體" w:hAnsi="Times New Roman"/>
          <w:sz w:val="20"/>
        </w:rPr>
        <w:t xml:space="preserve"> ---</w:t>
      </w:r>
    </w:p>
    <w:sectPr w:rsidR="00CB0786"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69C0"/>
    <w:rsid w:val="0015074B"/>
    <w:rsid w:val="0029639D"/>
    <w:rsid w:val="00326F90"/>
    <w:rsid w:val="00AA1D8D"/>
    <w:rsid w:val="00B47730"/>
    <w:rsid w:val="00CB0664"/>
    <w:rsid w:val="00CB07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0CA18E"/>
  <w14:defaultImageDpi w14:val="300"/>
  <w15:docId w15:val="{32B38231-2FE4-48DC-9F7F-A129C99D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BF656-9C7C-4804-84F6-4980D19A3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2013-12-23T23:15:00Z</dcterms:created>
  <dcterms:modified xsi:type="dcterms:W3CDTF">2026-08-23T12:30:00Z</dcterms:modified>
  <cp:category/>
</cp:coreProperties>
</file>