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rFonts w:ascii="Noto Sans CJK TC" w:cs="Noto Sans CJK TC" w:eastAsia="Noto Sans CJK TC" w:hAnsi="Noto Sans CJK TC"/>
          <w:b/>
          <w:bCs/>
          <w:color w:val="1F4E79"/>
          <w:sz w:val="38"/>
          <w:szCs w:val="38"/>
        </w:rPr>
        <w:t xml:space="preserve">裁量何在？</w:t>
      </w:r>
    </w:p>
    <w:p>
      <w:pPr>
        <w:spacing w:after="30"/>
        <w:jc w:val="center"/>
      </w:pPr>
      <w:r>
        <w:rPr>
          <w:rFonts w:ascii="Noto Sans CJK TC" w:cs="Noto Sans CJK TC" w:eastAsia="Noto Sans CJK TC" w:hAnsi="Noto Sans CJK TC"/>
          <w:b/>
          <w:bCs/>
          <w:color w:val="2E75B6"/>
          <w:sz w:val="22"/>
          <w:szCs w:val="22"/>
        </w:rPr>
        <w:t xml:space="preserve">人工智慧時代行政裁量的轉移、分散與再制度化</w:t>
      </w:r>
    </w:p>
    <w:p>
      <w:pPr>
        <w:spacing w:after="60"/>
        <w:jc w:val="center"/>
      </w:pPr>
      <w:r>
        <w:rPr>
          <w:rFonts w:ascii="Noto Sans CJK TC" w:cs="Noto Sans CJK TC" w:eastAsia="Noto Sans CJK TC" w:hAnsi="Noto Sans CJK TC"/>
          <w:i/>
          <w:iCs/>
          <w:color w:val="555555"/>
          <w:sz w:val="15"/>
          <w:szCs w:val="15"/>
        </w:rPr>
        <w:t xml:space="preserve">Where Does Discretion Reside? The Transformation and Redistribution of Administrative Discretion in the Age of AI</w:t>
      </w:r>
    </w:p>
    <w:p>
      <w:pPr>
        <w:spacing w:after="120"/>
        <w:jc w:val="center"/>
      </w:pPr>
      <w:r>
        <w:rPr>
          <w:rFonts w:ascii="Noto Sans CJK TC" w:cs="Noto Sans CJK TC" w:eastAsia="Noto Sans CJK TC" w:hAnsi="Noto Sans CJK TC"/>
          <w:color w:val="666666"/>
          <w:sz w:val="15"/>
          <w:szCs w:val="15"/>
        </w:rPr>
        <w:t xml:space="preserve">純理論論文｜構造論／裁量動態篇（完整整合修訂版）</w:t>
      </w:r>
    </w:p>
    <w:p>
      <w:pPr>
        <w:spacing w:after="140" w:line="320"/>
      </w:pPr>
      <w:r>
        <w:rPr>
          <w:rFonts w:ascii="Noto Sans CJK TC" w:cs="Noto Sans CJK TC" w:eastAsia="Noto Sans CJK TC" w:hAnsi="Noto Sans CJK TC"/>
          <w:b w:val="false"/>
          <w:bCs w:val="false"/>
          <w:i w:val="false"/>
          <w:iCs w:val="false"/>
          <w:sz w:val="22"/>
          <w:szCs w:val="22"/>
        </w:rPr>
        <w:t xml:space="preserve">【論文定位】純理論推演。不問「AI是否取代人類裁量」，而是理論推演裁量概念的本體轉向——從個體心理之「決策點」轉化為跨系統之「裁量場」。本文所稱四個核心節點並非封閉、窮盡的分類，而是分析裁量分布的理想型架構；下文案例為說明性分析案例，非實證研究。核心概念與027「分散式行政行動」、029「公共判斷不可外包原則」形成理論呼應。</w:t>
      </w:r>
    </w:p>
    <w:p>
      <w:pPr>
        <w:pStyle w:val="Heading1"/>
      </w:pPr>
      <w:r>
        <w:t xml:space="preserve">摘要</w:t>
      </w:r>
    </w:p>
    <w:p>
      <w:pPr>
        <w:spacing w:after="100" w:line="320"/>
      </w:pPr>
      <w:r>
        <w:rPr>
          <w:rFonts w:ascii="Noto Sans CJK TC" w:cs="Noto Sans CJK TC" w:eastAsia="Noto Sans CJK TC" w:hAnsi="Noto Sans CJK TC"/>
          <w:b w:val="false"/>
          <w:bCs w:val="false"/>
          <w:i w:val="false"/>
          <w:iCs w:val="false"/>
          <w:sz w:val="22"/>
          <w:szCs w:val="22"/>
        </w:rPr>
        <w:t xml:space="preserve">本文探討人工智慧導入行政決策後，行政裁量是否消失，以及裁量應如何重新定位。既有討論常陷入「裁量消失論」與「最後核章論」的二元對立，本文指出兩者其實共享同一隱含前提——裁量必須集中於某個可識別的「決策點」。本文主張，AI時代的裁量並未消失，而是分布於資料、模型、介面與覆核等相互連結的制度技術節點；核心問題應從「裁量還在不在」轉向「裁量何在、如何分布、如何重新變得可見」。為避免將所有具選擇性的技術或組織行為都籠統稱為「裁量」，本文提出三層區分——法律層次（行政裁量權）、制度層次（政策裁量）、技術層次（裁量性配置）——並主張：技術與制度配置構成或塑造法律裁量的前提條件，而非直接等同於法律裁量本身。本文以「四個核心節點」（前置、模型、介面、覆核）描述裁量性配置的分布位置，並輔以一項稅務稽核案件排序的分析性示例，展示各節點如何具體影響行政結果。本文進一步將「裁量可見性」拆解為來源、規則、過程、理由、責任五個可操作面向，並區分技術透明、程序透明、責任透明與救濟可用性。最後，本文將主命題收斂為三個可檢驗的子命題（位置命題、分布命題、課責命題），並提出八項最低制度要求，作為將「裁量場」由理論隱喻轉化為可操作分析與制度設計工具的具體路徑。</w:t>
      </w:r>
    </w:p>
    <w:p>
      <w:pPr>
        <w:spacing w:after="140" w:line="320"/>
      </w:pPr>
      <w:r>
        <w:rPr>
          <w:rFonts w:ascii="Noto Sans CJK TC" w:cs="Noto Sans CJK TC" w:eastAsia="Noto Sans CJK TC" w:hAnsi="Noto Sans CJK TC"/>
          <w:b w:val="false"/>
          <w:bCs w:val="false"/>
          <w:i w:val="false"/>
          <w:iCs w:val="false"/>
          <w:sz w:val="22"/>
          <w:szCs w:val="22"/>
        </w:rPr>
        <w:t xml:space="preserve">關鍵詞：行政裁量；裁量場；分布式裁量；裁量可見性；演算法治理；系統級官僚</w:t>
      </w:r>
    </w:p>
    <w:p>
      <w:pPr>
        <w:pStyle w:val="Heading1"/>
      </w:pPr>
      <w:r>
        <w:t xml:space="preserve">一、問題意識：批判「裁量消失論」與「最後核章論」的二分法誤區</w:t>
      </w:r>
    </w:p>
    <w:p>
      <w:pPr>
        <w:spacing w:after="100" w:line="320"/>
      </w:pPr>
      <w:r>
        <w:rPr>
          <w:rFonts w:ascii="Noto Sans CJK TC" w:cs="Noto Sans CJK TC" w:eastAsia="Noto Sans CJK TC" w:hAnsi="Noto Sans CJK TC"/>
          <w:b w:val="false"/>
          <w:bCs w:val="false"/>
          <w:i w:val="false"/>
          <w:iCs w:val="false"/>
          <w:sz w:val="22"/>
          <w:szCs w:val="22"/>
        </w:rPr>
        <w:t xml:space="preserve">傳統公共行政學（尤其是街頭官僚理論）對行政裁量（administrative discretion）的理解，隱含了一個「決策點」（decision point）模型：法律規範留下裁量空間→行政官員在現場理解個案事實→行使專業心證與經驗判斷→作成行政處分。在此框架下，學界對AI的討論常陷入兩種對立的僵局。</w:t>
      </w:r>
    </w:p>
    <w:p>
      <w:pPr>
        <w:spacing w:after="100" w:line="320"/>
      </w:pPr>
      <w:r>
        <w:rPr>
          <w:rFonts w:ascii="Noto Sans CJK TC" w:cs="Noto Sans CJK TC" w:eastAsia="Noto Sans CJK TC" w:hAnsi="Noto Sans CJK TC"/>
          <w:b w:val="false"/>
          <w:bCs w:val="false"/>
          <w:i w:val="false"/>
          <w:iCs w:val="false"/>
          <w:sz w:val="22"/>
          <w:szCs w:val="22"/>
        </w:rPr>
        <w:t xml:space="preserve">第一種是「裁量消失論」：認為演算法一旦自動化，人類判斷空間就被壓縮甚至消滅，裁量不復存在。第二種是「最後核章論」：主張只要最終仍由公務員簽核，裁量就仍完整保留在人類手中，AI只是輔助工具。這兩種觀點看似對立，實則共享同一隱含前提——裁量必須集中於某個可識別的「決策點」。</w:t>
      </w:r>
    </w:p>
    <w:p>
      <w:pPr>
        <w:spacing w:after="100" w:line="320"/>
      </w:pPr>
      <w:r>
        <w:rPr>
          <w:rFonts w:ascii="Noto Sans CJK TC" w:cs="Noto Sans CJK TC" w:eastAsia="Noto Sans CJK TC" w:hAnsi="Noto Sans CJK TC"/>
          <w:b w:val="false"/>
          <w:bCs w:val="false"/>
          <w:i w:val="false"/>
          <w:iCs w:val="false"/>
          <w:sz w:val="22"/>
          <w:szCs w:val="22"/>
        </w:rPr>
        <w:t xml:space="preserve">本文認為，此一前提在AI時代已不再成立。較精確的表述應為：AI的導入通常不會使行政選擇性完全消失，而會改變其生成位置與歸屬方式。裁量從個人決定點，轉化為分散於資料、模型、介面與覆核程序中的制度性判斷。核心問題因此從「裁量還在不在」轉向「裁量何在、如何分布、如何重新變得可見」。</w:t>
      </w:r>
    </w:p>
    <w:p>
      <w:pPr>
        <w:spacing w:after="100" w:line="320"/>
      </w:pPr>
      <w:r>
        <w:rPr>
          <w:rFonts w:ascii="Noto Sans CJK TC" w:cs="Noto Sans CJK TC" w:eastAsia="Noto Sans CJK TC" w:hAnsi="Noto Sans CJK TC"/>
          <w:b w:val="false"/>
          <w:bCs w:val="false"/>
          <w:i w:val="false"/>
          <w:iCs w:val="false"/>
          <w:sz w:val="22"/>
          <w:szCs w:val="22"/>
        </w:rPr>
        <w:t xml:space="preserve">本文主命題為：AI時代的行政裁量，應由「個人所擁有的權限」擴展理解為由制度、技術與人類共同構成的「裁量場」（Field of Discretion）。為使此一命題具有可檢驗性而非停留於隱喻，本文於第七節將其進一步拆解為三個可檢驗的子命題。</w:t>
      </w:r>
    </w:p>
    <w:p>
      <w:pPr>
        <w:spacing w:after="100" w:line="320"/>
      </w:pPr>
      <w:r>
        <w:rPr>
          <w:rFonts w:ascii="Noto Sans CJK TC" w:cs="Noto Sans CJK TC" w:eastAsia="Noto Sans CJK TC" w:hAnsi="Noto Sans CJK TC"/>
          <w:b w:val="false"/>
          <w:bCs w:val="false"/>
          <w:i w:val="false"/>
          <w:iCs w:val="false"/>
          <w:sz w:val="22"/>
          <w:szCs w:val="22"/>
        </w:rPr>
        <w:t xml:space="preserve">全文依下列步驟展開：第二節重新檢視傳統裁量概念的結構，並提出法律／制度／技術三層區分；第三節分析AI如何使裁量前移與隱形化；第四節提出「分布式行政裁量」的四個核心節點，並輔以分析性示例與既有理論的差異對照；第五節將「裁量可見性」操作化為五個面向；第六節處理法律裁量權與實質裁量性配置的理論邊界；第七節將主命題拆解為三個可檢驗子命題，並提出最低制度要求；第八節總結全文。案例僅作為說明性分析案例，不作為驗證架構的主要方法。</w:t>
      </w:r>
    </w:p>
    <w:p>
      <w:pPr>
        <w:pStyle w:val="Heading1"/>
      </w:pPr>
      <w:r>
        <w:t xml:space="preserve">二、傳統行政裁量的概念結構：點狀裁量與具名官僚判斷</w:t>
      </w:r>
    </w:p>
    <w:p>
      <w:pPr>
        <w:spacing w:after="100" w:line="320"/>
      </w:pPr>
      <w:r>
        <w:rPr>
          <w:rFonts w:ascii="Noto Sans CJK TC" w:cs="Noto Sans CJK TC" w:eastAsia="Noto Sans CJK TC" w:hAnsi="Noto Sans CJK TC"/>
          <w:b w:val="false"/>
          <w:bCs w:val="false"/>
          <w:i w:val="false"/>
          <w:iCs w:val="false"/>
          <w:sz w:val="22"/>
          <w:szCs w:val="22"/>
        </w:rPr>
        <w:t xml:space="preserve">傳統裁量模型可從三個經典脈絡萃取：</w:t>
      </w:r>
    </w:p>
    <w:p>
      <w:pPr>
        <w:spacing w:after="100" w:line="320"/>
      </w:pPr>
      <w:r>
        <w:rPr>
          <w:rFonts w:ascii="Noto Sans CJK TC" w:cs="Noto Sans CJK TC" w:eastAsia="Noto Sans CJK TC" w:hAnsi="Noto Sans CJK TC"/>
          <w:b w:val="false"/>
          <w:bCs w:val="false"/>
          <w:i w:val="false"/>
          <w:iCs w:val="false"/>
          <w:sz w:val="22"/>
          <w:szCs w:val="22"/>
        </w:rPr>
        <w:t xml:space="preserve">第一，法律授權脈絡，以Kenneth Culp Davis為代表。裁量是法律規範不完備時，行政機關被授予的判斷空間。Davis（1969）將裁量界定為公務員在其有效職權範圍內「選擇作為或不作為之可能行動方案」的自由，並提出經典的三分法：confining（界定邊界）、structuring（結構化行使方式）、checking（檢查與審查）。重點在於如何控制而非消滅裁量。</w:t>
      </w:r>
    </w:p>
    <w:p>
      <w:pPr>
        <w:spacing w:after="100" w:line="320"/>
      </w:pPr>
      <w:r>
        <w:rPr>
          <w:rFonts w:ascii="Noto Sans CJK TC" w:cs="Noto Sans CJK TC" w:eastAsia="Noto Sans CJK TC" w:hAnsi="Noto Sans CJK TC"/>
          <w:b w:val="false"/>
          <w:bCs w:val="false"/>
          <w:i w:val="false"/>
          <w:iCs w:val="false"/>
          <w:sz w:val="22"/>
          <w:szCs w:val="22"/>
        </w:rPr>
        <w:t xml:space="preserve">第二，專業判斷脈絡。裁量被視為具備專業知識的官員，在個案中權衡事實與規範的心證過程。</w:t>
      </w:r>
    </w:p>
    <w:p>
      <w:pPr>
        <w:spacing w:after="100" w:line="320"/>
      </w:pPr>
      <w:r>
        <w:rPr>
          <w:rFonts w:ascii="Noto Sans CJK TC" w:cs="Noto Sans CJK TC" w:eastAsia="Noto Sans CJK TC" w:hAnsi="Noto Sans CJK TC"/>
          <w:b w:val="false"/>
          <w:bCs w:val="false"/>
          <w:i w:val="false"/>
          <w:iCs w:val="false"/>
          <w:sz w:val="22"/>
          <w:szCs w:val="22"/>
        </w:rPr>
        <w:t xml:space="preserve">第三，街頭官僚脈絡（Lipsky, 1980/2010）。裁量是第一線人員應付資源匱乏、規則模糊與個案複雜性的防禦機制與政策形塑工具。裁量的行使主體是人，行使時間是「面對個案的當下」，行使結果是可歸屬於個人的行政決定。</w:t>
      </w:r>
    </w:p>
    <w:p>
      <w:pPr>
        <w:spacing w:after="100" w:line="320"/>
      </w:pPr>
      <w:r>
        <w:rPr>
          <w:rFonts w:ascii="Noto Sans CJK TC" w:cs="Noto Sans CJK TC" w:eastAsia="Noto Sans CJK TC" w:hAnsi="Noto Sans CJK TC"/>
          <w:b w:val="false"/>
          <w:bCs w:val="false"/>
          <w:i w:val="false"/>
          <w:iCs w:val="false"/>
          <w:sz w:val="22"/>
          <w:szCs w:val="22"/>
        </w:rPr>
        <w:t xml:space="preserve">即便Bovens與Zouridis（2002）提出「系統級官僚」（system-level bureaucracy）概念，指出資訊系統已開始取代第一線判斷，傳統討論仍多半將系統視為「壓縮裁量」的工具，而非重新定義裁量本身分布方式的結構性條件。點狀裁量假設因此仍主導多數論述。</w:t>
      </w:r>
    </w:p>
    <w:p>
      <w:pPr>
        <w:pStyle w:val="Heading2"/>
      </w:pPr>
      <w:r>
        <w:t xml:space="preserve">2.1　三層區分：避免將所有選擇性行為都稱為裁量</w:t>
      </w:r>
    </w:p>
    <w:p>
      <w:pPr>
        <w:spacing w:after="100" w:line="320"/>
      </w:pPr>
      <w:r>
        <w:rPr>
          <w:rFonts w:ascii="Noto Sans CJK TC" w:cs="Noto Sans CJK TC" w:eastAsia="Noto Sans CJK TC" w:hAnsi="Noto Sans CJK TC"/>
          <w:b w:val="false"/>
          <w:bCs w:val="false"/>
          <w:i w:val="false"/>
          <w:iCs w:val="false"/>
          <w:sz w:val="22"/>
          <w:szCs w:val="22"/>
        </w:rPr>
        <w:t xml:space="preserve">在提出分布式裁量框架之前，必須先處理一個概念精確性的問題：目前的討論常將法律授權所形成的裁量權、行政機關的政策選擇、資料選擇與分類判斷、模型設計與參數設定、介面對人的行為引導、第一線公務員的個案判斷，全部放在「裁量」這一個籠統標籤之下。這些現象確實都可能影響行政結果，但不必然都屬於法律意義上的「行政裁量」；若不加區分，讀者可能質疑：本文只是把所有具有選擇性的技術或組織行為重新命名為裁量。</w:t>
      </w:r>
    </w:p>
    <w:p>
      <w:pPr>
        <w:spacing w:after="100" w:line="320"/>
      </w:pPr>
      <w:r>
        <w:rPr>
          <w:rFonts w:ascii="Noto Sans CJK TC" w:cs="Noto Sans CJK TC" w:eastAsia="Noto Sans CJK TC" w:hAnsi="Noto Sans CJK TC"/>
          <w:b w:val="false"/>
          <w:bCs w:val="false"/>
          <w:i w:val="false"/>
          <w:iCs w:val="false"/>
          <w:sz w:val="22"/>
          <w:szCs w:val="22"/>
        </w:rPr>
        <w:t xml:space="preserve">本文因此明確提出三層區分：</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706"/>
      </w:tblGrid>
      <w:tr>
        <w:tc>
          <w:tcPr>
            <w:tcW w:type="dxa" w:w="2000"/>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6"/>
                <w:szCs w:val="16"/>
              </w:rPr>
              <w:t xml:space="preserve">層次</w:t>
            </w:r>
          </w:p>
        </w:tc>
        <w:tc>
          <w:tcPr>
            <w:tcW w:type="dxa" w:w="4000"/>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6"/>
                <w:szCs w:val="16"/>
              </w:rPr>
              <w:t xml:space="preserve">核心問題</w:t>
            </w:r>
          </w:p>
        </w:tc>
        <w:tc>
          <w:tcPr>
            <w:tcW w:type="dxa" w:w="3706"/>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6"/>
                <w:szCs w:val="16"/>
              </w:rPr>
              <w:t xml:space="preserve">對應概念</w:t>
            </w:r>
          </w:p>
        </w:tc>
      </w:tr>
      <w:tr>
        <w:tc>
          <w:tcPr>
            <w:tcW w:type="dxa" w:w="20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法律層次</w:t>
            </w:r>
          </w:p>
        </w:tc>
        <w:tc>
          <w:tcPr>
            <w:tcW w:type="dxa" w:w="4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誰依法有權在多個合法選項中作成選擇？</w:t>
            </w:r>
          </w:p>
        </w:tc>
        <w:tc>
          <w:tcPr>
            <w:tcW w:type="dxa" w:w="3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行政裁量權</w:t>
            </w:r>
          </w:p>
        </w:tc>
      </w:tr>
      <w:tr>
        <w:tc>
          <w:tcPr>
            <w:tcW w:type="dxa" w:w="20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制度層次</w:t>
            </w:r>
          </w:p>
        </w:tc>
        <w:tc>
          <w:tcPr>
            <w:tcW w:type="dxa" w:w="4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誰決定政策標準、組織程序與資源配置？</w:t>
            </w:r>
          </w:p>
        </w:tc>
        <w:tc>
          <w:tcPr>
            <w:tcW w:type="dxa" w:w="3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制度性判斷或政策裁量</w:t>
            </w:r>
          </w:p>
        </w:tc>
      </w:tr>
      <w:tr>
        <w:tc>
          <w:tcPr>
            <w:tcW w:type="dxa" w:w="20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技術層次</w:t>
            </w:r>
          </w:p>
        </w:tc>
        <w:tc>
          <w:tcPr>
            <w:tcW w:type="dxa" w:w="4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誰透過資料、模型與介面塑造可選項目？</w:t>
            </w:r>
          </w:p>
        </w:tc>
        <w:tc>
          <w:tcPr>
            <w:tcW w:type="dxa" w:w="3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裁量性配置或技術性選擇</w:t>
            </w:r>
          </w:p>
        </w:tc>
      </w:tr>
    </w:tbl>
    <w:p>
      <w:pPr>
        <w:spacing w:after="120" w:line="320"/>
      </w:pPr>
      <w:r>
        <w:rPr>
          <w:rFonts w:ascii="Noto Sans CJK TC" w:cs="Noto Sans CJK TC" w:eastAsia="Noto Sans CJK TC" w:hAnsi="Noto Sans CJK TC"/>
          <w:b w:val="false"/>
          <w:bCs w:val="false"/>
          <w:i w:val="false"/>
          <w:iCs w:val="false"/>
          <w:sz w:val="22"/>
          <w:szCs w:val="22"/>
        </w:rPr>
        <w:t xml:space="preserve">此一區分的作用，在於避免把「裁量場」直接等同於所有選擇行為，而是主張：技術與制度配置構成或塑造法律裁量的前提條件，而非直接等同於法律裁量本身。法律層次的裁量權仍專屬於具有法定職權的機關與人員；制度層次與技術層次的判斷則是本文所稱「裁量性配置」的主要來源，其效果是形塑、限縮或引導法律裁量得以行使的實際選項空間。第四節之四個核心節點，即分別對應制度層次（前置、覆核之組織安排）與技術層次（模型、介面）的具體位置。</w:t>
      </w:r>
    </w:p>
    <w:p>
      <w:pPr>
        <w:pStyle w:val="Heading1"/>
      </w:pPr>
      <w:r>
        <w:t xml:space="preserve">三、AI如何使裁量前移與隱形化：預先配置可能的行政結果</w:t>
      </w:r>
    </w:p>
    <w:p>
      <w:pPr>
        <w:spacing w:after="100" w:line="320"/>
      </w:pPr>
      <w:r>
        <w:rPr>
          <w:rFonts w:ascii="Noto Sans CJK TC" w:cs="Noto Sans CJK TC" w:eastAsia="Noto Sans CJK TC" w:hAnsi="Noto Sans CJK TC"/>
          <w:b w:val="false"/>
          <w:bCs w:val="false"/>
          <w:i w:val="false"/>
          <w:iCs w:val="false"/>
          <w:sz w:val="22"/>
          <w:szCs w:val="22"/>
        </w:rPr>
        <w:t xml:space="preserve">AI進入行政後，裁量的發生時點被大幅前移，並變得隱形。關鍵判斷不再等到「公務員面對個案」才出現，而是在正式決定之前即已透過技術與制度配置預先完成。</w:t>
      </w:r>
    </w:p>
    <w:p>
      <w:pPr>
        <w:spacing w:after="100" w:line="320"/>
      </w:pPr>
      <w:r>
        <w:rPr>
          <w:rFonts w:ascii="Noto Sans CJK TC" w:cs="Noto Sans CJK TC" w:eastAsia="Noto Sans CJK TC" w:hAnsi="Noto Sans CJK TC"/>
          <w:b w:val="false"/>
          <w:bCs w:val="false"/>
          <w:i w:val="false"/>
          <w:iCs w:val="false"/>
          <w:sz w:val="22"/>
          <w:szCs w:val="22"/>
        </w:rPr>
        <w:t xml:space="preserve">資料層：哪些變項被選為預測因子、哪些歷史資料被視為正當基線，已將政治與政策偏好轉化為資料標準。模型層：損失函數、閾值設定、排序規則將抽象法律概念（如「顯著危險」）轉譯為硬性數學門檻——在涉及規範性分類或資源排序的情形下，此一轉譯本質上涉及政策價值的優先順序選擇。介面層：預設選項、資訊排序、警告標示透過認知推力（nudge；Thaler &amp; Sunstein, 2008），引導第一線人員的注意力與審查傾向。覆核層：形式上保留的推翻權，在時間壓力、績效考核與組織誘因的共同作用下，往往轉化為需要承擔額外時間成本、績效成本、責任風險與組織關係成本的異議行為，而非可無代價行使的選項。</w:t>
      </w:r>
    </w:p>
    <w:p>
      <w:pPr>
        <w:spacing w:after="100" w:line="320"/>
      </w:pPr>
      <w:r>
        <w:rPr>
          <w:rFonts w:ascii="Noto Sans CJK TC" w:cs="Noto Sans CJK TC" w:eastAsia="Noto Sans CJK TC" w:hAnsi="Noto Sans CJK TC"/>
          <w:b w:val="false"/>
          <w:bCs w:val="false"/>
          <w:i w:val="false"/>
          <w:iCs w:val="false"/>
          <w:sz w:val="22"/>
          <w:szCs w:val="22"/>
        </w:rPr>
        <w:t xml:space="preserve">結果是：裁量並未消失，而是從「可見的個人心證」轉化為「分散且常被視為技術中立」的前置配置。傳統「最後核章」的形式，掩蓋了實質判斷早已在上游完成的事實。台灣與全球實務中，高風險應用「保留人類最終裁量」的呼聲雖高，但若上游配置已大幅窄化選項空間，形式保留往往只是名義上的。</w:t>
      </w:r>
    </w:p>
    <w:p>
      <w:pPr>
        <w:pStyle w:val="Heading1"/>
      </w:pPr>
      <w:r>
        <w:t xml:space="preserve">四、分布式行政裁量理論：四個核心節點</w:t>
      </w:r>
    </w:p>
    <w:p>
      <w:pPr>
        <w:spacing w:after="100" w:line="320"/>
      </w:pPr>
      <w:r>
        <w:rPr>
          <w:rFonts w:ascii="Noto Sans CJK TC" w:cs="Noto Sans CJK TC" w:eastAsia="Noto Sans CJK TC" w:hAnsi="Noto Sans CJK TC"/>
          <w:b w:val="false"/>
          <w:bCs w:val="false"/>
          <w:i w:val="false"/>
          <w:iCs w:val="false"/>
          <w:sz w:val="22"/>
          <w:szCs w:val="22"/>
        </w:rPr>
        <w:t xml:space="preserve">本文提出「分布式行政裁量」（Distributed Discretion），並以四個相互關聯的核心節點描述裁量性配置的實際分布。需要先聲明：這四個節點並非封閉、窮盡的分類，而是本文為分析裁量分布所提出的理想型架構——法規與政策目標之設定、系統採購與外包契約、模型部署與權限管理、模型更新與監測、個案資料輸入與錯誤修正、申訴與司法審查、組織績效指標與承辦人誘因等，都可能是裁量分布的重要位置。其中系統採購與外包契約尤其值得後續研究優先處理。本文選定以下四個節點作為分析起點，因其在既有AI行政文獻中已有一定討論基礎，但不主張其窮盡裁量分布的所有位置：</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3000"/>
        <w:gridCol w:w="2706"/>
      </w:tblGrid>
      <w:tr>
        <w:tc>
          <w:tcPr>
            <w:tcW w:type="dxa" w:w="1600"/>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5"/>
                <w:szCs w:val="15"/>
              </w:rPr>
              <w:t xml:space="preserve">核心節點</w:t>
            </w:r>
          </w:p>
        </w:tc>
        <w:tc>
          <w:tcPr>
            <w:tcW w:type="dxa" w:w="2400"/>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5"/>
                <w:szCs w:val="15"/>
              </w:rPr>
              <w:t xml:space="preserve">發生場域</w:t>
            </w:r>
          </w:p>
        </w:tc>
        <w:tc>
          <w:tcPr>
            <w:tcW w:type="dxa" w:w="3000"/>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5"/>
                <w:szCs w:val="15"/>
              </w:rPr>
              <w:t xml:space="preserve">實質內容</w:t>
            </w:r>
          </w:p>
        </w:tc>
        <w:tc>
          <w:tcPr>
            <w:tcW w:type="dxa" w:w="2706"/>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5"/>
                <w:szCs w:val="15"/>
              </w:rPr>
              <w:t xml:space="preserve">傳統理論盲點</w:t>
            </w:r>
          </w:p>
        </w:tc>
      </w:tr>
      <w:tr>
        <w:tc>
          <w:tcPr>
            <w:tcW w:type="dxa" w:w="16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5"/>
                <w:szCs w:val="15"/>
              </w:rPr>
              <w:t xml:space="preserve">前置裁量</w:t>
            </w:r>
          </w:p>
        </w:tc>
        <w:tc>
          <w:tcPr>
            <w:tcW w:type="dxa" w:w="24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資料採集、標註、變項選擇與清洗</w:t>
            </w:r>
          </w:p>
        </w:tc>
        <w:tc>
          <w:tcPr>
            <w:tcW w:type="dxa" w:w="3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決定哪些變項可作為預測因子、哪些歷史資料代表正當基線</w:t>
            </w:r>
          </w:p>
        </w:tc>
        <w:tc>
          <w:tcPr>
            <w:tcW w:type="dxa" w:w="2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被視為純粹技術準備工作</w:t>
            </w:r>
          </w:p>
        </w:tc>
      </w:tr>
      <w:tr>
        <w:tc>
          <w:tcPr>
            <w:tcW w:type="dxa" w:w="16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5"/>
                <w:szCs w:val="15"/>
              </w:rPr>
              <w:t xml:space="preserve">模型裁量</w:t>
            </w:r>
          </w:p>
        </w:tc>
        <w:tc>
          <w:tcPr>
            <w:tcW w:type="dxa" w:w="24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演算法架構、損失函數、閾值設定</w:t>
            </w:r>
          </w:p>
        </w:tc>
        <w:tc>
          <w:tcPr>
            <w:tcW w:type="dxa" w:w="3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將抽象法律概念轉譯為數學門檻</w:t>
            </w:r>
          </w:p>
        </w:tc>
        <w:tc>
          <w:tcPr>
            <w:tcW w:type="dxa" w:w="2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被包裝為「客觀數學最佳化」</w:t>
            </w:r>
          </w:p>
        </w:tc>
      </w:tr>
      <w:tr>
        <w:tc>
          <w:tcPr>
            <w:tcW w:type="dxa" w:w="16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5"/>
                <w:szCs w:val="15"/>
              </w:rPr>
              <w:t xml:space="preserve">介面裁量</w:t>
            </w:r>
          </w:p>
        </w:tc>
        <w:tc>
          <w:tcPr>
            <w:tcW w:type="dxa" w:w="24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UI/UX設計、資訊排序、預設選項</w:t>
            </w:r>
          </w:p>
        </w:tc>
        <w:tc>
          <w:tcPr>
            <w:tcW w:type="dxa" w:w="3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透過推力（nudge）引導注意力與審查傾向</w:t>
            </w:r>
          </w:p>
        </w:tc>
        <w:tc>
          <w:tcPr>
            <w:tcW w:type="dxa" w:w="2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忽略介面對人類決策的認知制約</w:t>
            </w:r>
          </w:p>
        </w:tc>
      </w:tr>
      <w:tr>
        <w:tc>
          <w:tcPr>
            <w:tcW w:type="dxa" w:w="16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5"/>
                <w:szCs w:val="15"/>
              </w:rPr>
              <w:t xml:space="preserve">覆核節點裁量</w:t>
            </w:r>
          </w:p>
        </w:tc>
        <w:tc>
          <w:tcPr>
            <w:tcW w:type="dxa" w:w="24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第一線對演算法建議的推翻機制</w:t>
            </w:r>
          </w:p>
        </w:tc>
        <w:tc>
          <w:tcPr>
            <w:tcW w:type="dxa" w:w="30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在時間與組織壓力下決定接受或推翻</w:t>
            </w:r>
          </w:p>
        </w:tc>
        <w:tc>
          <w:tcPr>
            <w:tcW w:type="dxa" w:w="27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4"/>
                <w:szCs w:val="14"/>
              </w:rPr>
              <w:t xml:space="preserve">誤以為形式推翻權＝完整裁量權</w:t>
            </w:r>
          </w:p>
        </w:tc>
      </w:tr>
    </w:tbl>
    <w:p>
      <w:pPr>
        <w:spacing w:after="100" w:line="320"/>
      </w:pPr>
      <w:r>
        <w:rPr>
          <w:rFonts w:ascii="Noto Sans CJK TC" w:cs="Noto Sans CJK TC" w:eastAsia="Noto Sans CJK TC" w:hAnsi="Noto Sans CJK TC"/>
          <w:b w:val="false"/>
          <w:bCs w:val="false"/>
          <w:i w:val="false"/>
          <w:iCs w:val="false"/>
          <w:sz w:val="22"/>
          <w:szCs w:val="22"/>
        </w:rPr>
        <w:t xml:space="preserve">此處將「覆核裁量」更名為「覆核節點裁量」，以強調裁量並非僅專屬第一線人員，而是特定節點上的判斷配置。這四個節點不是四種獨立裁量，而是同一行政判斷在不同制度與技術節點上的分布。裁量場正是由這些節點共同構成的動態空間。</w:t>
      </w:r>
    </w:p>
    <w:p>
      <w:pPr>
        <w:pStyle w:val="Heading2"/>
      </w:pPr>
      <w:r>
        <w:t xml:space="preserve">4.1　與既有理論的差異</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500"/>
        <w:gridCol w:w="2806"/>
      </w:tblGrid>
      <w:tr>
        <w:tc>
          <w:tcPr>
            <w:tcW w:type="dxa" w:w="2200"/>
            <w:tcBorders>
              <w:top w:val="single" w:color="999999" w:sz="4"/>
              <w:left w:val="single" w:color="999999" w:sz="4"/>
              <w:bottom w:val="single" w:color="999999" w:sz="4"/>
              <w:right w:val="single" w:color="999999" w:sz="4"/>
            </w:tcBorders>
            <w:shd w:fill="2E75B6"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4"/>
                <w:szCs w:val="14"/>
              </w:rPr>
              <w:t xml:space="preserve">理論</w:t>
            </w:r>
          </w:p>
        </w:tc>
        <w:tc>
          <w:tcPr>
            <w:tcW w:type="dxa" w:w="2200"/>
            <w:tcBorders>
              <w:top w:val="single" w:color="999999" w:sz="4"/>
              <w:left w:val="single" w:color="999999" w:sz="4"/>
              <w:bottom w:val="single" w:color="999999" w:sz="4"/>
              <w:right w:val="single" w:color="999999" w:sz="4"/>
            </w:tcBorders>
            <w:shd w:fill="2E75B6"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4"/>
                <w:szCs w:val="14"/>
              </w:rPr>
              <w:t xml:space="preserve">裁量主體</w:t>
            </w:r>
          </w:p>
        </w:tc>
        <w:tc>
          <w:tcPr>
            <w:tcW w:type="dxa" w:w="2500"/>
            <w:tcBorders>
              <w:top w:val="single" w:color="999999" w:sz="4"/>
              <w:left w:val="single" w:color="999999" w:sz="4"/>
              <w:bottom w:val="single" w:color="999999" w:sz="4"/>
              <w:right w:val="single" w:color="999999" w:sz="4"/>
            </w:tcBorders>
            <w:shd w:fill="2E75B6"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4"/>
                <w:szCs w:val="14"/>
              </w:rPr>
              <w:t xml:space="preserve">分析重點</w:t>
            </w:r>
          </w:p>
        </w:tc>
        <w:tc>
          <w:tcPr>
            <w:tcW w:type="dxa" w:w="2806"/>
            <w:tcBorders>
              <w:top w:val="single" w:color="999999" w:sz="4"/>
              <w:left w:val="single" w:color="999999" w:sz="4"/>
              <w:bottom w:val="single" w:color="999999" w:sz="4"/>
              <w:right w:val="single" w:color="999999" w:sz="4"/>
            </w:tcBorders>
            <w:shd w:fill="2E75B6"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4"/>
                <w:szCs w:val="14"/>
              </w:rPr>
              <w:t xml:space="preserve">本文的差異</w:t>
            </w:r>
          </w:p>
        </w:tc>
      </w:tr>
      <w:tr>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街頭官僚（Lipsky）</w:t>
            </w:r>
          </w:p>
        </w:tc>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第一線公務員</w:t>
            </w:r>
          </w:p>
        </w:tc>
        <w:tc>
          <w:tcPr>
            <w:tcW w:type="dxa" w:w="25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個案現場的實務判斷</w:t>
            </w:r>
          </w:p>
        </w:tc>
        <w:tc>
          <w:tcPr>
            <w:tcW w:type="dxa" w:w="28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將裁量延伸至上游技術配置</w:t>
            </w:r>
          </w:p>
        </w:tc>
      </w:tr>
      <w:tr>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系統級官僚（Bovens &amp; Zouridis）</w:t>
            </w:r>
          </w:p>
        </w:tc>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資訊系統與組織</w:t>
            </w:r>
          </w:p>
        </w:tc>
        <w:tc>
          <w:tcPr>
            <w:tcW w:type="dxa" w:w="25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系統取代第一線判斷</w:t>
            </w:r>
          </w:p>
        </w:tc>
        <w:tc>
          <w:tcPr>
            <w:tcW w:type="dxa" w:w="28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強調多節點分布且可並存</w:t>
            </w:r>
          </w:p>
        </w:tc>
      </w:tr>
      <w:tr>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人工裁量（Young et al.）</w:t>
            </w:r>
          </w:p>
        </w:tc>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演算法或自動化程序</w:t>
            </w:r>
          </w:p>
        </w:tc>
        <w:tc>
          <w:tcPr>
            <w:tcW w:type="dxa" w:w="25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自動化程序的判斷效果</w:t>
            </w:r>
          </w:p>
        </w:tc>
        <w:tc>
          <w:tcPr>
            <w:tcW w:type="dxa" w:w="28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納入介面、覆核成本與可見性</w:t>
            </w:r>
          </w:p>
        </w:tc>
      </w:tr>
      <w:tr>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裁量場（本文）</w:t>
            </w:r>
          </w:p>
        </w:tc>
        <w:tc>
          <w:tcPr>
            <w:tcW w:type="dxa" w:w="22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人類、技術與制度</w:t>
            </w:r>
          </w:p>
        </w:tc>
        <w:tc>
          <w:tcPr>
            <w:tcW w:type="dxa" w:w="2500"/>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生成、分布與可見性</w:t>
            </w:r>
          </w:p>
        </w:tc>
        <w:tc>
          <w:tcPr>
            <w:tcW w:type="dxa" w:w="28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3"/>
                <w:szCs w:val="13"/>
              </w:rPr>
              <w:t xml:space="preserve">三層區分＋整合性架構</w:t>
            </w:r>
          </w:p>
        </w:tc>
      </w:tr>
    </w:tbl>
    <w:p>
      <w:pPr>
        <w:spacing w:after="80" w:line="320"/>
      </w:pPr>
      <w:r>
        <w:rPr>
          <w:rFonts w:ascii="Noto Sans CJK TC" w:cs="Noto Sans CJK TC" w:eastAsia="Noto Sans CJK TC" w:hAnsi="Noto Sans CJK TC"/>
          <w:b w:val="false"/>
          <w:bCs w:val="false"/>
          <w:i w:val="false"/>
          <w:iCs w:val="false"/>
          <w:sz w:val="22"/>
          <w:szCs w:val="22"/>
        </w:rPr>
        <w:t xml:space="preserve"/>
      </w:r>
    </w:p>
    <w:p>
      <w:pPr>
        <w:pStyle w:val="Heading2"/>
      </w:pPr>
      <w:r>
        <w:t xml:space="preserve">4.2　分析性示例：稅務稽核案件之風險排序與抽查</w:t>
      </w:r>
    </w:p>
    <w:p>
      <w:pPr>
        <w:spacing w:after="100" w:line="320"/>
      </w:pPr>
      <w:r>
        <w:rPr>
          <w:rFonts w:ascii="Noto Sans CJK TC" w:cs="Noto Sans CJK TC" w:eastAsia="Noto Sans CJK TC" w:hAnsi="Noto Sans CJK TC"/>
          <w:b w:val="false"/>
          <w:bCs w:val="false"/>
          <w:i w:val="false"/>
          <w:iCs w:val="false"/>
          <w:sz w:val="22"/>
          <w:szCs w:val="22"/>
        </w:rPr>
        <w:t xml:space="preserve">以下案例並非實證研究，而是用以展示裁量如何沿行政技術鏈條分布的分析性案例。以稅務稽核案件的風險排序與抽查為例：</w:t>
      </w:r>
    </w:p>
    <w:p>
      <w:pPr>
        <w:spacing w:after="100" w:line="320"/>
      </w:pPr>
      <w:r>
        <w:rPr>
          <w:rFonts w:ascii="Noto Sans CJK TC" w:cs="Noto Sans CJK TC" w:eastAsia="Noto Sans CJK TC" w:hAnsi="Noto Sans CJK TC"/>
          <w:b w:val="false"/>
          <w:bCs w:val="false"/>
          <w:i w:val="false"/>
          <w:iCs w:val="false"/>
          <w:sz w:val="22"/>
          <w:szCs w:val="22"/>
        </w:rPr>
        <w:t xml:space="preserve">1. 法律規範允許哪些判斷空間：稅法與稽核作業要點通常賦予稽核機關依風險高低決定稽核優先順序的裁量，但要求排除恣意與差別待遇。</w:t>
      </w:r>
    </w:p>
    <w:p>
      <w:pPr>
        <w:spacing w:after="100" w:line="320"/>
      </w:pPr>
      <w:r>
        <w:rPr>
          <w:rFonts w:ascii="Noto Sans CJK TC" w:cs="Noto Sans CJK TC" w:eastAsia="Noto Sans CJK TC" w:hAnsi="Noto Sans CJK TC"/>
          <w:b w:val="false"/>
          <w:bCs w:val="false"/>
          <w:i w:val="false"/>
          <w:iCs w:val="false"/>
          <w:sz w:val="22"/>
          <w:szCs w:val="22"/>
        </w:rPr>
        <w:t xml:space="preserve">2. 資料選擇如何縮小或擴大該空間：歷史稽核資料中，哪些產業別、申報異常類型被納入訓練樣本，決定了後續風險評分的覆蓋範圍；若特定產業或小規模納稅人的歷史資料稀疏，其風險分數的可信度即可能低於資料豐富的群體，但此一差異未必會被稽核人員察覺。</w:t>
      </w:r>
    </w:p>
    <w:p>
      <w:pPr>
        <w:spacing w:after="100" w:line="320"/>
      </w:pPr>
      <w:r>
        <w:rPr>
          <w:rFonts w:ascii="Noto Sans CJK TC" w:cs="Noto Sans CJK TC" w:eastAsia="Noto Sans CJK TC" w:hAnsi="Noto Sans CJK TC"/>
          <w:b w:val="false"/>
          <w:bCs w:val="false"/>
          <w:i w:val="false"/>
          <w:iCs w:val="false"/>
          <w:sz w:val="22"/>
          <w:szCs w:val="22"/>
        </w:rPr>
        <w:t xml:space="preserve">3. 模型分數如何影響案件排序：風險評分模型依申報異常指標、產業別、規模等變項計算「稽核風險分數」，並以預設閾值決定「優先抽查」或「例行歸檔」。</w:t>
      </w:r>
    </w:p>
    <w:p>
      <w:pPr>
        <w:spacing w:after="100" w:line="320"/>
      </w:pPr>
      <w:r>
        <w:rPr>
          <w:rFonts w:ascii="Noto Sans CJK TC" w:cs="Noto Sans CJK TC" w:eastAsia="Noto Sans CJK TC" w:hAnsi="Noto Sans CJK TC"/>
          <w:b w:val="false"/>
          <w:bCs w:val="false"/>
          <w:i w:val="false"/>
          <w:iCs w:val="false"/>
          <w:sz w:val="22"/>
          <w:szCs w:val="22"/>
        </w:rPr>
        <w:t xml:space="preserve">4. 介面如何引導承辦人：稽核系統介面可能以顏色標示或排序方式，將高分案件置頂並附加警示標籤，承辦人的注意力因此被結構性引導至系統認定的高風險案件，低分案件即使存在個案異常，也可能因排序靠後而未被檢視。</w:t>
      </w:r>
    </w:p>
    <w:p>
      <w:pPr>
        <w:spacing w:after="100" w:line="320"/>
      </w:pPr>
      <w:r>
        <w:rPr>
          <w:rFonts w:ascii="Noto Sans CJK TC" w:cs="Noto Sans CJK TC" w:eastAsia="Noto Sans CJK TC" w:hAnsi="Noto Sans CJK TC"/>
          <w:b w:val="false"/>
          <w:bCs w:val="false"/>
          <w:i w:val="false"/>
          <w:iCs w:val="false"/>
          <w:sz w:val="22"/>
          <w:szCs w:val="22"/>
        </w:rPr>
        <w:t xml:space="preserve">5. 覆核制度為何可能無法有效修正模型建議：稽核人力有限，若要求逐案覆核模型排序的合理性，將大幅增加工作負擔；在績效考核以「稽核件數」或「查獲率」為指標的情況下，承辦人選擇「信任系統排序」往往是理性且低風險的策略，形式上保留的覆核權因此少被實質行使。</w:t>
      </w:r>
    </w:p>
    <w:p>
      <w:pPr>
        <w:spacing w:after="100" w:line="320"/>
      </w:pPr>
      <w:r>
        <w:rPr>
          <w:rFonts w:ascii="Noto Sans CJK TC" w:cs="Noto Sans CJK TC" w:eastAsia="Noto Sans CJK TC" w:hAnsi="Noto Sans CJK TC"/>
          <w:b w:val="false"/>
          <w:bCs w:val="false"/>
          <w:i w:val="false"/>
          <w:iCs w:val="false"/>
          <w:sz w:val="22"/>
          <w:szCs w:val="22"/>
        </w:rPr>
        <w:t xml:space="preserve">6. 最終責任如何分配：若排序偏誤導致特定群體被系統性地過度稽核或系統性地遺漏，稽核人員個人依現行課責機制可能難以被追究（因其僅是「依系統排序作業」），而資料選擇、模型設計與績效指標設定者的責任，往往缺乏對應的課責管道——這正是本文第六節與第七節試圖處理的落差。</w:t>
      </w:r>
    </w:p>
    <w:p>
      <w:pPr>
        <w:pStyle w:val="Heading1"/>
      </w:pPr>
      <w:r>
        <w:t xml:space="preserve">五、再制度化：裁量可見性作為新議題</w:t>
      </w:r>
    </w:p>
    <w:p>
      <w:pPr>
        <w:spacing w:after="100" w:line="320"/>
      </w:pPr>
      <w:r>
        <w:rPr>
          <w:rFonts w:ascii="Noto Sans CJK TC" w:cs="Noto Sans CJK TC" w:eastAsia="Noto Sans CJK TC" w:hAnsi="Noto Sans CJK TC"/>
          <w:b w:val="false"/>
          <w:bCs w:val="false"/>
          <w:i w:val="false"/>
          <w:iCs w:val="false"/>
          <w:sz w:val="22"/>
          <w:szCs w:val="22"/>
        </w:rPr>
        <w:t xml:space="preserve">制度不應幻想「消除裁量」，而應使已經分布的裁量重新被辨識、記錄與爭論。本文提出「裁量可見性」（discretionary visibility）作為AI行政理論的新問題：如何讓前置、模型、介面層次的判斷配置，從難以查明其內部運作邏輯的狀態，轉化為可被民主審議、行政監督與司法審查的對象。</w:t>
      </w:r>
    </w:p>
    <w:p>
      <w:pPr>
        <w:spacing w:after="100" w:line="320"/>
      </w:pPr>
      <w:r>
        <w:rPr>
          <w:rFonts w:ascii="Noto Sans CJK TC" w:cs="Noto Sans CJK TC" w:eastAsia="Noto Sans CJK TC" w:hAnsi="Noto Sans CJK TC"/>
          <w:b w:val="false"/>
          <w:bCs w:val="false"/>
          <w:i w:val="false"/>
          <w:iCs w:val="false"/>
          <w:sz w:val="22"/>
          <w:szCs w:val="22"/>
        </w:rPr>
        <w:t xml:space="preserve">可見性不是單純的技術透明（explainability），而是制度性的。為使此一概念可操作，本文將其拆解為五個面向：</w:t>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800"/>
        <w:gridCol w:w="6906"/>
      </w:tblGrid>
      <w:tr>
        <w:tc>
          <w:tcPr>
            <w:tcW w:type="dxa" w:w="2800"/>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6"/>
                <w:szCs w:val="16"/>
              </w:rPr>
              <w:t xml:space="preserve">面向</w:t>
            </w:r>
          </w:p>
        </w:tc>
        <w:tc>
          <w:tcPr>
            <w:tcW w:type="dxa" w:w="6906"/>
            <w:tcBorders>
              <w:top w:val="single" w:color="999999" w:sz="4"/>
              <w:left w:val="single" w:color="999999" w:sz="4"/>
              <w:bottom w:val="single" w:color="999999" w:sz="4"/>
              <w:right w:val="single" w:color="999999" w:sz="4"/>
            </w:tcBorders>
            <w:shd w:fill="1F4E79" w:val="clear"/>
            <w:tcMar>
              <w:top w:type="dxa" w:w="35"/>
              <w:left w:type="dxa" w:w="45"/>
              <w:bottom w:type="dxa" w:w="35"/>
              <w:right w:type="dxa" w:w="45"/>
            </w:tcMar>
            <w:vAlign w:val="center"/>
          </w:tcPr>
          <w:p>
            <w:pPr>
              <w:jc w:val="center"/>
            </w:pPr>
            <w:r>
              <w:rPr>
                <w:rFonts w:ascii="Noto Sans CJK TC" w:cs="Noto Sans CJK TC" w:eastAsia="Noto Sans CJK TC" w:hAnsi="Noto Sans CJK TC"/>
                <w:b/>
                <w:bCs/>
                <w:sz w:val="16"/>
                <w:szCs w:val="16"/>
              </w:rPr>
              <w:t xml:space="preserve">核心問題</w:t>
            </w:r>
          </w:p>
        </w:tc>
      </w:tr>
      <w:tr>
        <w:tc>
          <w:tcPr>
            <w:tcW w:type="dxa" w:w="28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來源可見性</w:t>
            </w:r>
          </w:p>
        </w:tc>
        <w:tc>
          <w:tcPr>
            <w:tcW w:type="dxa" w:w="69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誰選擇資料、變項與模型？</w:t>
            </w:r>
          </w:p>
        </w:tc>
      </w:tr>
      <w:tr>
        <w:tc>
          <w:tcPr>
            <w:tcW w:type="dxa" w:w="28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規則可見性</w:t>
            </w:r>
          </w:p>
        </w:tc>
        <w:tc>
          <w:tcPr>
            <w:tcW w:type="dxa" w:w="69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閾值、排序與分類標準為何？</w:t>
            </w:r>
          </w:p>
        </w:tc>
      </w:tr>
      <w:tr>
        <w:tc>
          <w:tcPr>
            <w:tcW w:type="dxa" w:w="28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過程可見性</w:t>
            </w:r>
          </w:p>
        </w:tc>
        <w:tc>
          <w:tcPr>
            <w:tcW w:type="dxa" w:w="69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系統如何影響承辦人及案件流程？</w:t>
            </w:r>
          </w:p>
        </w:tc>
      </w:tr>
      <w:tr>
        <w:tc>
          <w:tcPr>
            <w:tcW w:type="dxa" w:w="28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理由可見性</w:t>
            </w:r>
          </w:p>
        </w:tc>
        <w:tc>
          <w:tcPr>
            <w:tcW w:type="dxa" w:w="69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個案當事人能否理解不利決定的原因？</w:t>
            </w:r>
          </w:p>
        </w:tc>
      </w:tr>
      <w:tr>
        <w:tc>
          <w:tcPr>
            <w:tcW w:type="dxa" w:w="2800"/>
            <w:tcBorders>
              <w:top w:val="single" w:color="999999" w:sz="4"/>
              <w:left w:val="single" w:color="999999" w:sz="4"/>
              <w:bottom w:val="single" w:color="999999" w:sz="4"/>
              <w:right w:val="single" w:color="999999" w:sz="4"/>
            </w:tcBorders>
            <w:shd w:fill="D6E3F0" w:val="clear"/>
            <w:tcMar>
              <w:top w:type="dxa" w:w="35"/>
              <w:left w:type="dxa" w:w="45"/>
              <w:bottom w:type="dxa" w:w="35"/>
              <w:right w:type="dxa" w:w="45"/>
            </w:tcMar>
            <w:vAlign w:val="center"/>
          </w:tcPr>
          <w:p>
            <w:pPr>
              <w:jc w:val="left"/>
            </w:pPr>
            <w:r>
              <w:rPr>
                <w:rFonts w:ascii="Noto Sans CJK TC" w:cs="Noto Sans CJK TC" w:eastAsia="Noto Sans CJK TC" w:hAnsi="Noto Sans CJK TC"/>
                <w:b/>
                <w:bCs/>
                <w:sz w:val="16"/>
                <w:szCs w:val="16"/>
              </w:rPr>
              <w:t xml:space="preserve">責任可見性</w:t>
            </w:r>
          </w:p>
        </w:tc>
        <w:tc>
          <w:tcPr>
            <w:tcW w:type="dxa" w:w="6906"/>
            <w:tcBorders>
              <w:top w:val="single" w:color="999999" w:sz="4"/>
              <w:left w:val="single" w:color="999999" w:sz="4"/>
              <w:bottom w:val="single" w:color="999999" w:sz="4"/>
              <w:right w:val="single" w:color="999999" w:sz="4"/>
            </w:tcBorders>
            <w:tcMar>
              <w:top w:type="dxa" w:w="35"/>
              <w:left w:type="dxa" w:w="45"/>
              <w:bottom w:type="dxa" w:w="35"/>
              <w:right w:type="dxa" w:w="45"/>
            </w:tcMar>
            <w:vAlign w:val="center"/>
          </w:tcPr>
          <w:p>
            <w:pPr>
              <w:jc w:val="left"/>
            </w:pPr>
            <w:r>
              <w:rPr>
                <w:rFonts w:ascii="Noto Sans CJK TC" w:cs="Noto Sans CJK TC" w:eastAsia="Noto Sans CJK TC" w:hAnsi="Noto Sans CJK TC"/>
                <w:b w:val="false"/>
                <w:bCs w:val="false"/>
                <w:sz w:val="16"/>
                <w:szCs w:val="16"/>
              </w:rPr>
              <w:t xml:space="preserve">誰有權修改、覆核、停止或承擔後果？</w:t>
            </w:r>
          </w:p>
        </w:tc>
      </w:tr>
    </w:tbl>
    <w:p>
      <w:pPr>
        <w:spacing w:after="100" w:line="320"/>
      </w:pPr>
      <w:r>
        <w:rPr>
          <w:rFonts w:ascii="Noto Sans CJK TC" w:cs="Noto Sans CJK TC" w:eastAsia="Noto Sans CJK TC" w:hAnsi="Noto Sans CJK TC"/>
          <w:b w:val="false"/>
          <w:bCs w:val="false"/>
          <w:i w:val="false"/>
          <w:iCs w:val="false"/>
          <w:sz w:val="22"/>
          <w:szCs w:val="22"/>
        </w:rPr>
        <w:t xml:space="preserve">此外，透明不必然等於可見。本文進一步區分「技術透明」（資訊是否被公開）、「程序透明」（決策流程是否可被追溯）、「責任透明」（追責對象是否可被指認）與「救濟可用性」（當事人是否具備足以提出異議的實際管道與能力）——四者可能並不同步。</w:t>
      </w:r>
    </w:p>
    <w:p>
      <w:pPr>
        <w:spacing w:after="100" w:line="320"/>
      </w:pPr>
      <w:r>
        <w:rPr>
          <w:rFonts w:ascii="Noto Sans CJK TC" w:cs="Noto Sans CJK TC" w:eastAsia="Noto Sans CJK TC" w:hAnsi="Noto Sans CJK TC"/>
          <w:b w:val="false"/>
          <w:bCs w:val="false"/>
          <w:i w:val="false"/>
          <w:iCs w:val="false"/>
          <w:sz w:val="22"/>
          <w:szCs w:val="22"/>
        </w:rPr>
        <w:t xml:space="preserve">台灣立法院已於2025年12月23日三讀通過《人工智慧基本法》，其「人類自主」與「問責」原則與本文可見性論述方向一致，惟具體條文對上游配置之可見性要求仍待後續子法落實。加拿大《自動化決策指令》要求完成演算法影響評估；歐盟《人工智慧法》之高風險分類框架同樣要求風險管理、資料治理與人員監督義務。這些制度呈現「規則可見性」與「責任可見性」的初步嘗試，但對「來源可見性」著墨相對有限。</w:t>
      </w:r>
    </w:p>
    <w:p>
      <w:pPr>
        <w:pStyle w:val="Heading1"/>
      </w:pPr>
      <w:r>
        <w:t xml:space="preserve">六、反論與理論界線：法律裁量權 vs. 實質裁量性配置</w:t>
      </w:r>
    </w:p>
    <w:p>
      <w:pPr>
        <w:spacing w:after="100" w:line="320"/>
      </w:pPr>
      <w:r>
        <w:rPr>
          <w:rFonts w:ascii="Noto Sans CJK TC" w:cs="Noto Sans CJK TC" w:eastAsia="Noto Sans CJK TC" w:hAnsi="Noto Sans CJK TC"/>
          <w:b w:val="false"/>
          <w:bCs w:val="false"/>
          <w:i w:val="false"/>
          <w:iCs w:val="false"/>
          <w:sz w:val="22"/>
          <w:szCs w:val="22"/>
        </w:rPr>
        <w:t xml:space="preserve">常見反論包括：「演算法只是技術」「模型沒有意志」「裁量必須具有法律主體性」。本文於2.1節已提出法律／制度／技術三層區分：承認技術與制度層次的裁量性配置，並不取消法律層次裁量權的專屬性，而是要求理論與制度同時看見兩者。重點不在於是否賦予AI法律主體，而在於是否讓實質塑造判斷空間的配置，納入可課責的制度視野。</w:t>
      </w:r>
    </w:p>
    <w:p>
      <w:pPr>
        <w:spacing w:after="100" w:line="320"/>
      </w:pPr>
      <w:r>
        <w:rPr>
          <w:rFonts w:ascii="Noto Sans CJK TC" w:cs="Noto Sans CJK TC" w:eastAsia="Noto Sans CJK TC" w:hAnsi="Noto Sans CJK TC"/>
          <w:b w:val="false"/>
          <w:bCs w:val="false"/>
          <w:i w:val="false"/>
          <w:iCs w:val="false"/>
          <w:sz w:val="22"/>
          <w:szCs w:val="22"/>
        </w:rPr>
        <w:t xml:space="preserve">Young、Bullock與Lecy（2019）的「人工裁量」概念、Bullock、Young與Wang（2020）對不同官僚型態的非線性影響分析、Busch與Zinner Henriksen（2024）的「演算法裁量」、以及Gillingham、Morley與Floridi（2025）的範圍性文獻回顧，共同指向與本文一致的方向：裁量已不再是純粹的人類心理過程，而是人—技術—制度共同構成的場。本文之「裁量場」進一步整合介面層與覆核成本，並提出裁量可見性作為操作化議題。</w:t>
      </w:r>
    </w:p>
    <w:p>
      <w:pPr>
        <w:pStyle w:val="Heading1"/>
      </w:pPr>
      <w:r>
        <w:t xml:space="preserve">七、命題重整與制度意涵</w:t>
      </w:r>
    </w:p>
    <w:p>
      <w:pPr>
        <w:pStyle w:val="Heading2"/>
      </w:pPr>
      <w:r>
        <w:t xml:space="preserve">7.1　三個可檢驗的子命題</w:t>
      </w:r>
    </w:p>
    <w:p>
      <w:pPr>
        <w:spacing w:after="100" w:line="320"/>
      </w:pPr>
      <w:r>
        <w:rPr>
          <w:rFonts w:ascii="Noto Sans CJK TC" w:cs="Noto Sans CJK TC" w:eastAsia="Noto Sans CJK TC" w:hAnsi="Noto Sans CJK TC"/>
          <w:b w:val="false"/>
          <w:bCs w:val="false"/>
          <w:i w:val="false"/>
          <w:iCs w:val="false"/>
          <w:sz w:val="22"/>
          <w:szCs w:val="22"/>
        </w:rPr>
        <w:t xml:space="preserve">為使「裁量場」不只是隱喻，而是具有解釋能力的理論模型，本文將主命題拆解為三個可檢驗的子命題：</w:t>
      </w:r>
    </w:p>
    <w:p>
      <w:pPr>
        <w:spacing w:after="100" w:line="320"/>
      </w:pPr>
      <w:r>
        <w:rPr>
          <w:rFonts w:ascii="Noto Sans CJK TC" w:cs="Noto Sans CJK TC" w:eastAsia="Noto Sans CJK TC" w:hAnsi="Noto Sans CJK TC"/>
          <w:b w:val="false"/>
          <w:bCs w:val="false"/>
          <w:i w:val="false"/>
          <w:iCs w:val="false"/>
          <w:sz w:val="22"/>
          <w:szCs w:val="22"/>
        </w:rPr>
        <w:t xml:space="preserve">1. 位置命題：AI導入使重要判斷由個案決定階段前移至資料、模型與流程設計階段。</w:t>
      </w:r>
    </w:p>
    <w:p>
      <w:pPr>
        <w:spacing w:after="100" w:line="320"/>
      </w:pPr>
      <w:r>
        <w:rPr>
          <w:rFonts w:ascii="Noto Sans CJK TC" w:cs="Noto Sans CJK TC" w:eastAsia="Noto Sans CJK TC" w:hAnsi="Noto Sans CJK TC"/>
          <w:b w:val="false"/>
          <w:bCs w:val="false"/>
          <w:i w:val="false"/>
          <w:iCs w:val="false"/>
          <w:sz w:val="22"/>
          <w:szCs w:val="22"/>
        </w:rPr>
        <w:t xml:space="preserve">2. 分布命題：行政結果並非由單一人類或單一模型形成，而是由多個相互依賴的節點共同塑造。</w:t>
      </w:r>
    </w:p>
    <w:p>
      <w:pPr>
        <w:spacing w:after="100" w:line="320"/>
      </w:pPr>
      <w:r>
        <w:rPr>
          <w:rFonts w:ascii="Noto Sans CJK TC" w:cs="Noto Sans CJK TC" w:eastAsia="Noto Sans CJK TC" w:hAnsi="Noto Sans CJK TC"/>
          <w:b w:val="false"/>
          <w:bCs w:val="false"/>
          <w:i w:val="false"/>
          <w:iCs w:val="false"/>
          <w:sz w:val="22"/>
          <w:szCs w:val="22"/>
        </w:rPr>
        <w:t xml:space="preserve">3. 課責命題：若法律審查只關注最終核章，將無法充分辨識真正限制或引導行政選擇的上游配置。</w:t>
      </w:r>
    </w:p>
    <w:p>
      <w:pPr>
        <w:spacing w:after="100" w:line="320"/>
      </w:pPr>
      <w:r>
        <w:rPr>
          <w:rFonts w:ascii="Noto Sans CJK TC" w:cs="Noto Sans CJK TC" w:eastAsia="Noto Sans CJK TC" w:hAnsi="Noto Sans CJK TC"/>
          <w:b w:val="false"/>
          <w:bCs w:val="false"/>
          <w:i w:val="false"/>
          <w:iCs w:val="false"/>
          <w:sz w:val="22"/>
          <w:szCs w:val="22"/>
        </w:rPr>
        <w:t xml:space="preserve">概念性公式：行政結果 = f（法律規範、資料配置、模型設定、介面引導、人員覆核、組織誘因）。此公式並非主張可化約為數學函數，而是表示最終決定的形成條件不再只存在於最後的個案判斷。</w:t>
      </w:r>
    </w:p>
    <w:p>
      <w:pPr>
        <w:pStyle w:val="Heading2"/>
      </w:pPr>
      <w:r>
        <w:t xml:space="preserve">7.2　最低制度要求</w:t>
      </w:r>
    </w:p>
    <w:p>
      <w:pPr>
        <w:spacing w:after="100" w:line="320"/>
      </w:pPr>
      <w:r>
        <w:rPr>
          <w:rFonts w:ascii="Noto Sans CJK TC" w:cs="Noto Sans CJK TC" w:eastAsia="Noto Sans CJK TC" w:hAnsi="Noto Sans CJK TC"/>
          <w:b w:val="false"/>
          <w:bCs w:val="false"/>
          <w:i w:val="false"/>
          <w:iCs w:val="false"/>
          <w:sz w:val="22"/>
          <w:szCs w:val="22"/>
        </w:rPr>
        <w:t xml:space="preserve">本文提出八項最低制度要求，作為將裁量可見性轉化為具體審查標準的起點：</w:t>
      </w:r>
    </w:p>
    <w:p>
      <w:pPr>
        <w:spacing w:after="100" w:line="320"/>
      </w:pPr>
      <w:r>
        <w:rPr>
          <w:rFonts w:ascii="Noto Sans CJK TC" w:cs="Noto Sans CJK TC" w:eastAsia="Noto Sans CJK TC" w:hAnsi="Noto Sans CJK TC"/>
          <w:b w:val="false"/>
          <w:bCs w:val="false"/>
          <w:i w:val="false"/>
          <w:iCs w:val="false"/>
          <w:sz w:val="22"/>
          <w:szCs w:val="22"/>
        </w:rPr>
        <w:t xml:space="preserve">1. 建立系統使用前的裁量影響評估。</w:t>
      </w:r>
    </w:p>
    <w:p>
      <w:pPr>
        <w:spacing w:after="100" w:line="320"/>
      </w:pPr>
      <w:r>
        <w:rPr>
          <w:rFonts w:ascii="Noto Sans CJK TC" w:cs="Noto Sans CJK TC" w:eastAsia="Noto Sans CJK TC" w:hAnsi="Noto Sans CJK TC"/>
          <w:b w:val="false"/>
          <w:bCs w:val="false"/>
          <w:i w:val="false"/>
          <w:iCs w:val="false"/>
          <w:sz w:val="22"/>
          <w:szCs w:val="22"/>
        </w:rPr>
        <w:t xml:space="preserve">2. 記錄資料來源、變項變更、模型版本與閾值調整。</w:t>
      </w:r>
    </w:p>
    <w:p>
      <w:pPr>
        <w:spacing w:after="100" w:line="320"/>
      </w:pPr>
      <w:r>
        <w:rPr>
          <w:rFonts w:ascii="Noto Sans CJK TC" w:cs="Noto Sans CJK TC" w:eastAsia="Noto Sans CJK TC" w:hAnsi="Noto Sans CJK TC"/>
          <w:b w:val="false"/>
          <w:bCs w:val="false"/>
          <w:i w:val="false"/>
          <w:iCs w:val="false"/>
          <w:sz w:val="22"/>
          <w:szCs w:val="22"/>
        </w:rPr>
        <w:t xml:space="preserve">3. 保存個案層級的模型建議與承辦人覆核紀錄。</w:t>
      </w:r>
    </w:p>
    <w:p>
      <w:pPr>
        <w:spacing w:after="100" w:line="320"/>
      </w:pPr>
      <w:r>
        <w:rPr>
          <w:rFonts w:ascii="Noto Sans CJK TC" w:cs="Noto Sans CJK TC" w:eastAsia="Noto Sans CJK TC" w:hAnsi="Noto Sans CJK TC"/>
          <w:b w:val="false"/>
          <w:bCs w:val="false"/>
          <w:i w:val="false"/>
          <w:iCs w:val="false"/>
          <w:sz w:val="22"/>
          <w:szCs w:val="22"/>
        </w:rPr>
        <w:t xml:space="preserve">4. 禁止以單純接受模型建議作為合理覆核的替代。</w:t>
      </w:r>
    </w:p>
    <w:p>
      <w:pPr>
        <w:spacing w:after="100" w:line="320"/>
      </w:pPr>
      <w:r>
        <w:rPr>
          <w:rFonts w:ascii="Noto Sans CJK TC" w:cs="Noto Sans CJK TC" w:eastAsia="Noto Sans CJK TC" w:hAnsi="Noto Sans CJK TC"/>
          <w:b w:val="false"/>
          <w:bCs w:val="false"/>
          <w:i w:val="false"/>
          <w:iCs w:val="false"/>
          <w:sz w:val="22"/>
          <w:szCs w:val="22"/>
        </w:rPr>
        <w:t xml:space="preserve">5. 降低承辦人推翻模型建議的程序與組織成本。</w:t>
      </w:r>
    </w:p>
    <w:p>
      <w:pPr>
        <w:spacing w:after="100" w:line="320"/>
      </w:pPr>
      <w:r>
        <w:rPr>
          <w:rFonts w:ascii="Noto Sans CJK TC" w:cs="Noto Sans CJK TC" w:eastAsia="Noto Sans CJK TC" w:hAnsi="Noto Sans CJK TC"/>
          <w:b w:val="false"/>
          <w:bCs w:val="false"/>
          <w:i w:val="false"/>
          <w:iCs w:val="false"/>
          <w:sz w:val="22"/>
          <w:szCs w:val="22"/>
        </w:rPr>
        <w:t xml:space="preserve">6. 允許當事人取得足以提出異議的理由資訊。</w:t>
      </w:r>
    </w:p>
    <w:p>
      <w:pPr>
        <w:spacing w:after="100" w:line="320"/>
      </w:pPr>
      <w:r>
        <w:rPr>
          <w:rFonts w:ascii="Noto Sans CJK TC" w:cs="Noto Sans CJK TC" w:eastAsia="Noto Sans CJK TC" w:hAnsi="Noto Sans CJK TC"/>
          <w:b w:val="false"/>
          <w:bCs w:val="false"/>
          <w:i w:val="false"/>
          <w:iCs w:val="false"/>
          <w:sz w:val="22"/>
          <w:szCs w:val="22"/>
        </w:rPr>
        <w:t xml:space="preserve">7. 對模型停用、修正與重新訓練建立責任機制。</w:t>
      </w:r>
    </w:p>
    <w:p>
      <w:pPr>
        <w:spacing w:after="100" w:line="320"/>
      </w:pPr>
      <w:r>
        <w:rPr>
          <w:rFonts w:ascii="Noto Sans CJK TC" w:cs="Noto Sans CJK TC" w:eastAsia="Noto Sans CJK TC" w:hAnsi="Noto Sans CJK TC"/>
          <w:b w:val="false"/>
          <w:bCs w:val="false"/>
          <w:i w:val="false"/>
          <w:iCs w:val="false"/>
          <w:sz w:val="22"/>
          <w:szCs w:val="22"/>
        </w:rPr>
        <w:t xml:space="preserve">8. 將採購商、系統開發者與行政機關的責任關係制度化。</w:t>
      </w:r>
    </w:p>
    <w:p>
      <w:pPr>
        <w:pStyle w:val="Heading1"/>
      </w:pPr>
      <w:r>
        <w:t xml:space="preserve">八、結論：從裁量權到裁量場</w:t>
      </w:r>
    </w:p>
    <w:p>
      <w:pPr>
        <w:spacing w:after="100" w:line="320"/>
      </w:pPr>
      <w:r>
        <w:rPr>
          <w:rFonts w:ascii="Noto Sans CJK TC" w:cs="Noto Sans CJK TC" w:eastAsia="Noto Sans CJK TC" w:hAnsi="Noto Sans CJK TC"/>
          <w:b w:val="false"/>
          <w:bCs w:val="false"/>
          <w:i w:val="false"/>
          <w:iCs w:val="false"/>
          <w:sz w:val="22"/>
          <w:szCs w:val="22"/>
        </w:rPr>
        <w:t xml:space="preserve">本文最值得保留的不是「AI也有裁量」這個容易引起爭議的表述，而是更精確的洞見：行政裁量的實質生成條件，已經不只存在於最後作成處分的公務員身上。行政裁量應由「個人所擁有的權限」，擴展理解為由制度、技術與人類共同構成的「裁量場」；AI沒有消滅裁量，而是改變了它的位置、時間與可見性。</w:t>
      </w:r>
    </w:p>
    <w:p>
      <w:pPr>
        <w:spacing w:after="100" w:line="320"/>
      </w:pPr>
      <w:r>
        <w:rPr>
          <w:rFonts w:ascii="Noto Sans CJK TC" w:cs="Noto Sans CJK TC" w:eastAsia="Noto Sans CJK TC" w:hAnsi="Noto Sans CJK TC"/>
          <w:b w:val="false"/>
          <w:bCs w:val="false"/>
          <w:i w:val="false"/>
          <w:iCs w:val="false"/>
          <w:sz w:val="22"/>
          <w:szCs w:val="22"/>
        </w:rPr>
        <w:t xml:space="preserve">本文之貢獻有三：第一，以法律／制度／技術三層區分，回應「裁量」概念過度泛化的疑慮；第二，以四個核心節點（明示其非窮盡）與一項分析性示例，展示裁量性配置如何具體影響行政結果；第三，將「裁量可見性」拆解為五個可操作面向，並提出八項最低制度要求，使規範性結論超越原則性宣示。</w:t>
      </w:r>
    </w:p>
    <w:p>
      <w:pPr>
        <w:spacing w:after="100" w:line="320"/>
      </w:pPr>
      <w:r>
        <w:rPr>
          <w:rFonts w:ascii="Noto Sans CJK TC" w:cs="Noto Sans CJK TC" w:eastAsia="Noto Sans CJK TC" w:hAnsi="Noto Sans CJK TC"/>
          <w:b w:val="false"/>
          <w:bCs w:val="false"/>
          <w:i w:val="false"/>
          <w:iCs w:val="false"/>
          <w:sz w:val="22"/>
          <w:szCs w:val="22"/>
        </w:rPr>
        <w:t xml:space="preserve">未來行政理論與制度設計的核心任務，不再是守護某個想像中的「純粹人類決策點」，而是讓已經分布的裁量重新變得可見、可爭辯、可修正。從「裁量權」到「裁量場」的轉向，與027篇提出的「分散式行政行動」形成理論呼應：行動已分散，裁量亦隨之分布。唯有同時看見生成條件與判斷配置的分布，公共行政才能在AI時代繼續守住其對正當性與課責的核心關懷。後續研究可將本文之四節點架構擴充納入採購、部署、監測與救濟等節點，並透過個案研究檢驗三個子命題在不同行政領域中的相對解釋力。</w:t>
      </w:r>
    </w:p>
    <w:p>
      <w:pPr>
        <w:pStyle w:val="Heading1"/>
      </w:pPr>
      <w:r>
        <w:t xml:space="preserve">參考文獻</w:t>
      </w:r>
    </w:p>
    <w:p>
      <w:pPr>
        <w:spacing w:after="50" w:line="320"/>
      </w:pPr>
      <w:r>
        <w:rPr>
          <w:rFonts w:ascii="Noto Sans CJK TC" w:cs="Noto Sans CJK TC" w:eastAsia="Noto Sans CJK TC" w:hAnsi="Noto Sans CJK TC"/>
          <w:b w:val="false"/>
          <w:bCs w:val="false"/>
          <w:i w:val="false"/>
          <w:iCs w:val="false"/>
          <w:sz w:val="18"/>
          <w:szCs w:val="18"/>
        </w:rPr>
        <w:t xml:space="preserve">Bovens, M., &amp; Zouridis, S. (2002). From street-level to system-level bureaucracies: How information and communication technology is transforming administrative discretion and constitutional control. Public Administration Review, 62(2), 174–184.</w:t>
      </w:r>
    </w:p>
    <w:p>
      <w:pPr>
        <w:spacing w:after="50" w:line="320"/>
      </w:pPr>
      <w:r>
        <w:rPr>
          <w:rFonts w:ascii="Noto Sans CJK TC" w:cs="Noto Sans CJK TC" w:eastAsia="Noto Sans CJK TC" w:hAnsi="Noto Sans CJK TC"/>
          <w:b w:val="false"/>
          <w:bCs w:val="false"/>
          <w:i w:val="false"/>
          <w:iCs w:val="false"/>
          <w:sz w:val="18"/>
          <w:szCs w:val="18"/>
        </w:rPr>
        <w:t xml:space="preserve">Bullock, J. B., Young, M. M., &amp; Wang, Y.-F. (2020). Artificial intelligence, bureaucratic form, and discretion in public service. Information Polity, 25(4), 491–506.</w:t>
      </w:r>
    </w:p>
    <w:p>
      <w:pPr>
        <w:spacing w:after="50" w:line="320"/>
      </w:pPr>
      <w:r>
        <w:rPr>
          <w:rFonts w:ascii="Noto Sans CJK TC" w:cs="Noto Sans CJK TC" w:eastAsia="Noto Sans CJK TC" w:hAnsi="Noto Sans CJK TC"/>
          <w:b w:val="false"/>
          <w:bCs w:val="false"/>
          <w:i w:val="false"/>
          <w:iCs w:val="false"/>
          <w:sz w:val="18"/>
          <w:szCs w:val="18"/>
        </w:rPr>
        <w:t xml:space="preserve">Busch, P. A., &amp; Zinner Henriksen, H. (2018). Digital discretion: A systematic literature review of ICT and street-level discretion. Information Polity, 23(1), 3–28.</w:t>
      </w:r>
    </w:p>
    <w:p>
      <w:pPr>
        <w:spacing w:after="50" w:line="320"/>
      </w:pPr>
      <w:r>
        <w:rPr>
          <w:rFonts w:ascii="Noto Sans CJK TC" w:cs="Noto Sans CJK TC" w:eastAsia="Noto Sans CJK TC" w:hAnsi="Noto Sans CJK TC"/>
          <w:b w:val="false"/>
          <w:bCs w:val="false"/>
          <w:i w:val="false"/>
          <w:iCs w:val="false"/>
          <w:sz w:val="18"/>
          <w:szCs w:val="18"/>
        </w:rPr>
        <w:t xml:space="preserve">Busch, P. A., &amp; Zinner Henriksen, H. (2024). AI technologies and the reconfiguration of discretion in street-level bureaucracy. In R. Paul &amp; J. Cobbe (Eds.), Handbook on public policy and artificial intelligence (pp. 80–92). Edward Elgar Publishing.</w:t>
      </w:r>
    </w:p>
    <w:p>
      <w:pPr>
        <w:spacing w:after="50" w:line="320"/>
      </w:pPr>
      <w:r>
        <w:rPr>
          <w:rFonts w:ascii="Noto Sans CJK TC" w:cs="Noto Sans CJK TC" w:eastAsia="Noto Sans CJK TC" w:hAnsi="Noto Sans CJK TC"/>
          <w:b w:val="false"/>
          <w:bCs w:val="false"/>
          <w:i w:val="false"/>
          <w:iCs w:val="false"/>
          <w:sz w:val="18"/>
          <w:szCs w:val="18"/>
        </w:rPr>
        <w:t xml:space="preserve">Davis, K. C. (1969). Discretionary justice: A preliminary inquiry. Louisiana State University Press.</w:t>
      </w:r>
    </w:p>
    <w:p>
      <w:pPr>
        <w:spacing w:after="50" w:line="320"/>
      </w:pPr>
      <w:r>
        <w:rPr>
          <w:rFonts w:ascii="Noto Sans CJK TC" w:cs="Noto Sans CJK TC" w:eastAsia="Noto Sans CJK TC" w:hAnsi="Noto Sans CJK TC"/>
          <w:b w:val="false"/>
          <w:bCs w:val="false"/>
          <w:i w:val="false"/>
          <w:iCs w:val="false"/>
          <w:sz w:val="18"/>
          <w:szCs w:val="18"/>
        </w:rPr>
        <w:t xml:space="preserve">Gillingham, C., Morley, J., &amp; Floridi, L. (2025). The effects of AI on street-level bureaucracy: A scoping review. Digital Society, 4(1), Article 22.</w:t>
      </w:r>
    </w:p>
    <w:p>
      <w:pPr>
        <w:spacing w:after="50" w:line="320"/>
      </w:pPr>
      <w:r>
        <w:rPr>
          <w:rFonts w:ascii="Noto Sans CJK TC" w:cs="Noto Sans CJK TC" w:eastAsia="Noto Sans CJK TC" w:hAnsi="Noto Sans CJK TC"/>
          <w:b w:val="false"/>
          <w:bCs w:val="false"/>
          <w:i w:val="false"/>
          <w:iCs w:val="false"/>
          <w:sz w:val="18"/>
          <w:szCs w:val="18"/>
        </w:rPr>
        <w:t xml:space="preserve">Lipsky, M. (1980/2010). Street-level bureaucracy: Dilemmas of the individual in public services (30th anniversary expanded ed.). Russell Sage Foundation.</w:t>
      </w:r>
    </w:p>
    <w:p>
      <w:pPr>
        <w:spacing w:after="50" w:line="320"/>
      </w:pPr>
      <w:r>
        <w:rPr>
          <w:rFonts w:ascii="Noto Sans CJK TC" w:cs="Noto Sans CJK TC" w:eastAsia="Noto Sans CJK TC" w:hAnsi="Noto Sans CJK TC"/>
          <w:b w:val="false"/>
          <w:bCs w:val="false"/>
          <w:i w:val="false"/>
          <w:iCs w:val="false"/>
          <w:sz w:val="18"/>
          <w:szCs w:val="18"/>
        </w:rPr>
        <w:t xml:space="preserve">Regulation (EU) 2024/1689 of the European Parliament and of the Council laying down harmonised rules on artificial intelligence (Artificial Intelligence Act).</w:t>
      </w:r>
    </w:p>
    <w:p>
      <w:pPr>
        <w:spacing w:after="50" w:line="320"/>
      </w:pPr>
      <w:r>
        <w:rPr>
          <w:rFonts w:ascii="Noto Sans CJK TC" w:cs="Noto Sans CJK TC" w:eastAsia="Noto Sans CJK TC" w:hAnsi="Noto Sans CJK TC"/>
          <w:b w:val="false"/>
          <w:bCs w:val="false"/>
          <w:i w:val="false"/>
          <w:iCs w:val="false"/>
          <w:sz w:val="18"/>
          <w:szCs w:val="18"/>
        </w:rPr>
        <w:t xml:space="preserve">Thaler, R. H., &amp; Sunstein, C. R. (2008). Nudge: Improving decisions about health, wealth, and happiness. Yale University Press.</w:t>
      </w:r>
    </w:p>
    <w:p>
      <w:pPr>
        <w:spacing w:after="50" w:line="320"/>
      </w:pPr>
      <w:r>
        <w:rPr>
          <w:rFonts w:ascii="Noto Sans CJK TC" w:cs="Noto Sans CJK TC" w:eastAsia="Noto Sans CJK TC" w:hAnsi="Noto Sans CJK TC"/>
          <w:b w:val="false"/>
          <w:bCs w:val="false"/>
          <w:i w:val="false"/>
          <w:iCs w:val="false"/>
          <w:sz w:val="18"/>
          <w:szCs w:val="18"/>
        </w:rPr>
        <w:t xml:space="preserve">Treasury Board of Canada Secretariat. (2019). Directive on automated decision-making. Government of Canada.</w:t>
      </w:r>
    </w:p>
    <w:p>
      <w:pPr>
        <w:spacing w:after="50" w:line="320"/>
      </w:pPr>
      <w:r>
        <w:rPr>
          <w:rFonts w:ascii="Noto Sans CJK TC" w:cs="Noto Sans CJK TC" w:eastAsia="Noto Sans CJK TC" w:hAnsi="Noto Sans CJK TC"/>
          <w:b w:val="false"/>
          <w:bCs w:val="false"/>
          <w:i w:val="false"/>
          <w:iCs w:val="false"/>
          <w:sz w:val="18"/>
          <w:szCs w:val="18"/>
        </w:rPr>
        <w:t xml:space="preserve">Young, M. M., Bullock, J. B., &amp; Lecy, J. D. (2019). Artificial discretion as a tool of governance: A framework for understanding the impact of artificial intelligence on public administration. Perspectives on Public Management and Governance, 2(4), 301–313.</w:t>
      </w:r>
    </w:p>
    <w:p>
      <w:pPr>
        <w:spacing w:after="50" w:line="320"/>
      </w:pPr>
      <w:r>
        <w:rPr>
          <w:rFonts w:ascii="Noto Sans CJK TC" w:cs="Noto Sans CJK TC" w:eastAsia="Noto Sans CJK TC" w:hAnsi="Noto Sans CJK TC"/>
          <w:b w:val="false"/>
          <w:bCs w:val="false"/>
          <w:i w:val="false"/>
          <w:iCs w:val="false"/>
          <w:sz w:val="18"/>
          <w:szCs w:val="18"/>
        </w:rPr>
        <w:t xml:space="preserve">Zouridis, S., van Eck, M., &amp; Bovens, M. (2020). Automated discretion. In T. Evans &amp; P. Hupe (Eds.), Discretion and the quest for controlled freedom (pp. 313–329). Palgrave Macmillan.</w:t>
      </w:r>
    </w:p>
    <w:p>
      <w:pPr>
        <w:spacing w:after="50" w:line="320"/>
      </w:pPr>
      <w:r>
        <w:rPr>
          <w:rFonts w:ascii="Noto Sans CJK TC" w:cs="Noto Sans CJK TC" w:eastAsia="Noto Sans CJK TC" w:hAnsi="Noto Sans CJK TC"/>
          <w:b w:val="false"/>
          <w:bCs w:val="false"/>
          <w:i w:val="false"/>
          <w:iCs w:val="false"/>
          <w:sz w:val="18"/>
          <w:szCs w:val="18"/>
        </w:rPr>
        <w:t xml:space="preserve">張志偉（2025）。自動化行政決定之容許性──從行政程序法及個資保護法制的觀察面向。《國立中正大學法學集刊》，第88期，87–174頁。</w:t>
      </w:r>
    </w:p>
    <w:p>
      <w:pPr>
        <w:spacing w:after="100" w:line="320"/>
      </w:pPr>
      <w:r>
        <w:rPr>
          <w:rFonts w:ascii="Noto Sans CJK TC" w:cs="Noto Sans CJK TC" w:eastAsia="Noto Sans CJK TC" w:hAnsi="Noto Sans CJK TC"/>
          <w:b w:val="false"/>
          <w:bCs w:val="false"/>
          <w:i w:val="false"/>
          <w:iCs w:val="false"/>
          <w:sz w:val="18"/>
          <w:szCs w:val="18"/>
        </w:rPr>
        <w:t xml:space="preserve">立法院（2025年12月23日）。《人工智慧基本法》三讀通過。</w:t>
      </w:r>
    </w:p>
    <w:p>
      <w:pPr>
        <w:spacing w:before="160"/>
        <w:jc w:val="center"/>
      </w:pPr>
      <w:r>
        <w:rPr>
          <w:rFonts w:ascii="Noto Sans CJK TC" w:cs="Noto Sans CJK TC" w:eastAsia="Noto Sans CJK TC" w:hAnsi="Noto Sans CJK TC"/>
          <w:i/>
          <w:iCs/>
          <w:color w:val="666666"/>
          <w:sz w:val="16"/>
          <w:szCs w:val="16"/>
        </w:rPr>
        <w:t xml:space="preserve">— 028 完整整合修訂版完 —</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Noto Sans CJK TC" w:cs="Noto Sans CJK TC" w:eastAsia="Noto Sans CJK TC" w:hAnsi="Noto Sans CJK TC"/>
        <w:color w:val="666666"/>
        <w:sz w:val="14"/>
        <w:szCs w:val="14"/>
      </w:rPr>
      <w:t xml:space="preserve">第 </w:t>
    </w:r>
    <w:r>
      <w:rPr>
        <w:rFonts w:ascii="Noto Sans CJK TC" w:cs="Noto Sans CJK TC" w:eastAsia="Noto Sans CJK TC" w:hAnsi="Noto Sans CJK TC"/>
        <w:color w:val="666666"/>
        <w:sz w:val="14"/>
        <w:szCs w:val="14"/>
      </w:rPr>
      <w:fldChar w:fldCharType="begin"/>
      <w:instrText xml:space="preserve">PAGE</w:instrText>
      <w:fldChar w:fldCharType="separate"/>
      <w:fldChar w:fldCharType="end"/>
    </w:r>
    <w:r>
      <w:rPr>
        <w:rFonts w:ascii="Noto Sans CJK TC" w:cs="Noto Sans CJK TC" w:eastAsia="Noto Sans CJK TC" w:hAnsi="Noto Sans CJK TC"/>
        <w:color w:val="666666"/>
        <w:sz w:val="14"/>
        <w:szCs w:val="14"/>
      </w:rPr>
      <w:t xml:space="preserve"> 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Noto Sans CJK TC" w:cs="Noto Sans CJK TC" w:eastAsia="Noto Sans CJK TC" w:hAnsi="Noto Sans CJK TC"/>
        <w:color w:val="666666"/>
        <w:sz w:val="14"/>
        <w:szCs w:val="14"/>
      </w:rPr>
      <w:t xml:space="preserve">028｜裁量何在？人工智慧時代行政裁量的轉移、分散與再制度化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2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CJK TC" w:cs="Noto Sans CJK TC" w:eastAsia="Noto Sans CJK TC" w:hAnsi="Noto Sans CJK T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Noto Sans CJK TC" w:cs="Noto Sans CJK TC" w:eastAsia="Noto Sans CJK TC" w:hAnsi="Noto Sans CJK TC"/>
      <w:b/>
      <w:bCs/>
      <w:color w:val="1F4E79"/>
      <w:sz w:val="28"/>
      <w:szCs w:val="28"/>
    </w:rPr>
  </w:style>
  <w:style w:type="paragraph" w:styleId="Heading2">
    <w:name w:val="Heading 2"/>
    <w:basedOn w:val="Normal"/>
    <w:next w:val="Normal"/>
    <w:qFormat/>
    <w:pPr>
      <w:spacing w:after="100" w:before="200"/>
      <w:outlineLvl w:val="1"/>
    </w:pPr>
    <w:rPr>
      <w:rFonts w:ascii="Noto Sans CJK TC" w:cs="Noto Sans CJK TC" w:eastAsia="Noto Sans CJK TC" w:hAnsi="Noto Sans CJK TC"/>
      <w:b/>
      <w:bCs/>
      <w:color w:val="2E75B6"/>
      <w:sz w:val="24"/>
      <w:szCs w:val="24"/>
    </w:rPr>
  </w:style>
  <w:style w:type="paragraph" w:styleId="Title">
    <w:name w:val="Title"/>
    <w:basedOn w:val="Normal"/>
    <w:qFormat/>
    <w:pPr>
      <w:spacing w:after="40" w:before="0"/>
      <w:jc w:val="center"/>
    </w:pPr>
    <w:rPr>
      <w:rFonts w:ascii="Noto Sans CJK TC" w:cs="Noto Sans CJK TC" w:eastAsia="Noto Sans CJK TC" w:hAnsi="Noto Sans CJK TC"/>
      <w:b/>
      <w:bCs/>
      <w:color w:val="1F4E79"/>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2026-08-22T08:13:23.175Z</dcterms:created>
  <dcterms:modified xsi:type="dcterms:W3CDTF">2026-08-22T08:13:23.176Z</dcterms:modified>
</cp:coreProperties>
</file>

<file path=docProps/custom.xml><?xml version="1.0" encoding="utf-8"?>
<Properties xmlns="http://schemas.openxmlformats.org/officeDocument/2006/custom-properties" xmlns:vt="http://schemas.openxmlformats.org/officeDocument/2006/docPropsVTypes"/>
</file>